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959F9D">
      <w:pPr>
        <w:spacing w:line="16828" w:lineRule="exact"/>
      </w:pPr>
      <w:bookmarkStart w:id="0" w:name="_GoBack"/>
      <w:r>
        <w:rPr>
          <w:position w:val="-336"/>
        </w:rPr>
        <w:drawing>
          <wp:inline distT="0" distB="0" distL="0" distR="0">
            <wp:extent cx="7561580" cy="1068578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2"/>
                    <a:stretch>
                      <a:fillRect/>
                    </a:stretch>
                  </pic:blipFill>
                  <pic:spPr>
                    <a:xfrm>
                      <a:off x="0" y="0"/>
                      <a:ext cx="7562088" cy="10685805"/>
                    </a:xfrm>
                    <a:prstGeom prst="rect">
                      <a:avLst/>
                    </a:prstGeom>
                  </pic:spPr>
                </pic:pic>
              </a:graphicData>
            </a:graphic>
          </wp:inline>
        </w:drawing>
      </w:r>
      <w:bookmarkEnd w:id="0"/>
    </w:p>
    <w:p w14:paraId="06495612">
      <w:pPr>
        <w:spacing w:line="16828" w:lineRule="exact"/>
        <w:sectPr>
          <w:headerReference r:id="rId5" w:type="default"/>
          <w:footerReference r:id="rId6" w:type="default"/>
          <w:pgSz w:w="11909" w:h="16841"/>
          <w:pgMar w:top="1" w:right="0" w:bottom="1" w:left="0" w:header="0" w:footer="0" w:gutter="0"/>
          <w:cols w:space="720" w:num="1"/>
        </w:sectPr>
      </w:pPr>
    </w:p>
    <w:p w14:paraId="609B3B16">
      <w:pPr>
        <w:spacing w:line="16828" w:lineRule="exact"/>
      </w:pPr>
      <w:r>
        <w:rPr>
          <w:position w:val="-336"/>
        </w:rPr>
        <w:drawing>
          <wp:inline distT="0" distB="0" distL="0" distR="0">
            <wp:extent cx="7561580" cy="1068578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3"/>
                    <a:stretch>
                      <a:fillRect/>
                    </a:stretch>
                  </pic:blipFill>
                  <pic:spPr>
                    <a:xfrm>
                      <a:off x="0" y="0"/>
                      <a:ext cx="7562088" cy="10685805"/>
                    </a:xfrm>
                    <a:prstGeom prst="rect">
                      <a:avLst/>
                    </a:prstGeom>
                  </pic:spPr>
                </pic:pic>
              </a:graphicData>
            </a:graphic>
          </wp:inline>
        </w:drawing>
      </w:r>
    </w:p>
    <w:p w14:paraId="010792E4">
      <w:pPr>
        <w:spacing w:line="16828" w:lineRule="exact"/>
        <w:sectPr>
          <w:pgSz w:w="11909" w:h="16841"/>
          <w:pgMar w:top="1" w:right="0" w:bottom="1" w:left="0" w:header="0" w:footer="0" w:gutter="0"/>
          <w:cols w:space="720" w:num="1"/>
        </w:sectPr>
      </w:pPr>
    </w:p>
    <w:p w14:paraId="4E8F2712">
      <w:pPr>
        <w:spacing w:line="16828" w:lineRule="exact"/>
      </w:pPr>
      <w:r>
        <w:rPr>
          <w:position w:val="-336"/>
        </w:rPr>
        <w:drawing>
          <wp:inline distT="0" distB="0" distL="0" distR="0">
            <wp:extent cx="7561580" cy="1068578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4"/>
                    <a:stretch>
                      <a:fillRect/>
                    </a:stretch>
                  </pic:blipFill>
                  <pic:spPr>
                    <a:xfrm>
                      <a:off x="0" y="0"/>
                      <a:ext cx="7562088" cy="10685805"/>
                    </a:xfrm>
                    <a:prstGeom prst="rect">
                      <a:avLst/>
                    </a:prstGeom>
                  </pic:spPr>
                </pic:pic>
              </a:graphicData>
            </a:graphic>
          </wp:inline>
        </w:drawing>
      </w:r>
    </w:p>
    <w:p w14:paraId="5622E563">
      <w:pPr>
        <w:spacing w:line="16828" w:lineRule="exact"/>
        <w:sectPr>
          <w:pgSz w:w="11909" w:h="16841"/>
          <w:pgMar w:top="1" w:right="0" w:bottom="1" w:left="0" w:header="0" w:footer="0" w:gutter="0"/>
          <w:cols w:space="720" w:num="1"/>
        </w:sectPr>
      </w:pPr>
    </w:p>
    <w:p w14:paraId="437A4F0F">
      <w:pPr>
        <w:spacing w:line="16828" w:lineRule="exact"/>
      </w:pPr>
      <w:r>
        <w:rPr>
          <w:position w:val="-336"/>
        </w:rPr>
        <w:drawing>
          <wp:inline distT="0" distB="0" distL="0" distR="0">
            <wp:extent cx="7561580" cy="1068578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5"/>
                    <a:stretch>
                      <a:fillRect/>
                    </a:stretch>
                  </pic:blipFill>
                  <pic:spPr>
                    <a:xfrm>
                      <a:off x="0" y="0"/>
                      <a:ext cx="7562088" cy="10685805"/>
                    </a:xfrm>
                    <a:prstGeom prst="rect">
                      <a:avLst/>
                    </a:prstGeom>
                  </pic:spPr>
                </pic:pic>
              </a:graphicData>
            </a:graphic>
          </wp:inline>
        </w:drawing>
      </w:r>
    </w:p>
    <w:p w14:paraId="4524FFF8">
      <w:pPr>
        <w:spacing w:line="16828" w:lineRule="exact"/>
        <w:sectPr>
          <w:pgSz w:w="11909" w:h="16841"/>
          <w:pgMar w:top="1" w:right="0" w:bottom="1" w:left="0" w:header="0" w:footer="0" w:gutter="0"/>
          <w:cols w:space="720" w:num="1"/>
        </w:sectPr>
      </w:pPr>
    </w:p>
    <w:p w14:paraId="7984631A">
      <w:pPr>
        <w:pStyle w:val="2"/>
        <w:spacing w:line="248" w:lineRule="auto"/>
        <w:rPr>
          <w:sz w:val="21"/>
        </w:rPr>
      </w:pPr>
    </w:p>
    <w:p w14:paraId="4AA77638">
      <w:pPr>
        <w:pStyle w:val="2"/>
        <w:spacing w:line="248" w:lineRule="auto"/>
        <w:rPr>
          <w:sz w:val="21"/>
        </w:rPr>
      </w:pPr>
    </w:p>
    <w:p w14:paraId="77B2648B">
      <w:pPr>
        <w:pStyle w:val="2"/>
        <w:spacing w:line="248" w:lineRule="auto"/>
        <w:rPr>
          <w:sz w:val="21"/>
        </w:rPr>
      </w:pPr>
    </w:p>
    <w:p w14:paraId="6F97CCF4">
      <w:pPr>
        <w:pStyle w:val="2"/>
        <w:spacing w:line="248" w:lineRule="auto"/>
        <w:rPr>
          <w:sz w:val="21"/>
        </w:rPr>
      </w:pPr>
    </w:p>
    <w:p w14:paraId="1BB05CAA">
      <w:pPr>
        <w:pStyle w:val="2"/>
        <w:spacing w:line="249" w:lineRule="auto"/>
        <w:rPr>
          <w:sz w:val="21"/>
        </w:rPr>
      </w:pPr>
    </w:p>
    <w:p w14:paraId="373F9449">
      <w:pPr>
        <w:spacing w:before="98" w:line="211" w:lineRule="auto"/>
        <w:ind w:left="2960"/>
        <w:outlineLvl w:val="0"/>
        <w:rPr>
          <w:rFonts w:ascii="黑体" w:hAnsi="黑体" w:eastAsia="黑体" w:cs="黑体"/>
          <w:sz w:val="30"/>
          <w:szCs w:val="30"/>
        </w:rPr>
      </w:pPr>
      <w:r>
        <w:rPr>
          <w:rFonts w:ascii="黑体" w:hAnsi="黑体" w:eastAsia="黑体" w:cs="黑体"/>
          <w:spacing w:val="-2"/>
          <w:sz w:val="30"/>
          <w:szCs w:val="30"/>
        </w:rPr>
        <w:t>一、建设项目基本情况</w:t>
      </w: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115"/>
        <w:gridCol w:w="804"/>
        <w:gridCol w:w="1495"/>
        <w:gridCol w:w="1680"/>
        <w:gridCol w:w="414"/>
        <w:gridCol w:w="2131"/>
        <w:gridCol w:w="711"/>
        <w:gridCol w:w="124"/>
      </w:tblGrid>
      <w:tr w14:paraId="7285C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400" w:type="dxa"/>
            <w:tcBorders>
              <w:top w:val="single" w:color="000000" w:sz="6" w:space="0"/>
              <w:left w:val="single" w:color="000000" w:sz="6" w:space="0"/>
            </w:tcBorders>
            <w:vAlign w:val="top"/>
          </w:tcPr>
          <w:p w14:paraId="6EE3C1A1">
            <w:pPr>
              <w:pStyle w:val="6"/>
              <w:spacing w:before="60" w:line="232" w:lineRule="auto"/>
              <w:ind w:left="443" w:right="180" w:hanging="259"/>
            </w:pPr>
            <w:r>
              <w:rPr>
                <w:spacing w:val="6"/>
              </w:rPr>
              <w:t>建设项目</w:t>
            </w:r>
            <w:r>
              <w:rPr>
                <w:spacing w:val="2"/>
              </w:rPr>
              <w:t>名称</w:t>
            </w:r>
          </w:p>
        </w:tc>
        <w:tc>
          <w:tcPr>
            <w:tcW w:w="7474" w:type="dxa"/>
            <w:gridSpan w:val="8"/>
            <w:tcBorders>
              <w:top w:val="single" w:color="000000" w:sz="6" w:space="0"/>
              <w:right w:val="single" w:color="000000" w:sz="6" w:space="0"/>
            </w:tcBorders>
            <w:vAlign w:val="top"/>
          </w:tcPr>
          <w:p w14:paraId="05655B4D">
            <w:pPr>
              <w:pStyle w:val="6"/>
              <w:spacing w:before="229" w:line="226" w:lineRule="auto"/>
              <w:ind w:left="488"/>
            </w:pPr>
            <w:r>
              <w:rPr>
                <w:spacing w:val="9"/>
              </w:rPr>
              <w:t>重庆壳牌能源有限公司九中路加油站柴改汽油罐更换项目</w:t>
            </w:r>
          </w:p>
        </w:tc>
      </w:tr>
      <w:tr w14:paraId="5D3BB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400" w:type="dxa"/>
            <w:tcBorders>
              <w:left w:val="single" w:color="000000" w:sz="6" w:space="0"/>
            </w:tcBorders>
            <w:vAlign w:val="top"/>
          </w:tcPr>
          <w:p w14:paraId="414C8EBB">
            <w:pPr>
              <w:pStyle w:val="6"/>
              <w:spacing w:before="135" w:line="226" w:lineRule="auto"/>
              <w:ind w:left="185"/>
            </w:pPr>
            <w:r>
              <w:rPr>
                <w:spacing w:val="6"/>
              </w:rPr>
              <w:t>项目代码</w:t>
            </w:r>
          </w:p>
        </w:tc>
        <w:tc>
          <w:tcPr>
            <w:tcW w:w="7474" w:type="dxa"/>
            <w:gridSpan w:val="8"/>
            <w:tcBorders>
              <w:right w:val="single" w:color="000000" w:sz="6" w:space="0"/>
            </w:tcBorders>
            <w:vAlign w:val="top"/>
          </w:tcPr>
          <w:p w14:paraId="1F9DF635">
            <w:pPr>
              <w:spacing w:before="182" w:line="193" w:lineRule="auto"/>
              <w:ind w:left="2261"/>
              <w:rPr>
                <w:rFonts w:ascii="Times New Roman" w:hAnsi="Times New Roman" w:eastAsia="Times New Roman" w:cs="Times New Roman"/>
                <w:sz w:val="25"/>
                <w:szCs w:val="25"/>
              </w:rPr>
            </w:pPr>
            <w:r>
              <w:rPr>
                <w:rFonts w:ascii="Times New Roman" w:hAnsi="Times New Roman" w:eastAsia="Times New Roman" w:cs="Times New Roman"/>
                <w:spacing w:val="4"/>
                <w:sz w:val="25"/>
                <w:szCs w:val="25"/>
              </w:rPr>
              <w:t>2512-500107-04-02-704805</w:t>
            </w:r>
          </w:p>
        </w:tc>
      </w:tr>
      <w:tr w14:paraId="6E6AA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400" w:type="dxa"/>
            <w:tcBorders>
              <w:left w:val="single" w:color="000000" w:sz="6" w:space="0"/>
            </w:tcBorders>
            <w:vAlign w:val="top"/>
          </w:tcPr>
          <w:p w14:paraId="6F6B3CEF">
            <w:pPr>
              <w:pStyle w:val="6"/>
              <w:spacing w:before="56" w:line="232" w:lineRule="auto"/>
              <w:ind w:left="444" w:right="50" w:hanging="390"/>
            </w:pPr>
            <w:r>
              <w:rPr>
                <w:spacing w:val="6"/>
              </w:rPr>
              <w:t>建设单位联</w:t>
            </w:r>
            <w:r>
              <w:rPr>
                <w:spacing w:val="1"/>
              </w:rPr>
              <w:t>系人</w:t>
            </w:r>
          </w:p>
        </w:tc>
        <w:tc>
          <w:tcPr>
            <w:tcW w:w="2414" w:type="dxa"/>
            <w:gridSpan w:val="3"/>
            <w:vAlign w:val="top"/>
          </w:tcPr>
          <w:p w14:paraId="232A9D51">
            <w:pPr>
              <w:pStyle w:val="6"/>
              <w:spacing w:before="225" w:line="226" w:lineRule="auto"/>
              <w:ind w:left="830"/>
            </w:pPr>
            <w:r>
              <w:rPr>
                <w:spacing w:val="3"/>
              </w:rPr>
              <w:t>熊广林</w:t>
            </w:r>
          </w:p>
        </w:tc>
        <w:tc>
          <w:tcPr>
            <w:tcW w:w="2094" w:type="dxa"/>
            <w:gridSpan w:val="2"/>
            <w:vAlign w:val="top"/>
          </w:tcPr>
          <w:p w14:paraId="6E1DBA1D">
            <w:pPr>
              <w:pStyle w:val="6"/>
              <w:spacing w:before="225" w:line="227" w:lineRule="auto"/>
              <w:ind w:left="534"/>
            </w:pPr>
            <w:r>
              <w:rPr>
                <w:spacing w:val="6"/>
              </w:rPr>
              <w:t>联系方式</w:t>
            </w:r>
          </w:p>
        </w:tc>
        <w:tc>
          <w:tcPr>
            <w:tcW w:w="2966" w:type="dxa"/>
            <w:gridSpan w:val="3"/>
            <w:tcBorders>
              <w:right w:val="single" w:color="000000" w:sz="6" w:space="0"/>
            </w:tcBorders>
            <w:vAlign w:val="top"/>
          </w:tcPr>
          <w:p w14:paraId="52F17673">
            <w:pPr>
              <w:spacing w:before="265" w:line="197" w:lineRule="auto"/>
              <w:ind w:left="792"/>
              <w:rPr>
                <w:rFonts w:ascii="Times New Roman" w:hAnsi="Times New Roman" w:eastAsia="Times New Roman" w:cs="Times New Roman"/>
                <w:sz w:val="25"/>
                <w:szCs w:val="25"/>
              </w:rPr>
            </w:pPr>
            <w:r>
              <w:rPr>
                <w:rFonts w:ascii="Times New Roman" w:hAnsi="Times New Roman" w:eastAsia="Times New Roman" w:cs="Times New Roman"/>
                <w:spacing w:val="1"/>
                <w:sz w:val="25"/>
                <w:szCs w:val="25"/>
              </w:rPr>
              <w:t>189*****605</w:t>
            </w:r>
          </w:p>
        </w:tc>
      </w:tr>
      <w:tr w14:paraId="569AE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400" w:type="dxa"/>
            <w:tcBorders>
              <w:left w:val="single" w:color="000000" w:sz="6" w:space="0"/>
            </w:tcBorders>
            <w:vAlign w:val="top"/>
          </w:tcPr>
          <w:p w14:paraId="28BAA054">
            <w:pPr>
              <w:pStyle w:val="6"/>
              <w:spacing w:before="137" w:line="227" w:lineRule="auto"/>
              <w:ind w:left="184"/>
            </w:pPr>
            <w:r>
              <w:rPr>
                <w:spacing w:val="6"/>
              </w:rPr>
              <w:t>建设地点</w:t>
            </w:r>
          </w:p>
        </w:tc>
        <w:tc>
          <w:tcPr>
            <w:tcW w:w="7474" w:type="dxa"/>
            <w:gridSpan w:val="8"/>
            <w:tcBorders>
              <w:right w:val="single" w:color="000000" w:sz="6" w:space="0"/>
            </w:tcBorders>
            <w:vAlign w:val="top"/>
          </w:tcPr>
          <w:p w14:paraId="4B215163">
            <w:pPr>
              <w:pStyle w:val="6"/>
              <w:tabs>
                <w:tab w:val="left" w:pos="335"/>
              </w:tabs>
              <w:spacing w:before="137" w:line="219" w:lineRule="auto"/>
              <w:ind w:left="196"/>
              <w:rPr>
                <w:rFonts w:ascii="Times New Roman" w:hAnsi="Times New Roman" w:eastAsia="Times New Roman" w:cs="Times New Roman"/>
              </w:rPr>
            </w:pPr>
            <w:r>
              <w:rPr>
                <w:u w:val="single" w:color="auto"/>
              </w:rPr>
              <w:tab/>
            </w:r>
            <w:r>
              <w:rPr>
                <w:spacing w:val="9"/>
                <w:u w:val="single" w:color="auto"/>
              </w:rPr>
              <w:t xml:space="preserve">/ </w:t>
            </w:r>
            <w:r>
              <w:rPr>
                <w:spacing w:val="9"/>
              </w:rPr>
              <w:t>省（自治区）</w:t>
            </w:r>
            <w:r>
              <w:rPr>
                <w:spacing w:val="9"/>
                <w:u w:val="single" w:color="auto"/>
              </w:rPr>
              <w:t>重庆</w:t>
            </w:r>
            <w:r>
              <w:rPr>
                <w:spacing w:val="9"/>
              </w:rPr>
              <w:t>市</w:t>
            </w:r>
            <w:r>
              <w:rPr>
                <w:spacing w:val="9"/>
                <w:u w:val="single" w:color="auto"/>
              </w:rPr>
              <w:t>九龙坡</w:t>
            </w:r>
            <w:r>
              <w:rPr>
                <w:spacing w:val="9"/>
              </w:rPr>
              <w:t>区石堰村八社</w:t>
            </w:r>
            <w:r>
              <w:rPr>
                <w:rFonts w:ascii="Times New Roman" w:hAnsi="Times New Roman" w:eastAsia="Times New Roman" w:cs="Times New Roman"/>
                <w:spacing w:val="9"/>
              </w:rPr>
              <w:t>(</w:t>
            </w:r>
            <w:r>
              <w:rPr>
                <w:spacing w:val="9"/>
              </w:rPr>
              <w:t>乔鹤佳苑</w:t>
            </w:r>
            <w:r>
              <w:rPr>
                <w:spacing w:val="8"/>
              </w:rPr>
              <w:t>小区旁</w:t>
            </w:r>
            <w:r>
              <w:rPr>
                <w:rFonts w:ascii="Times New Roman" w:hAnsi="Times New Roman" w:eastAsia="Times New Roman" w:cs="Times New Roman"/>
                <w:spacing w:val="8"/>
              </w:rPr>
              <w:t>)</w:t>
            </w:r>
          </w:p>
        </w:tc>
      </w:tr>
      <w:tr w14:paraId="400C1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400" w:type="dxa"/>
            <w:tcBorders>
              <w:left w:val="single" w:color="000000" w:sz="6" w:space="0"/>
            </w:tcBorders>
            <w:vAlign w:val="top"/>
          </w:tcPr>
          <w:p w14:paraId="21FA8648">
            <w:pPr>
              <w:pStyle w:val="6"/>
              <w:spacing w:before="137" w:line="227" w:lineRule="auto"/>
              <w:ind w:left="181"/>
            </w:pPr>
            <w:r>
              <w:rPr>
                <w:spacing w:val="7"/>
              </w:rPr>
              <w:t>地理坐标</w:t>
            </w:r>
          </w:p>
        </w:tc>
        <w:tc>
          <w:tcPr>
            <w:tcW w:w="7474" w:type="dxa"/>
            <w:gridSpan w:val="8"/>
            <w:tcBorders>
              <w:right w:val="single" w:color="000000" w:sz="6" w:space="0"/>
            </w:tcBorders>
            <w:vAlign w:val="top"/>
          </w:tcPr>
          <w:p w14:paraId="08E6A942">
            <w:pPr>
              <w:pStyle w:val="6"/>
              <w:spacing w:before="137" w:line="227" w:lineRule="auto"/>
              <w:ind w:left="955"/>
            </w:pPr>
            <w:r>
              <w:rPr>
                <w:spacing w:val="2"/>
              </w:rPr>
              <w:t>（</w:t>
            </w:r>
            <w:r>
              <w:rPr>
                <w:rFonts w:ascii="Times New Roman" w:hAnsi="Times New Roman" w:eastAsia="Times New Roman" w:cs="Times New Roman"/>
                <w:spacing w:val="2"/>
              </w:rPr>
              <w:t xml:space="preserve">106 </w:t>
            </w:r>
            <w:r>
              <w:rPr>
                <w:spacing w:val="2"/>
              </w:rPr>
              <w:t>度</w:t>
            </w:r>
            <w:r>
              <w:rPr>
                <w:spacing w:val="-37"/>
              </w:rPr>
              <w:t xml:space="preserve"> </w:t>
            </w:r>
            <w:r>
              <w:rPr>
                <w:rFonts w:ascii="Times New Roman" w:hAnsi="Times New Roman" w:eastAsia="Times New Roman" w:cs="Times New Roman"/>
                <w:spacing w:val="2"/>
              </w:rPr>
              <w:t>25</w:t>
            </w:r>
            <w:r>
              <w:rPr>
                <w:rFonts w:ascii="Times New Roman" w:hAnsi="Times New Roman" w:eastAsia="Times New Roman" w:cs="Times New Roman"/>
                <w:spacing w:val="18"/>
                <w:w w:val="101"/>
              </w:rPr>
              <w:t xml:space="preserve"> </w:t>
            </w:r>
            <w:r>
              <w:rPr>
                <w:spacing w:val="2"/>
              </w:rPr>
              <w:t>分</w:t>
            </w:r>
            <w:r>
              <w:rPr>
                <w:spacing w:val="-48"/>
              </w:rPr>
              <w:t xml:space="preserve"> </w:t>
            </w:r>
            <w:r>
              <w:rPr>
                <w:rFonts w:ascii="Times New Roman" w:hAnsi="Times New Roman" w:eastAsia="Times New Roman" w:cs="Times New Roman"/>
                <w:spacing w:val="2"/>
              </w:rPr>
              <w:t xml:space="preserve">57.458 </w:t>
            </w:r>
            <w:r>
              <w:rPr>
                <w:spacing w:val="2"/>
              </w:rPr>
              <w:t>秒，</w:t>
            </w:r>
            <w:r>
              <w:rPr>
                <w:rFonts w:ascii="Times New Roman" w:hAnsi="Times New Roman" w:eastAsia="Times New Roman" w:cs="Times New Roman"/>
                <w:spacing w:val="2"/>
              </w:rPr>
              <w:t xml:space="preserve">29 </w:t>
            </w:r>
            <w:r>
              <w:rPr>
                <w:spacing w:val="2"/>
              </w:rPr>
              <w:t>度</w:t>
            </w:r>
            <w:r>
              <w:rPr>
                <w:spacing w:val="-52"/>
              </w:rPr>
              <w:t xml:space="preserve"> </w:t>
            </w:r>
            <w:r>
              <w:rPr>
                <w:rFonts w:ascii="Times New Roman" w:hAnsi="Times New Roman" w:eastAsia="Times New Roman" w:cs="Times New Roman"/>
                <w:spacing w:val="2"/>
              </w:rPr>
              <w:t>27</w:t>
            </w:r>
            <w:r>
              <w:rPr>
                <w:rFonts w:ascii="Times New Roman" w:hAnsi="Times New Roman" w:eastAsia="Times New Roman" w:cs="Times New Roman"/>
                <w:spacing w:val="16"/>
              </w:rPr>
              <w:t xml:space="preserve"> </w:t>
            </w:r>
            <w:r>
              <w:rPr>
                <w:spacing w:val="2"/>
              </w:rPr>
              <w:t>分</w:t>
            </w:r>
            <w:r>
              <w:rPr>
                <w:spacing w:val="-48"/>
              </w:rPr>
              <w:t xml:space="preserve"> </w:t>
            </w:r>
            <w:r>
              <w:rPr>
                <w:rFonts w:ascii="Times New Roman" w:hAnsi="Times New Roman" w:eastAsia="Times New Roman" w:cs="Times New Roman"/>
                <w:spacing w:val="2"/>
              </w:rPr>
              <w:t>52.249</w:t>
            </w:r>
            <w:r>
              <w:rPr>
                <w:rFonts w:ascii="Times New Roman" w:hAnsi="Times New Roman" w:eastAsia="Times New Roman" w:cs="Times New Roman"/>
                <w:spacing w:val="14"/>
              </w:rPr>
              <w:t xml:space="preserve"> </w:t>
            </w:r>
            <w:r>
              <w:rPr>
                <w:spacing w:val="2"/>
              </w:rPr>
              <w:t>秒）</w:t>
            </w:r>
          </w:p>
        </w:tc>
      </w:tr>
      <w:tr w14:paraId="77922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trPr>
        <w:tc>
          <w:tcPr>
            <w:tcW w:w="1400" w:type="dxa"/>
            <w:tcBorders>
              <w:left w:val="single" w:color="000000" w:sz="6" w:space="0"/>
            </w:tcBorders>
            <w:vAlign w:val="top"/>
          </w:tcPr>
          <w:p w14:paraId="78FC0231">
            <w:pPr>
              <w:spacing w:line="311" w:lineRule="auto"/>
              <w:rPr>
                <w:rFonts w:ascii="Arial"/>
                <w:sz w:val="21"/>
              </w:rPr>
            </w:pPr>
          </w:p>
          <w:p w14:paraId="2E570F6A">
            <w:pPr>
              <w:pStyle w:val="6"/>
              <w:spacing w:before="81" w:line="250" w:lineRule="auto"/>
              <w:ind w:left="185" w:right="180" w:firstLine="21"/>
            </w:pPr>
            <w:r>
              <w:t>国民经济</w:t>
            </w:r>
            <w:r>
              <w:rPr>
                <w:spacing w:val="6"/>
              </w:rPr>
              <w:t>行业类别</w:t>
            </w:r>
          </w:p>
        </w:tc>
        <w:tc>
          <w:tcPr>
            <w:tcW w:w="2414" w:type="dxa"/>
            <w:gridSpan w:val="3"/>
            <w:vAlign w:val="top"/>
          </w:tcPr>
          <w:p w14:paraId="39A97454">
            <w:pPr>
              <w:spacing w:line="366" w:lineRule="auto"/>
              <w:rPr>
                <w:rFonts w:ascii="Arial"/>
                <w:sz w:val="21"/>
              </w:rPr>
            </w:pPr>
          </w:p>
          <w:p w14:paraId="639CA15F">
            <w:pPr>
              <w:spacing w:before="72" w:line="193" w:lineRule="auto"/>
              <w:ind w:left="872"/>
              <w:rPr>
                <w:rFonts w:ascii="Times New Roman" w:hAnsi="Times New Roman" w:eastAsia="Times New Roman" w:cs="Times New Roman"/>
                <w:sz w:val="25"/>
                <w:szCs w:val="25"/>
              </w:rPr>
            </w:pPr>
            <w:r>
              <w:rPr>
                <w:rFonts w:ascii="Times New Roman" w:hAnsi="Times New Roman" w:eastAsia="Times New Roman" w:cs="Times New Roman"/>
                <w:spacing w:val="3"/>
                <w:sz w:val="25"/>
                <w:szCs w:val="25"/>
              </w:rPr>
              <w:t>F5265</w:t>
            </w:r>
          </w:p>
          <w:p w14:paraId="021032DD">
            <w:pPr>
              <w:pStyle w:val="6"/>
              <w:spacing w:before="40" w:line="225" w:lineRule="auto"/>
              <w:ind w:left="299"/>
            </w:pPr>
            <w:r>
              <w:rPr>
                <w:spacing w:val="8"/>
              </w:rPr>
              <w:t>机动车燃油零售</w:t>
            </w:r>
          </w:p>
        </w:tc>
        <w:tc>
          <w:tcPr>
            <w:tcW w:w="2094" w:type="dxa"/>
            <w:gridSpan w:val="2"/>
            <w:vAlign w:val="top"/>
          </w:tcPr>
          <w:p w14:paraId="3947E437">
            <w:pPr>
              <w:spacing w:line="311" w:lineRule="auto"/>
              <w:rPr>
                <w:rFonts w:ascii="Arial"/>
                <w:sz w:val="21"/>
              </w:rPr>
            </w:pPr>
          </w:p>
          <w:p w14:paraId="3FBBA4AA">
            <w:pPr>
              <w:pStyle w:val="6"/>
              <w:spacing w:before="81" w:line="250" w:lineRule="auto"/>
              <w:ind w:left="537" w:right="526" w:hanging="1"/>
            </w:pPr>
            <w:r>
              <w:rPr>
                <w:spacing w:val="6"/>
              </w:rPr>
              <w:t>建设项目行业类别</w:t>
            </w:r>
          </w:p>
        </w:tc>
        <w:tc>
          <w:tcPr>
            <w:tcW w:w="2966" w:type="dxa"/>
            <w:gridSpan w:val="3"/>
            <w:tcBorders>
              <w:right w:val="single" w:color="000000" w:sz="6" w:space="0"/>
            </w:tcBorders>
            <w:vAlign w:val="top"/>
          </w:tcPr>
          <w:p w14:paraId="6177E95F">
            <w:pPr>
              <w:pStyle w:val="6"/>
              <w:spacing w:before="59"/>
              <w:ind w:left="12" w:hanging="12"/>
              <w:jc w:val="both"/>
            </w:pPr>
            <w:r>
              <w:rPr>
                <w:spacing w:val="10"/>
              </w:rPr>
              <w:t>“五十、社会事业与服务</w:t>
            </w:r>
            <w:r>
              <w:rPr>
                <w:spacing w:val="1"/>
              </w:rPr>
              <w:t>业</w:t>
            </w:r>
            <w:r>
              <w:rPr>
                <w:spacing w:val="-71"/>
              </w:rPr>
              <w:t xml:space="preserve"> </w:t>
            </w:r>
            <w:r>
              <w:rPr>
                <w:spacing w:val="1"/>
              </w:rPr>
              <w:t>”中“</w:t>
            </w:r>
            <w:r>
              <w:rPr>
                <w:spacing w:val="-86"/>
              </w:rPr>
              <w:t xml:space="preserve"> </w:t>
            </w:r>
            <w:r>
              <w:rPr>
                <w:rFonts w:ascii="Times New Roman" w:hAnsi="Times New Roman" w:eastAsia="Times New Roman" w:cs="Times New Roman"/>
                <w:spacing w:val="1"/>
              </w:rPr>
              <w:t xml:space="preserve">119  </w:t>
            </w:r>
            <w:r>
              <w:rPr>
                <w:spacing w:val="1"/>
              </w:rPr>
              <w:t>加油、加气</w:t>
            </w:r>
            <w:r>
              <w:rPr>
                <w:spacing w:val="-8"/>
              </w:rPr>
              <w:t>站</w:t>
            </w:r>
            <w:r>
              <w:rPr>
                <w:spacing w:val="-87"/>
              </w:rPr>
              <w:t xml:space="preserve"> </w:t>
            </w:r>
            <w:r>
              <w:rPr>
                <w:spacing w:val="-8"/>
              </w:rPr>
              <w:t>”中“城市建成区新建、</w:t>
            </w:r>
            <w:r>
              <w:rPr>
                <w:spacing w:val="16"/>
              </w:rPr>
              <w:t>扩建加油站</w:t>
            </w:r>
            <w:r>
              <w:rPr>
                <w:spacing w:val="-89"/>
              </w:rPr>
              <w:t xml:space="preserve"> </w:t>
            </w:r>
            <w:r>
              <w:rPr>
                <w:spacing w:val="16"/>
              </w:rPr>
              <w:t>”</w:t>
            </w:r>
          </w:p>
        </w:tc>
      </w:tr>
      <w:tr w14:paraId="6F25B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5" w:hRule="atLeast"/>
        </w:trPr>
        <w:tc>
          <w:tcPr>
            <w:tcW w:w="1400" w:type="dxa"/>
            <w:tcBorders>
              <w:left w:val="single" w:color="000000" w:sz="6" w:space="0"/>
            </w:tcBorders>
            <w:vAlign w:val="top"/>
          </w:tcPr>
          <w:p w14:paraId="7DE1D3B8">
            <w:pPr>
              <w:spacing w:line="323" w:lineRule="auto"/>
              <w:rPr>
                <w:rFonts w:ascii="Arial"/>
                <w:sz w:val="21"/>
              </w:rPr>
            </w:pPr>
          </w:p>
          <w:p w14:paraId="52D8490F">
            <w:pPr>
              <w:spacing w:line="323" w:lineRule="auto"/>
              <w:rPr>
                <w:rFonts w:ascii="Arial"/>
                <w:sz w:val="21"/>
              </w:rPr>
            </w:pPr>
          </w:p>
          <w:p w14:paraId="4E4E915E">
            <w:pPr>
              <w:pStyle w:val="6"/>
              <w:spacing w:before="82" w:line="227" w:lineRule="auto"/>
              <w:ind w:left="184"/>
            </w:pPr>
            <w:r>
              <w:rPr>
                <w:spacing w:val="6"/>
              </w:rPr>
              <w:t>建设性质</w:t>
            </w:r>
          </w:p>
        </w:tc>
        <w:tc>
          <w:tcPr>
            <w:tcW w:w="2414" w:type="dxa"/>
            <w:gridSpan w:val="3"/>
            <w:vAlign w:val="top"/>
          </w:tcPr>
          <w:p w14:paraId="29D674E9">
            <w:pPr>
              <w:pStyle w:val="6"/>
              <w:spacing w:before="228" w:line="248" w:lineRule="auto"/>
              <w:ind w:left="16" w:right="652" w:firstLine="12"/>
            </w:pPr>
            <w:r>
              <w:rPr>
                <w:spacing w:val="1"/>
                <w:sz w:val="22"/>
                <w:szCs w:val="22"/>
              </w:rPr>
              <w:t>□</w:t>
            </w:r>
            <w:r>
              <w:rPr>
                <w:spacing w:val="1"/>
              </w:rPr>
              <w:t>新建（迁建）</w:t>
            </w:r>
            <w:r>
              <w:t xml:space="preserve"> </w:t>
            </w:r>
            <w:r>
              <w:rPr>
                <w:rFonts w:ascii="MS Gothic" w:hAnsi="MS Gothic" w:eastAsia="MS Gothic" w:cs="MS Gothic"/>
                <w:spacing w:val="-8"/>
                <w:sz w:val="22"/>
                <w:szCs w:val="22"/>
              </w:rPr>
              <w:t>☑</w:t>
            </w:r>
            <w:r>
              <w:rPr>
                <w:spacing w:val="-8"/>
              </w:rPr>
              <w:t>改建</w:t>
            </w:r>
          </w:p>
          <w:p w14:paraId="0836FEAA">
            <w:pPr>
              <w:pStyle w:val="6"/>
              <w:spacing w:line="234" w:lineRule="auto"/>
              <w:ind w:left="16"/>
            </w:pPr>
            <w:r>
              <w:rPr>
                <w:rFonts w:ascii="MS Gothic" w:hAnsi="MS Gothic" w:eastAsia="MS Gothic" w:cs="MS Gothic"/>
                <w:spacing w:val="-8"/>
                <w:sz w:val="22"/>
                <w:szCs w:val="22"/>
              </w:rPr>
              <w:t>☑</w:t>
            </w:r>
            <w:r>
              <w:rPr>
                <w:spacing w:val="-8"/>
              </w:rPr>
              <w:t>扩建</w:t>
            </w:r>
          </w:p>
          <w:p w14:paraId="440D159C">
            <w:pPr>
              <w:pStyle w:val="6"/>
              <w:spacing w:before="21" w:line="226" w:lineRule="auto"/>
              <w:ind w:left="28"/>
            </w:pPr>
            <w:r>
              <w:rPr>
                <w:spacing w:val="1"/>
                <w:sz w:val="22"/>
                <w:szCs w:val="22"/>
              </w:rPr>
              <w:t>□</w:t>
            </w:r>
            <w:r>
              <w:rPr>
                <w:spacing w:val="1"/>
              </w:rPr>
              <w:t>技术改造</w:t>
            </w:r>
          </w:p>
        </w:tc>
        <w:tc>
          <w:tcPr>
            <w:tcW w:w="2094" w:type="dxa"/>
            <w:gridSpan w:val="2"/>
            <w:vAlign w:val="top"/>
          </w:tcPr>
          <w:p w14:paraId="5C18718D">
            <w:pPr>
              <w:spacing w:line="479" w:lineRule="auto"/>
              <w:rPr>
                <w:rFonts w:ascii="Arial"/>
                <w:sz w:val="21"/>
              </w:rPr>
            </w:pPr>
          </w:p>
          <w:p w14:paraId="4E56753A">
            <w:pPr>
              <w:pStyle w:val="6"/>
              <w:spacing w:before="81" w:line="250" w:lineRule="auto"/>
              <w:ind w:left="566" w:right="526" w:hanging="30"/>
            </w:pPr>
            <w:r>
              <w:rPr>
                <w:spacing w:val="6"/>
              </w:rPr>
              <w:t>建设项目</w:t>
            </w:r>
            <w:r>
              <w:rPr>
                <w:spacing w:val="-2"/>
              </w:rPr>
              <w:t>申报情形</w:t>
            </w:r>
          </w:p>
        </w:tc>
        <w:tc>
          <w:tcPr>
            <w:tcW w:w="2966" w:type="dxa"/>
            <w:gridSpan w:val="3"/>
            <w:tcBorders>
              <w:right w:val="single" w:color="000000" w:sz="6" w:space="0"/>
            </w:tcBorders>
            <w:vAlign w:val="top"/>
          </w:tcPr>
          <w:p w14:paraId="5A010081">
            <w:pPr>
              <w:pStyle w:val="6"/>
              <w:spacing w:before="61" w:line="233" w:lineRule="auto"/>
              <w:ind w:left="22"/>
            </w:pPr>
            <w:r>
              <w:rPr>
                <w:rFonts w:ascii="MS Gothic" w:hAnsi="MS Gothic" w:eastAsia="MS Gothic" w:cs="MS Gothic"/>
                <w:spacing w:val="2"/>
                <w:sz w:val="22"/>
                <w:szCs w:val="22"/>
              </w:rPr>
              <w:t>☑</w:t>
            </w:r>
            <w:r>
              <w:rPr>
                <w:spacing w:val="2"/>
              </w:rPr>
              <w:t>首次申报项目</w:t>
            </w:r>
          </w:p>
          <w:p w14:paraId="189DB024">
            <w:pPr>
              <w:pStyle w:val="6"/>
              <w:spacing w:before="19" w:line="249" w:lineRule="auto"/>
              <w:ind w:left="63" w:right="132" w:hanging="28"/>
            </w:pPr>
            <w:r>
              <w:rPr>
                <w:spacing w:val="6"/>
                <w:sz w:val="22"/>
                <w:szCs w:val="22"/>
              </w:rPr>
              <w:t>□</w:t>
            </w:r>
            <w:r>
              <w:rPr>
                <w:spacing w:val="6"/>
              </w:rPr>
              <w:t>不予批准后再次申报项</w:t>
            </w:r>
            <w:r>
              <w:t>目</w:t>
            </w:r>
          </w:p>
          <w:p w14:paraId="1A0CBC0F">
            <w:pPr>
              <w:pStyle w:val="6"/>
              <w:spacing w:before="1" w:line="225" w:lineRule="auto"/>
              <w:ind w:left="35"/>
            </w:pPr>
            <w:r>
              <w:rPr>
                <w:spacing w:val="5"/>
                <w:sz w:val="22"/>
                <w:szCs w:val="22"/>
              </w:rPr>
              <w:t>□</w:t>
            </w:r>
            <w:r>
              <w:rPr>
                <w:spacing w:val="5"/>
              </w:rPr>
              <w:t>超五年重新审核项目</w:t>
            </w:r>
          </w:p>
          <w:p w14:paraId="4DE76079">
            <w:pPr>
              <w:pStyle w:val="6"/>
              <w:spacing w:before="29" w:line="213" w:lineRule="auto"/>
              <w:ind w:left="35"/>
            </w:pPr>
            <w:r>
              <w:rPr>
                <w:spacing w:val="6"/>
                <w:sz w:val="22"/>
                <w:szCs w:val="22"/>
              </w:rPr>
              <w:t>□</w:t>
            </w:r>
            <w:r>
              <w:rPr>
                <w:spacing w:val="6"/>
              </w:rPr>
              <w:t>重大变动重新报批项目</w:t>
            </w:r>
          </w:p>
        </w:tc>
      </w:tr>
      <w:tr w14:paraId="039BC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1400" w:type="dxa"/>
            <w:tcBorders>
              <w:left w:val="single" w:color="000000" w:sz="6" w:space="0"/>
            </w:tcBorders>
            <w:vAlign w:val="top"/>
          </w:tcPr>
          <w:p w14:paraId="4FCDB1C3">
            <w:pPr>
              <w:pStyle w:val="6"/>
              <w:spacing w:before="61" w:line="227" w:lineRule="auto"/>
              <w:ind w:left="185"/>
            </w:pPr>
            <w:r>
              <w:rPr>
                <w:spacing w:val="6"/>
              </w:rPr>
              <w:t>项目审批</w:t>
            </w:r>
          </w:p>
          <w:p w14:paraId="3CB9DA1A">
            <w:pPr>
              <w:pStyle w:val="6"/>
              <w:spacing w:before="28" w:line="227" w:lineRule="auto"/>
              <w:ind w:left="286"/>
              <w:rPr>
                <w:rFonts w:ascii="Times New Roman" w:hAnsi="Times New Roman" w:eastAsia="Times New Roman" w:cs="Times New Roman"/>
              </w:rPr>
            </w:pPr>
            <w:r>
              <w:rPr>
                <w:spacing w:val="2"/>
              </w:rPr>
              <w:t>（核准</w:t>
            </w:r>
            <w:r>
              <w:rPr>
                <w:rFonts w:ascii="Times New Roman" w:hAnsi="Times New Roman" w:eastAsia="Times New Roman" w:cs="Times New Roman"/>
                <w:spacing w:val="2"/>
              </w:rPr>
              <w:t>/</w:t>
            </w:r>
          </w:p>
          <w:p w14:paraId="24C8A3D6">
            <w:pPr>
              <w:pStyle w:val="6"/>
              <w:spacing w:before="30" w:line="230" w:lineRule="auto"/>
              <w:ind w:left="191" w:right="50" w:hanging="137"/>
            </w:pPr>
            <w:r>
              <w:rPr>
                <w:spacing w:val="6"/>
              </w:rPr>
              <w:t>备案）部门</w:t>
            </w:r>
            <w:r>
              <w:rPr>
                <w:spacing w:val="2"/>
              </w:rPr>
              <w:t>（选填）</w:t>
            </w:r>
          </w:p>
        </w:tc>
        <w:tc>
          <w:tcPr>
            <w:tcW w:w="2414" w:type="dxa"/>
            <w:gridSpan w:val="3"/>
            <w:vAlign w:val="top"/>
          </w:tcPr>
          <w:p w14:paraId="35BE6D58">
            <w:pPr>
              <w:spacing w:line="315" w:lineRule="auto"/>
              <w:rPr>
                <w:rFonts w:ascii="Arial"/>
                <w:sz w:val="21"/>
              </w:rPr>
            </w:pPr>
          </w:p>
          <w:p w14:paraId="00E51069">
            <w:pPr>
              <w:pStyle w:val="6"/>
              <w:spacing w:before="81" w:line="249" w:lineRule="auto"/>
              <w:ind w:left="430" w:right="38" w:hanging="388"/>
            </w:pPr>
            <w:r>
              <w:rPr>
                <w:spacing w:val="8"/>
              </w:rPr>
              <w:t>重庆市九龙坡区发展和改革委员会</w:t>
            </w:r>
          </w:p>
        </w:tc>
        <w:tc>
          <w:tcPr>
            <w:tcW w:w="2094" w:type="dxa"/>
            <w:gridSpan w:val="2"/>
            <w:vAlign w:val="top"/>
          </w:tcPr>
          <w:p w14:paraId="5DEBB74D">
            <w:pPr>
              <w:spacing w:line="314" w:lineRule="auto"/>
              <w:rPr>
                <w:rFonts w:ascii="Arial"/>
                <w:sz w:val="21"/>
              </w:rPr>
            </w:pPr>
          </w:p>
          <w:p w14:paraId="61A2C899">
            <w:pPr>
              <w:pStyle w:val="6"/>
              <w:spacing w:before="81" w:line="250" w:lineRule="auto"/>
              <w:ind w:left="13" w:firstLine="94"/>
            </w:pPr>
            <w:r>
              <w:rPr>
                <w:spacing w:val="-5"/>
              </w:rPr>
              <w:t>项目审批（核准</w:t>
            </w:r>
            <w:r>
              <w:rPr>
                <w:rFonts w:ascii="Times New Roman" w:hAnsi="Times New Roman" w:eastAsia="Times New Roman" w:cs="Times New Roman"/>
                <w:spacing w:val="-5"/>
              </w:rPr>
              <w:t>/</w:t>
            </w:r>
            <w:r>
              <w:rPr>
                <w:spacing w:val="-20"/>
              </w:rPr>
              <w:t>备案）文号（选填）</w:t>
            </w:r>
          </w:p>
        </w:tc>
        <w:tc>
          <w:tcPr>
            <w:tcW w:w="2966" w:type="dxa"/>
            <w:gridSpan w:val="3"/>
            <w:tcBorders>
              <w:right w:val="single" w:color="000000" w:sz="6" w:space="0"/>
            </w:tcBorders>
            <w:vAlign w:val="top"/>
          </w:tcPr>
          <w:p w14:paraId="15135734">
            <w:pPr>
              <w:spacing w:line="267" w:lineRule="auto"/>
              <w:rPr>
                <w:rFonts w:ascii="Arial"/>
                <w:sz w:val="21"/>
              </w:rPr>
            </w:pPr>
          </w:p>
          <w:p w14:paraId="29B3F265">
            <w:pPr>
              <w:spacing w:line="268" w:lineRule="auto"/>
              <w:rPr>
                <w:rFonts w:ascii="Arial"/>
                <w:sz w:val="21"/>
              </w:rPr>
            </w:pPr>
          </w:p>
          <w:p w14:paraId="174466FF">
            <w:pPr>
              <w:spacing w:before="72" w:line="193" w:lineRule="auto"/>
              <w:ind w:left="9"/>
              <w:rPr>
                <w:rFonts w:ascii="Times New Roman" w:hAnsi="Times New Roman" w:eastAsia="Times New Roman" w:cs="Times New Roman"/>
                <w:sz w:val="25"/>
                <w:szCs w:val="25"/>
              </w:rPr>
            </w:pPr>
            <w:r>
              <w:rPr>
                <w:rFonts w:ascii="Times New Roman" w:hAnsi="Times New Roman" w:eastAsia="Times New Roman" w:cs="Times New Roman"/>
                <w:spacing w:val="4"/>
                <w:sz w:val="25"/>
                <w:szCs w:val="25"/>
              </w:rPr>
              <w:t>2512-500107-04-02-704805</w:t>
            </w:r>
          </w:p>
        </w:tc>
      </w:tr>
      <w:tr w14:paraId="0EAC5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400" w:type="dxa"/>
            <w:tcBorders>
              <w:left w:val="single" w:color="000000" w:sz="6" w:space="0"/>
            </w:tcBorders>
            <w:vAlign w:val="top"/>
          </w:tcPr>
          <w:p w14:paraId="3614B5FC">
            <w:pPr>
              <w:pStyle w:val="6"/>
              <w:spacing w:before="63" w:line="227" w:lineRule="auto"/>
              <w:ind w:left="58"/>
            </w:pPr>
            <w:r>
              <w:rPr>
                <w:spacing w:val="6"/>
              </w:rPr>
              <w:t>总投资（万</w:t>
            </w:r>
          </w:p>
          <w:p w14:paraId="249FE3E5">
            <w:pPr>
              <w:pStyle w:val="6"/>
              <w:spacing w:before="28" w:line="211" w:lineRule="auto"/>
              <w:ind w:left="442"/>
            </w:pPr>
            <w:r>
              <w:rPr>
                <w:spacing w:val="-2"/>
              </w:rPr>
              <w:t>元）</w:t>
            </w:r>
          </w:p>
        </w:tc>
        <w:tc>
          <w:tcPr>
            <w:tcW w:w="2414" w:type="dxa"/>
            <w:gridSpan w:val="3"/>
            <w:vAlign w:val="top"/>
          </w:tcPr>
          <w:p w14:paraId="4D760365">
            <w:pPr>
              <w:spacing w:before="277" w:line="193" w:lineRule="auto"/>
              <w:ind w:left="1081"/>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60</w:t>
            </w:r>
          </w:p>
        </w:tc>
        <w:tc>
          <w:tcPr>
            <w:tcW w:w="2094" w:type="dxa"/>
            <w:gridSpan w:val="2"/>
            <w:vAlign w:val="top"/>
          </w:tcPr>
          <w:p w14:paraId="21ECA879">
            <w:pPr>
              <w:pStyle w:val="6"/>
              <w:spacing w:before="231" w:line="227" w:lineRule="auto"/>
              <w:ind w:left="22"/>
            </w:pPr>
            <w:r>
              <w:rPr>
                <w:spacing w:val="7"/>
              </w:rPr>
              <w:t>环保投资（万元）</w:t>
            </w:r>
          </w:p>
        </w:tc>
        <w:tc>
          <w:tcPr>
            <w:tcW w:w="2966" w:type="dxa"/>
            <w:gridSpan w:val="3"/>
            <w:tcBorders>
              <w:right w:val="single" w:color="000000" w:sz="6" w:space="0"/>
            </w:tcBorders>
            <w:vAlign w:val="top"/>
          </w:tcPr>
          <w:p w14:paraId="6F2D363B">
            <w:pPr>
              <w:spacing w:before="280" w:line="190" w:lineRule="auto"/>
              <w:ind w:left="1425"/>
              <w:rPr>
                <w:rFonts w:ascii="Times New Roman" w:hAnsi="Times New Roman" w:eastAsia="Times New Roman" w:cs="Times New Roman"/>
                <w:sz w:val="25"/>
                <w:szCs w:val="25"/>
              </w:rPr>
            </w:pPr>
            <w:r>
              <w:rPr>
                <w:rFonts w:ascii="Times New Roman" w:hAnsi="Times New Roman" w:eastAsia="Times New Roman" w:cs="Times New Roman"/>
                <w:sz w:val="25"/>
                <w:szCs w:val="25"/>
              </w:rPr>
              <w:t>5</w:t>
            </w:r>
          </w:p>
        </w:tc>
      </w:tr>
      <w:tr w14:paraId="56BD2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400" w:type="dxa"/>
            <w:tcBorders>
              <w:left w:val="single" w:color="000000" w:sz="6" w:space="0"/>
            </w:tcBorders>
            <w:vAlign w:val="top"/>
          </w:tcPr>
          <w:p w14:paraId="58E9A5D7">
            <w:pPr>
              <w:pStyle w:val="6"/>
              <w:spacing w:before="61" w:line="230" w:lineRule="auto"/>
              <w:ind w:left="230" w:right="50" w:hanging="179"/>
            </w:pPr>
            <w:r>
              <w:rPr>
                <w:spacing w:val="7"/>
              </w:rPr>
              <w:t>环保投资占</w:t>
            </w:r>
            <w:r>
              <w:rPr>
                <w:spacing w:val="-3"/>
              </w:rPr>
              <w:t>比（</w:t>
            </w:r>
            <w:r>
              <w:rPr>
                <w:rFonts w:ascii="Times New Roman" w:hAnsi="Times New Roman" w:eastAsia="Times New Roman" w:cs="Times New Roman"/>
                <w:spacing w:val="-3"/>
              </w:rPr>
              <w:t>%</w:t>
            </w:r>
            <w:r>
              <w:rPr>
                <w:spacing w:val="-3"/>
              </w:rPr>
              <w:t>）</w:t>
            </w:r>
          </w:p>
        </w:tc>
        <w:tc>
          <w:tcPr>
            <w:tcW w:w="2414" w:type="dxa"/>
            <w:gridSpan w:val="3"/>
            <w:vAlign w:val="top"/>
          </w:tcPr>
          <w:p w14:paraId="4F27B648">
            <w:pPr>
              <w:spacing w:before="274" w:line="194" w:lineRule="auto"/>
              <w:ind w:left="879"/>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8.33%</w:t>
            </w:r>
          </w:p>
        </w:tc>
        <w:tc>
          <w:tcPr>
            <w:tcW w:w="2094" w:type="dxa"/>
            <w:gridSpan w:val="2"/>
            <w:vAlign w:val="top"/>
          </w:tcPr>
          <w:p w14:paraId="139EF202">
            <w:pPr>
              <w:pStyle w:val="6"/>
              <w:spacing w:before="229" w:line="227" w:lineRule="auto"/>
              <w:ind w:left="532"/>
            </w:pPr>
            <w:r>
              <w:rPr>
                <w:spacing w:val="7"/>
              </w:rPr>
              <w:t>施工工期</w:t>
            </w:r>
          </w:p>
        </w:tc>
        <w:tc>
          <w:tcPr>
            <w:tcW w:w="2966" w:type="dxa"/>
            <w:gridSpan w:val="3"/>
            <w:tcBorders>
              <w:right w:val="single" w:color="000000" w:sz="6" w:space="0"/>
            </w:tcBorders>
            <w:vAlign w:val="top"/>
          </w:tcPr>
          <w:p w14:paraId="7D2DA449">
            <w:pPr>
              <w:pStyle w:val="6"/>
              <w:spacing w:before="230" w:line="226" w:lineRule="auto"/>
              <w:ind w:left="1130"/>
            </w:pPr>
            <w:r>
              <w:rPr>
                <w:rFonts w:ascii="Times New Roman" w:hAnsi="Times New Roman" w:eastAsia="Times New Roman" w:cs="Times New Roman"/>
              </w:rPr>
              <w:t>3</w:t>
            </w:r>
            <w:r>
              <w:rPr>
                <w:rFonts w:ascii="Times New Roman" w:hAnsi="Times New Roman" w:eastAsia="Times New Roman" w:cs="Times New Roman"/>
                <w:spacing w:val="13"/>
              </w:rPr>
              <w:t xml:space="preserve"> </w:t>
            </w:r>
            <w:r>
              <w:t>个月</w:t>
            </w:r>
          </w:p>
        </w:tc>
      </w:tr>
      <w:tr w14:paraId="3FDD1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400" w:type="dxa"/>
            <w:tcBorders>
              <w:left w:val="single" w:color="000000" w:sz="6" w:space="0"/>
            </w:tcBorders>
            <w:vAlign w:val="top"/>
          </w:tcPr>
          <w:p w14:paraId="08EC738C">
            <w:pPr>
              <w:pStyle w:val="6"/>
              <w:spacing w:before="66" w:line="228" w:lineRule="auto"/>
              <w:ind w:left="573" w:right="50" w:hanging="518"/>
            </w:pPr>
            <w:r>
              <w:rPr>
                <w:spacing w:val="6"/>
              </w:rPr>
              <w:t>是否开工建</w:t>
            </w:r>
            <w:r>
              <w:t>设</w:t>
            </w:r>
          </w:p>
        </w:tc>
        <w:tc>
          <w:tcPr>
            <w:tcW w:w="2414" w:type="dxa"/>
            <w:gridSpan w:val="3"/>
            <w:vAlign w:val="top"/>
          </w:tcPr>
          <w:p w14:paraId="5F67A636">
            <w:pPr>
              <w:pStyle w:val="6"/>
              <w:spacing w:before="66" w:line="234" w:lineRule="auto"/>
              <w:ind w:left="16"/>
            </w:pPr>
            <w:r>
              <w:rPr>
                <w:rFonts w:ascii="MS Gothic" w:hAnsi="MS Gothic" w:eastAsia="MS Gothic" w:cs="MS Gothic"/>
                <w:spacing w:val="-17"/>
                <w:sz w:val="22"/>
                <w:szCs w:val="22"/>
              </w:rPr>
              <w:t>☑</w:t>
            </w:r>
            <w:r>
              <w:rPr>
                <w:spacing w:val="-17"/>
              </w:rPr>
              <w:t>否</w:t>
            </w:r>
          </w:p>
          <w:p w14:paraId="1E69796D">
            <w:pPr>
              <w:pStyle w:val="6"/>
              <w:spacing w:before="18" w:line="208" w:lineRule="auto"/>
              <w:ind w:left="28"/>
            </w:pPr>
            <w:r>
              <w:rPr>
                <w:spacing w:val="-5"/>
                <w:sz w:val="22"/>
                <w:szCs w:val="22"/>
              </w:rPr>
              <w:t>□</w:t>
            </w:r>
            <w:r>
              <w:rPr>
                <w:spacing w:val="-5"/>
              </w:rPr>
              <w:t>是：</w:t>
            </w:r>
            <w:r>
              <w:rPr>
                <w:u w:val="single" w:color="auto"/>
              </w:rPr>
              <w:t xml:space="preserve">         </w:t>
            </w:r>
          </w:p>
        </w:tc>
        <w:tc>
          <w:tcPr>
            <w:tcW w:w="2094" w:type="dxa"/>
            <w:gridSpan w:val="2"/>
            <w:vAlign w:val="top"/>
          </w:tcPr>
          <w:p w14:paraId="17F69A10">
            <w:pPr>
              <w:pStyle w:val="6"/>
              <w:spacing w:before="67" w:line="227" w:lineRule="auto"/>
              <w:ind w:left="312"/>
            </w:pPr>
            <w:r>
              <w:rPr>
                <w:spacing w:val="-3"/>
              </w:rPr>
              <w:t>用地（用海）</w:t>
            </w:r>
          </w:p>
          <w:p w14:paraId="4BE88EE6">
            <w:pPr>
              <w:pStyle w:val="6"/>
              <w:spacing w:before="28" w:line="200" w:lineRule="auto"/>
              <w:ind w:left="421"/>
            </w:pPr>
            <w:r>
              <w:rPr>
                <w:spacing w:val="-2"/>
              </w:rPr>
              <w:t>面积（</w:t>
            </w:r>
            <w:r>
              <w:rPr>
                <w:rFonts w:ascii="Times New Roman" w:hAnsi="Times New Roman" w:eastAsia="Times New Roman" w:cs="Times New Roman"/>
                <w:spacing w:val="-2"/>
              </w:rPr>
              <w:t>m</w:t>
            </w:r>
            <w:r>
              <w:rPr>
                <w:rFonts w:ascii="Times New Roman" w:hAnsi="Times New Roman" w:eastAsia="Times New Roman" w:cs="Times New Roman"/>
                <w:spacing w:val="-2"/>
                <w:position w:val="1"/>
                <w:sz w:val="16"/>
                <w:szCs w:val="16"/>
              </w:rPr>
              <w:t>2</w:t>
            </w:r>
            <w:r>
              <w:rPr>
                <w:spacing w:val="-2"/>
                <w:position w:val="1"/>
              </w:rPr>
              <w:t>）</w:t>
            </w:r>
          </w:p>
        </w:tc>
        <w:tc>
          <w:tcPr>
            <w:tcW w:w="2966" w:type="dxa"/>
            <w:gridSpan w:val="3"/>
            <w:tcBorders>
              <w:right w:val="single" w:color="000000" w:sz="6" w:space="0"/>
            </w:tcBorders>
            <w:vAlign w:val="top"/>
          </w:tcPr>
          <w:p w14:paraId="28933735">
            <w:pPr>
              <w:spacing w:before="279" w:line="193" w:lineRule="auto"/>
              <w:ind w:left="1248"/>
              <w:rPr>
                <w:rFonts w:ascii="Times New Roman" w:hAnsi="Times New Roman" w:eastAsia="Times New Roman" w:cs="Times New Roman"/>
                <w:sz w:val="25"/>
                <w:szCs w:val="25"/>
              </w:rPr>
            </w:pPr>
            <w:r>
              <w:rPr>
                <w:rFonts w:ascii="Times New Roman" w:hAnsi="Times New Roman" w:eastAsia="Times New Roman" w:cs="Times New Roman"/>
                <w:spacing w:val="-4"/>
                <w:sz w:val="25"/>
                <w:szCs w:val="25"/>
              </w:rPr>
              <w:t>1453</w:t>
            </w:r>
          </w:p>
        </w:tc>
      </w:tr>
      <w:tr w14:paraId="3CCCE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3" w:hRule="atLeast"/>
        </w:trPr>
        <w:tc>
          <w:tcPr>
            <w:tcW w:w="1400" w:type="dxa"/>
            <w:vMerge w:val="restart"/>
            <w:tcBorders>
              <w:left w:val="single" w:color="000000" w:sz="6" w:space="0"/>
              <w:bottom w:val="nil"/>
            </w:tcBorders>
            <w:vAlign w:val="top"/>
          </w:tcPr>
          <w:p w14:paraId="7AC79E8D">
            <w:pPr>
              <w:spacing w:line="264" w:lineRule="auto"/>
              <w:rPr>
                <w:rFonts w:ascii="Arial"/>
                <w:sz w:val="21"/>
              </w:rPr>
            </w:pPr>
          </w:p>
          <w:p w14:paraId="799FAA0D">
            <w:pPr>
              <w:spacing w:line="264" w:lineRule="auto"/>
              <w:rPr>
                <w:rFonts w:ascii="Arial"/>
                <w:sz w:val="21"/>
              </w:rPr>
            </w:pPr>
          </w:p>
          <w:p w14:paraId="5449890A">
            <w:pPr>
              <w:spacing w:line="264" w:lineRule="auto"/>
              <w:rPr>
                <w:rFonts w:ascii="Arial"/>
                <w:sz w:val="21"/>
              </w:rPr>
            </w:pPr>
          </w:p>
          <w:p w14:paraId="3228DD9C">
            <w:pPr>
              <w:spacing w:line="265" w:lineRule="auto"/>
              <w:rPr>
                <w:rFonts w:ascii="Arial"/>
                <w:sz w:val="21"/>
              </w:rPr>
            </w:pPr>
          </w:p>
          <w:p w14:paraId="5A4E1F2C">
            <w:pPr>
              <w:spacing w:line="265" w:lineRule="auto"/>
              <w:rPr>
                <w:rFonts w:ascii="Arial"/>
                <w:sz w:val="21"/>
              </w:rPr>
            </w:pPr>
          </w:p>
          <w:p w14:paraId="64F65C87">
            <w:pPr>
              <w:pStyle w:val="6"/>
              <w:spacing w:before="82" w:line="250" w:lineRule="auto"/>
              <w:ind w:left="185" w:right="180" w:hanging="3"/>
            </w:pPr>
            <w:r>
              <w:rPr>
                <w:spacing w:val="6"/>
              </w:rPr>
              <w:t>专项评价设置情况</w:t>
            </w:r>
          </w:p>
        </w:tc>
        <w:tc>
          <w:tcPr>
            <w:tcW w:w="7474" w:type="dxa"/>
            <w:gridSpan w:val="8"/>
            <w:tcBorders>
              <w:right w:val="single" w:color="000000" w:sz="6" w:space="0"/>
            </w:tcBorders>
            <w:vAlign w:val="top"/>
          </w:tcPr>
          <w:p w14:paraId="653FE3FD">
            <w:pPr>
              <w:pStyle w:val="6"/>
              <w:spacing w:before="157" w:line="339" w:lineRule="auto"/>
              <w:ind w:left="122" w:right="105" w:firstLine="509"/>
            </w:pPr>
            <w:r>
              <w:rPr>
                <w:spacing w:val="8"/>
              </w:rPr>
              <w:t>根据建设项目环境影响报告表编制技术指南（污染影响类）</w:t>
            </w:r>
            <w:r>
              <w:rPr>
                <w:spacing w:val="17"/>
              </w:rPr>
              <w:t xml:space="preserve"> </w:t>
            </w:r>
            <w:r>
              <w:rPr>
                <w:spacing w:val="6"/>
              </w:rPr>
              <w:t>（试行）表</w:t>
            </w:r>
            <w:r>
              <w:rPr>
                <w:rFonts w:ascii="Times New Roman" w:hAnsi="Times New Roman" w:eastAsia="Times New Roman" w:cs="Times New Roman"/>
                <w:spacing w:val="6"/>
              </w:rPr>
              <w:t>1-</w:t>
            </w:r>
            <w:r>
              <w:rPr>
                <w:rFonts w:ascii="Times New Roman" w:hAnsi="Times New Roman" w:eastAsia="Times New Roman" w:cs="Times New Roman"/>
                <w:spacing w:val="-30"/>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31"/>
              </w:rPr>
              <w:t xml:space="preserve"> </w:t>
            </w:r>
            <w:r>
              <w:rPr>
                <w:spacing w:val="6"/>
              </w:rPr>
              <w:t>，本项目无需设置专项评价，对照情况见下表。</w:t>
            </w:r>
          </w:p>
          <w:p w14:paraId="1E7C1210">
            <w:pPr>
              <w:pStyle w:val="6"/>
              <w:spacing w:line="219" w:lineRule="auto"/>
              <w:ind w:left="1876"/>
            </w:pPr>
            <w:r>
              <w:rPr>
                <w:spacing w:val="5"/>
              </w:rPr>
              <w:t>表</w:t>
            </w:r>
            <w:r>
              <w:rPr>
                <w:rFonts w:ascii="Times New Roman" w:hAnsi="Times New Roman" w:eastAsia="Times New Roman" w:cs="Times New Roman"/>
                <w:spacing w:val="5"/>
              </w:rPr>
              <w:t>1-</w:t>
            </w:r>
            <w:r>
              <w:rPr>
                <w:rFonts w:ascii="Times New Roman" w:hAnsi="Times New Roman" w:eastAsia="Times New Roman" w:cs="Times New Roman"/>
                <w:spacing w:val="-27"/>
              </w:rPr>
              <w:t xml:space="preserve"> </w:t>
            </w:r>
            <w:r>
              <w:rPr>
                <w:rFonts w:ascii="Times New Roman" w:hAnsi="Times New Roman" w:eastAsia="Times New Roman" w:cs="Times New Roman"/>
                <w:spacing w:val="5"/>
              </w:rPr>
              <w:t xml:space="preserve">1    </w:t>
            </w:r>
            <w:r>
              <w:rPr>
                <w:spacing w:val="5"/>
              </w:rPr>
              <w:t>专项评价设置原则对照表</w:t>
            </w:r>
          </w:p>
        </w:tc>
      </w:tr>
      <w:tr w14:paraId="32006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1400" w:type="dxa"/>
            <w:vMerge w:val="continue"/>
            <w:tcBorders>
              <w:top w:val="nil"/>
              <w:left w:val="single" w:color="000000" w:sz="6" w:space="0"/>
              <w:bottom w:val="nil"/>
            </w:tcBorders>
            <w:vAlign w:val="top"/>
          </w:tcPr>
          <w:p w14:paraId="0C07D3A9">
            <w:pPr>
              <w:rPr>
                <w:rFonts w:ascii="Arial"/>
                <w:sz w:val="21"/>
              </w:rPr>
            </w:pPr>
          </w:p>
        </w:tc>
        <w:tc>
          <w:tcPr>
            <w:tcW w:w="115" w:type="dxa"/>
            <w:tcBorders>
              <w:top w:val="nil"/>
              <w:bottom w:val="nil"/>
            </w:tcBorders>
            <w:vAlign w:val="top"/>
          </w:tcPr>
          <w:p w14:paraId="02DADE92">
            <w:pPr>
              <w:rPr>
                <w:rFonts w:ascii="Arial"/>
                <w:sz w:val="21"/>
              </w:rPr>
            </w:pPr>
          </w:p>
        </w:tc>
        <w:tc>
          <w:tcPr>
            <w:tcW w:w="804" w:type="dxa"/>
            <w:vAlign w:val="top"/>
          </w:tcPr>
          <w:p w14:paraId="6BD7FFA1">
            <w:pPr>
              <w:spacing w:line="255" w:lineRule="auto"/>
              <w:rPr>
                <w:rFonts w:ascii="Arial"/>
                <w:sz w:val="21"/>
              </w:rPr>
            </w:pPr>
          </w:p>
          <w:p w14:paraId="0D913433">
            <w:pPr>
              <w:pStyle w:val="6"/>
              <w:spacing w:before="71" w:line="220" w:lineRule="auto"/>
              <w:ind w:left="109"/>
              <w:rPr>
                <w:sz w:val="22"/>
                <w:szCs w:val="22"/>
              </w:rPr>
            </w:pPr>
            <w:r>
              <w:rPr>
                <w:spacing w:val="-4"/>
                <w:sz w:val="22"/>
                <w:szCs w:val="22"/>
              </w:rPr>
              <w:t>类别</w:t>
            </w:r>
          </w:p>
        </w:tc>
        <w:tc>
          <w:tcPr>
            <w:tcW w:w="3175" w:type="dxa"/>
            <w:gridSpan w:val="2"/>
            <w:vAlign w:val="top"/>
          </w:tcPr>
          <w:p w14:paraId="7AE53286">
            <w:pPr>
              <w:spacing w:line="254" w:lineRule="auto"/>
              <w:rPr>
                <w:rFonts w:ascii="Arial"/>
                <w:sz w:val="21"/>
              </w:rPr>
            </w:pPr>
          </w:p>
          <w:p w14:paraId="6ABECF6F">
            <w:pPr>
              <w:pStyle w:val="6"/>
              <w:spacing w:before="72" w:line="221" w:lineRule="auto"/>
              <w:ind w:left="113"/>
              <w:rPr>
                <w:sz w:val="22"/>
                <w:szCs w:val="22"/>
              </w:rPr>
            </w:pPr>
            <w:r>
              <w:rPr>
                <w:spacing w:val="-5"/>
                <w:sz w:val="22"/>
                <w:szCs w:val="22"/>
              </w:rPr>
              <w:t>设置原则</w:t>
            </w:r>
          </w:p>
        </w:tc>
        <w:tc>
          <w:tcPr>
            <w:tcW w:w="2545" w:type="dxa"/>
            <w:gridSpan w:val="2"/>
            <w:vAlign w:val="top"/>
          </w:tcPr>
          <w:p w14:paraId="233FF755">
            <w:pPr>
              <w:spacing w:line="254" w:lineRule="auto"/>
              <w:rPr>
                <w:rFonts w:ascii="Arial"/>
                <w:sz w:val="21"/>
              </w:rPr>
            </w:pPr>
          </w:p>
          <w:p w14:paraId="782949CA">
            <w:pPr>
              <w:pStyle w:val="6"/>
              <w:spacing w:before="72" w:line="221" w:lineRule="auto"/>
              <w:ind w:left="118"/>
              <w:rPr>
                <w:sz w:val="22"/>
                <w:szCs w:val="22"/>
              </w:rPr>
            </w:pPr>
            <w:r>
              <w:rPr>
                <w:spacing w:val="-5"/>
                <w:sz w:val="22"/>
                <w:szCs w:val="22"/>
              </w:rPr>
              <w:t>项目情况对照</w:t>
            </w:r>
          </w:p>
        </w:tc>
        <w:tc>
          <w:tcPr>
            <w:tcW w:w="711" w:type="dxa"/>
            <w:vAlign w:val="top"/>
          </w:tcPr>
          <w:p w14:paraId="6468BB2A">
            <w:pPr>
              <w:pStyle w:val="6"/>
              <w:spacing w:before="44" w:line="221" w:lineRule="auto"/>
              <w:ind w:left="124"/>
              <w:rPr>
                <w:sz w:val="22"/>
                <w:szCs w:val="22"/>
              </w:rPr>
            </w:pPr>
            <w:r>
              <w:rPr>
                <w:spacing w:val="-6"/>
                <w:sz w:val="22"/>
                <w:szCs w:val="22"/>
              </w:rPr>
              <w:t>是否</w:t>
            </w:r>
          </w:p>
          <w:p w14:paraId="64122590">
            <w:pPr>
              <w:pStyle w:val="6"/>
              <w:spacing w:before="21" w:line="222" w:lineRule="auto"/>
              <w:ind w:left="124"/>
              <w:rPr>
                <w:sz w:val="22"/>
                <w:szCs w:val="22"/>
              </w:rPr>
            </w:pPr>
            <w:r>
              <w:rPr>
                <w:spacing w:val="-6"/>
                <w:sz w:val="22"/>
                <w:szCs w:val="22"/>
              </w:rPr>
              <w:t>设置</w:t>
            </w:r>
          </w:p>
          <w:p w14:paraId="49477C29">
            <w:pPr>
              <w:pStyle w:val="6"/>
              <w:spacing w:before="21" w:line="196" w:lineRule="auto"/>
              <w:ind w:left="121"/>
              <w:rPr>
                <w:sz w:val="22"/>
                <w:szCs w:val="22"/>
              </w:rPr>
            </w:pPr>
            <w:r>
              <w:rPr>
                <w:spacing w:val="-5"/>
                <w:sz w:val="22"/>
                <w:szCs w:val="22"/>
              </w:rPr>
              <w:t>专项</w:t>
            </w:r>
          </w:p>
        </w:tc>
        <w:tc>
          <w:tcPr>
            <w:tcW w:w="124" w:type="dxa"/>
            <w:tcBorders>
              <w:top w:val="nil"/>
              <w:bottom w:val="nil"/>
              <w:right w:val="single" w:color="000000" w:sz="6" w:space="0"/>
            </w:tcBorders>
            <w:vAlign w:val="top"/>
          </w:tcPr>
          <w:p w14:paraId="668B10C5">
            <w:pPr>
              <w:rPr>
                <w:rFonts w:ascii="Arial"/>
                <w:sz w:val="21"/>
              </w:rPr>
            </w:pPr>
          </w:p>
        </w:tc>
      </w:tr>
      <w:tr w14:paraId="15BA8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8" w:hRule="atLeast"/>
        </w:trPr>
        <w:tc>
          <w:tcPr>
            <w:tcW w:w="1400" w:type="dxa"/>
            <w:vMerge w:val="continue"/>
            <w:tcBorders>
              <w:top w:val="nil"/>
              <w:left w:val="single" w:color="000000" w:sz="6" w:space="0"/>
              <w:bottom w:val="single" w:color="000000" w:sz="6" w:space="0"/>
            </w:tcBorders>
            <w:vAlign w:val="top"/>
          </w:tcPr>
          <w:p w14:paraId="1E203C56">
            <w:pPr>
              <w:rPr>
                <w:rFonts w:ascii="Arial"/>
                <w:sz w:val="21"/>
              </w:rPr>
            </w:pPr>
          </w:p>
        </w:tc>
        <w:tc>
          <w:tcPr>
            <w:tcW w:w="115" w:type="dxa"/>
            <w:tcBorders>
              <w:top w:val="nil"/>
              <w:bottom w:val="single" w:color="000000" w:sz="6" w:space="0"/>
            </w:tcBorders>
            <w:vAlign w:val="top"/>
          </w:tcPr>
          <w:p w14:paraId="402930A3">
            <w:pPr>
              <w:rPr>
                <w:rFonts w:ascii="Arial"/>
                <w:sz w:val="21"/>
              </w:rPr>
            </w:pPr>
          </w:p>
        </w:tc>
        <w:tc>
          <w:tcPr>
            <w:tcW w:w="804" w:type="dxa"/>
            <w:tcBorders>
              <w:bottom w:val="single" w:color="000000" w:sz="6" w:space="0"/>
            </w:tcBorders>
            <w:vAlign w:val="top"/>
          </w:tcPr>
          <w:p w14:paraId="22E15B4F">
            <w:pPr>
              <w:spacing w:line="397" w:lineRule="auto"/>
              <w:rPr>
                <w:rFonts w:ascii="Arial"/>
                <w:sz w:val="21"/>
              </w:rPr>
            </w:pPr>
          </w:p>
          <w:p w14:paraId="39CDBA67">
            <w:pPr>
              <w:pStyle w:val="6"/>
              <w:spacing w:before="71" w:line="221" w:lineRule="auto"/>
              <w:ind w:left="112"/>
              <w:rPr>
                <w:sz w:val="22"/>
                <w:szCs w:val="22"/>
              </w:rPr>
            </w:pPr>
            <w:r>
              <w:rPr>
                <w:spacing w:val="-6"/>
                <w:sz w:val="22"/>
                <w:szCs w:val="22"/>
              </w:rPr>
              <w:t>大气</w:t>
            </w:r>
          </w:p>
        </w:tc>
        <w:tc>
          <w:tcPr>
            <w:tcW w:w="3175" w:type="dxa"/>
            <w:gridSpan w:val="2"/>
            <w:tcBorders>
              <w:bottom w:val="single" w:color="000000" w:sz="6" w:space="0"/>
            </w:tcBorders>
            <w:vAlign w:val="top"/>
          </w:tcPr>
          <w:p w14:paraId="6A56CE91">
            <w:pPr>
              <w:pStyle w:val="6"/>
              <w:spacing w:before="42" w:line="232" w:lineRule="auto"/>
              <w:ind w:left="109" w:right="100"/>
              <w:rPr>
                <w:sz w:val="22"/>
                <w:szCs w:val="22"/>
              </w:rPr>
            </w:pPr>
            <w:r>
              <w:rPr>
                <w:spacing w:val="-9"/>
                <w:sz w:val="22"/>
                <w:szCs w:val="22"/>
              </w:rPr>
              <w:t>排放废气含有毒有害污染物、二噁英、苯并</w:t>
            </w:r>
            <w:r>
              <w:rPr>
                <w:rFonts w:ascii="Times New Roman" w:hAnsi="Times New Roman" w:eastAsia="Times New Roman" w:cs="Times New Roman"/>
                <w:spacing w:val="-9"/>
                <w:sz w:val="22"/>
                <w:szCs w:val="22"/>
              </w:rPr>
              <w:t>[a]</w:t>
            </w:r>
            <w:r>
              <w:rPr>
                <w:spacing w:val="-9"/>
                <w:sz w:val="22"/>
                <w:szCs w:val="22"/>
              </w:rPr>
              <w:t>芘、氰化物、氯气</w:t>
            </w:r>
            <w:r>
              <w:rPr>
                <w:spacing w:val="-5"/>
                <w:sz w:val="22"/>
                <w:szCs w:val="22"/>
              </w:rPr>
              <w:t>且厂界外</w:t>
            </w:r>
            <w:r>
              <w:rPr>
                <w:spacing w:val="-37"/>
                <w:sz w:val="22"/>
                <w:szCs w:val="22"/>
              </w:rPr>
              <w:t xml:space="preserve"> </w:t>
            </w:r>
            <w:r>
              <w:rPr>
                <w:rFonts w:ascii="Times New Roman" w:hAnsi="Times New Roman" w:eastAsia="Times New Roman" w:cs="Times New Roman"/>
                <w:spacing w:val="-5"/>
                <w:sz w:val="22"/>
                <w:szCs w:val="22"/>
              </w:rPr>
              <w:t xml:space="preserve">500 </w:t>
            </w:r>
            <w:r>
              <w:rPr>
                <w:spacing w:val="-5"/>
                <w:sz w:val="22"/>
                <w:szCs w:val="22"/>
              </w:rPr>
              <w:t>米范围内有环境</w:t>
            </w:r>
            <w:r>
              <w:rPr>
                <w:spacing w:val="-4"/>
                <w:sz w:val="22"/>
                <w:szCs w:val="22"/>
              </w:rPr>
              <w:t>空气保护目标的建设项目</w:t>
            </w:r>
          </w:p>
        </w:tc>
        <w:tc>
          <w:tcPr>
            <w:tcW w:w="2545" w:type="dxa"/>
            <w:gridSpan w:val="2"/>
            <w:tcBorders>
              <w:bottom w:val="single" w:color="000000" w:sz="6" w:space="0"/>
            </w:tcBorders>
            <w:vAlign w:val="top"/>
          </w:tcPr>
          <w:p w14:paraId="65D89197">
            <w:pPr>
              <w:pStyle w:val="6"/>
              <w:spacing w:before="42" w:line="232" w:lineRule="auto"/>
              <w:ind w:left="114" w:right="85"/>
              <w:rPr>
                <w:sz w:val="22"/>
                <w:szCs w:val="22"/>
              </w:rPr>
            </w:pPr>
            <w:r>
              <w:rPr>
                <w:spacing w:val="-5"/>
                <w:sz w:val="22"/>
                <w:szCs w:val="22"/>
              </w:rPr>
              <w:t>本项目排放废气中不包</w:t>
            </w:r>
            <w:r>
              <w:rPr>
                <w:spacing w:val="-8"/>
                <w:sz w:val="22"/>
                <w:szCs w:val="22"/>
              </w:rPr>
              <w:t>含上述有毒有害污染物、</w:t>
            </w:r>
            <w:r>
              <w:rPr>
                <w:spacing w:val="-9"/>
                <w:sz w:val="22"/>
                <w:szCs w:val="22"/>
              </w:rPr>
              <w:t>二噁英、苯并</w:t>
            </w:r>
            <w:r>
              <w:rPr>
                <w:rFonts w:ascii="Times New Roman" w:hAnsi="Times New Roman" w:eastAsia="Times New Roman" w:cs="Times New Roman"/>
                <w:spacing w:val="-9"/>
                <w:sz w:val="22"/>
                <w:szCs w:val="22"/>
              </w:rPr>
              <w:t>[a]</w:t>
            </w:r>
            <w:r>
              <w:rPr>
                <w:spacing w:val="-9"/>
                <w:sz w:val="22"/>
                <w:szCs w:val="22"/>
              </w:rPr>
              <w:t>芘、氰化</w:t>
            </w:r>
            <w:r>
              <w:rPr>
                <w:spacing w:val="-4"/>
                <w:sz w:val="22"/>
                <w:szCs w:val="22"/>
              </w:rPr>
              <w:t>物、氯气等</w:t>
            </w:r>
          </w:p>
        </w:tc>
        <w:tc>
          <w:tcPr>
            <w:tcW w:w="711" w:type="dxa"/>
            <w:tcBorders>
              <w:bottom w:val="single" w:color="000000" w:sz="6" w:space="0"/>
            </w:tcBorders>
            <w:vAlign w:val="top"/>
          </w:tcPr>
          <w:p w14:paraId="426D912D">
            <w:pPr>
              <w:spacing w:line="397" w:lineRule="auto"/>
              <w:rPr>
                <w:rFonts w:ascii="Arial"/>
                <w:sz w:val="21"/>
              </w:rPr>
            </w:pPr>
          </w:p>
          <w:p w14:paraId="46860C36">
            <w:pPr>
              <w:pStyle w:val="6"/>
              <w:spacing w:before="71" w:line="221" w:lineRule="auto"/>
              <w:ind w:left="127"/>
              <w:rPr>
                <w:sz w:val="22"/>
                <w:szCs w:val="22"/>
              </w:rPr>
            </w:pPr>
            <w:r>
              <w:rPr>
                <w:sz w:val="22"/>
                <w:szCs w:val="22"/>
              </w:rPr>
              <w:t>否</w:t>
            </w:r>
          </w:p>
        </w:tc>
        <w:tc>
          <w:tcPr>
            <w:tcW w:w="124" w:type="dxa"/>
            <w:tcBorders>
              <w:top w:val="nil"/>
              <w:bottom w:val="single" w:color="000000" w:sz="6" w:space="0"/>
              <w:right w:val="single" w:color="000000" w:sz="6" w:space="0"/>
            </w:tcBorders>
            <w:vAlign w:val="top"/>
          </w:tcPr>
          <w:p w14:paraId="3FC1C36A">
            <w:pPr>
              <w:rPr>
                <w:rFonts w:ascii="Arial"/>
                <w:sz w:val="21"/>
              </w:rPr>
            </w:pPr>
          </w:p>
        </w:tc>
      </w:tr>
    </w:tbl>
    <w:p w14:paraId="0ABD8BB7">
      <w:pPr>
        <w:pStyle w:val="2"/>
        <w:rPr>
          <w:sz w:val="21"/>
        </w:rPr>
      </w:pPr>
    </w:p>
    <w:p w14:paraId="3F405C3D">
      <w:pPr>
        <w:rPr>
          <w:sz w:val="21"/>
          <w:szCs w:val="21"/>
        </w:rPr>
        <w:sectPr>
          <w:footerReference r:id="rId7" w:type="default"/>
          <w:pgSz w:w="11906" w:h="16839"/>
          <w:pgMar w:top="400" w:right="1508" w:bottom="1234" w:left="1508" w:header="0" w:footer="1002" w:gutter="0"/>
          <w:cols w:space="720" w:num="1"/>
        </w:sectPr>
      </w:pPr>
    </w:p>
    <w:p w14:paraId="1D25B3F8">
      <w:pPr>
        <w:spacing w:before="19"/>
      </w:pPr>
    </w:p>
    <w:p w14:paraId="5824FB8C">
      <w:pPr>
        <w:spacing w:before="19"/>
      </w:pPr>
    </w:p>
    <w:p w14:paraId="31CCFB29">
      <w:pPr>
        <w:spacing w:before="19"/>
      </w:pPr>
    </w:p>
    <w:p w14:paraId="0324F4D2">
      <w:pPr>
        <w:spacing w:before="18"/>
      </w:pPr>
    </w:p>
    <w:p w14:paraId="3239D896">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115"/>
        <w:gridCol w:w="804"/>
        <w:gridCol w:w="3174"/>
        <w:gridCol w:w="2546"/>
        <w:gridCol w:w="711"/>
        <w:gridCol w:w="124"/>
      </w:tblGrid>
      <w:tr w14:paraId="7953D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5" w:hRule="atLeast"/>
        </w:trPr>
        <w:tc>
          <w:tcPr>
            <w:tcW w:w="1400" w:type="dxa"/>
            <w:vMerge w:val="restart"/>
            <w:tcBorders>
              <w:top w:val="single" w:color="000000" w:sz="6" w:space="0"/>
              <w:left w:val="single" w:color="000000" w:sz="6" w:space="0"/>
              <w:bottom w:val="nil"/>
            </w:tcBorders>
            <w:vAlign w:val="top"/>
          </w:tcPr>
          <w:p w14:paraId="6552B2FD">
            <w:pPr>
              <w:rPr>
                <w:rFonts w:ascii="Arial"/>
                <w:sz w:val="21"/>
              </w:rPr>
            </w:pPr>
          </w:p>
        </w:tc>
        <w:tc>
          <w:tcPr>
            <w:tcW w:w="115" w:type="dxa"/>
            <w:tcBorders>
              <w:top w:val="single" w:color="000000" w:sz="6" w:space="0"/>
              <w:bottom w:val="nil"/>
            </w:tcBorders>
            <w:vAlign w:val="top"/>
          </w:tcPr>
          <w:p w14:paraId="4FB11EB7">
            <w:pPr>
              <w:rPr>
                <w:rFonts w:ascii="Arial"/>
                <w:sz w:val="21"/>
              </w:rPr>
            </w:pPr>
          </w:p>
        </w:tc>
        <w:tc>
          <w:tcPr>
            <w:tcW w:w="804" w:type="dxa"/>
            <w:tcBorders>
              <w:top w:val="single" w:color="000000" w:sz="6" w:space="0"/>
            </w:tcBorders>
            <w:vAlign w:val="top"/>
          </w:tcPr>
          <w:p w14:paraId="3CFDCA23">
            <w:pPr>
              <w:spacing w:line="336" w:lineRule="auto"/>
              <w:rPr>
                <w:rFonts w:ascii="Arial"/>
                <w:sz w:val="21"/>
              </w:rPr>
            </w:pPr>
          </w:p>
          <w:p w14:paraId="0F5DCC7E">
            <w:pPr>
              <w:spacing w:line="337" w:lineRule="auto"/>
              <w:rPr>
                <w:rFonts w:ascii="Arial"/>
                <w:sz w:val="21"/>
              </w:rPr>
            </w:pPr>
          </w:p>
          <w:p w14:paraId="3DA00814">
            <w:pPr>
              <w:pStyle w:val="6"/>
              <w:spacing w:before="71" w:line="242" w:lineRule="auto"/>
              <w:ind w:left="111" w:right="260" w:hanging="2"/>
              <w:rPr>
                <w:sz w:val="22"/>
                <w:szCs w:val="22"/>
              </w:rPr>
            </w:pPr>
            <w:r>
              <w:rPr>
                <w:spacing w:val="-6"/>
                <w:sz w:val="22"/>
                <w:szCs w:val="22"/>
              </w:rPr>
              <w:t>地表</w:t>
            </w:r>
            <w:r>
              <w:rPr>
                <w:sz w:val="22"/>
                <w:szCs w:val="22"/>
              </w:rPr>
              <w:t>水</w:t>
            </w:r>
          </w:p>
        </w:tc>
        <w:tc>
          <w:tcPr>
            <w:tcW w:w="3174" w:type="dxa"/>
            <w:tcBorders>
              <w:top w:val="single" w:color="000000" w:sz="6" w:space="0"/>
            </w:tcBorders>
            <w:vAlign w:val="top"/>
          </w:tcPr>
          <w:p w14:paraId="199AA25F">
            <w:pPr>
              <w:spacing w:line="390" w:lineRule="auto"/>
              <w:rPr>
                <w:rFonts w:ascii="Arial"/>
                <w:sz w:val="21"/>
              </w:rPr>
            </w:pPr>
          </w:p>
          <w:p w14:paraId="0AEBE07A">
            <w:pPr>
              <w:pStyle w:val="6"/>
              <w:spacing w:before="72"/>
              <w:ind w:left="110" w:right="91"/>
              <w:rPr>
                <w:sz w:val="22"/>
                <w:szCs w:val="22"/>
              </w:rPr>
            </w:pPr>
            <w:r>
              <w:rPr>
                <w:spacing w:val="-9"/>
                <w:sz w:val="22"/>
                <w:szCs w:val="22"/>
              </w:rPr>
              <w:t>新增工业废水直排建设项目（槽</w:t>
            </w:r>
            <w:r>
              <w:rPr>
                <w:spacing w:val="-5"/>
                <w:sz w:val="22"/>
                <w:szCs w:val="22"/>
              </w:rPr>
              <w:t>罐车外送污水处理厂的除外</w:t>
            </w:r>
            <w:r>
              <w:rPr>
                <w:spacing w:val="-27"/>
                <w:sz w:val="22"/>
                <w:szCs w:val="22"/>
              </w:rPr>
              <w:t>）；</w:t>
            </w:r>
            <w:r>
              <w:rPr>
                <w:spacing w:val="-5"/>
                <w:sz w:val="22"/>
                <w:szCs w:val="22"/>
              </w:rPr>
              <w:t>新增废水直排的污水集中处理</w:t>
            </w:r>
            <w:r>
              <w:rPr>
                <w:sz w:val="22"/>
                <w:szCs w:val="22"/>
              </w:rPr>
              <w:t>厂</w:t>
            </w:r>
          </w:p>
        </w:tc>
        <w:tc>
          <w:tcPr>
            <w:tcW w:w="2546" w:type="dxa"/>
            <w:tcBorders>
              <w:top w:val="single" w:color="000000" w:sz="6" w:space="0"/>
            </w:tcBorders>
            <w:vAlign w:val="top"/>
          </w:tcPr>
          <w:p w14:paraId="5C8472DE">
            <w:pPr>
              <w:pStyle w:val="6"/>
              <w:spacing w:before="34" w:line="235" w:lineRule="auto"/>
              <w:ind w:left="114" w:right="85" w:firstLine="1"/>
              <w:rPr>
                <w:sz w:val="22"/>
                <w:szCs w:val="22"/>
              </w:rPr>
            </w:pPr>
            <w:r>
              <w:rPr>
                <w:spacing w:val="-5"/>
                <w:sz w:val="22"/>
                <w:szCs w:val="22"/>
              </w:rPr>
              <w:t>本项目产生的场地冲洗</w:t>
            </w:r>
            <w:r>
              <w:rPr>
                <w:spacing w:val="-8"/>
                <w:sz w:val="22"/>
                <w:szCs w:val="22"/>
              </w:rPr>
              <w:t>废水经隔油沉淀池隔油、</w:t>
            </w:r>
            <w:r>
              <w:rPr>
                <w:spacing w:val="-5"/>
                <w:sz w:val="22"/>
                <w:szCs w:val="22"/>
              </w:rPr>
              <w:t>沉淀处理后接入市政污</w:t>
            </w:r>
            <w:r>
              <w:rPr>
                <w:spacing w:val="-8"/>
                <w:sz w:val="22"/>
                <w:szCs w:val="22"/>
              </w:rPr>
              <w:t>水管网，生活污水经生化</w:t>
            </w:r>
            <w:r>
              <w:rPr>
                <w:spacing w:val="-5"/>
                <w:sz w:val="22"/>
                <w:szCs w:val="22"/>
              </w:rPr>
              <w:t>池处理后接入市政污水</w:t>
            </w:r>
            <w:r>
              <w:rPr>
                <w:spacing w:val="-8"/>
                <w:sz w:val="22"/>
                <w:szCs w:val="22"/>
              </w:rPr>
              <w:t>管网。本项目不属于废水</w:t>
            </w:r>
            <w:r>
              <w:rPr>
                <w:spacing w:val="-4"/>
                <w:sz w:val="22"/>
                <w:szCs w:val="22"/>
              </w:rPr>
              <w:t>直排的污水处理厂项目</w:t>
            </w:r>
          </w:p>
        </w:tc>
        <w:tc>
          <w:tcPr>
            <w:tcW w:w="711" w:type="dxa"/>
            <w:tcBorders>
              <w:top w:val="single" w:color="000000" w:sz="6" w:space="0"/>
            </w:tcBorders>
            <w:vAlign w:val="top"/>
          </w:tcPr>
          <w:p w14:paraId="74112C7B">
            <w:pPr>
              <w:spacing w:line="271" w:lineRule="auto"/>
              <w:rPr>
                <w:rFonts w:ascii="Arial"/>
                <w:sz w:val="21"/>
              </w:rPr>
            </w:pPr>
          </w:p>
          <w:p w14:paraId="48502FC9">
            <w:pPr>
              <w:spacing w:line="271" w:lineRule="auto"/>
              <w:rPr>
                <w:rFonts w:ascii="Arial"/>
                <w:sz w:val="21"/>
              </w:rPr>
            </w:pPr>
          </w:p>
          <w:p w14:paraId="714FC376">
            <w:pPr>
              <w:spacing w:line="272" w:lineRule="auto"/>
              <w:rPr>
                <w:rFonts w:ascii="Arial"/>
                <w:sz w:val="21"/>
              </w:rPr>
            </w:pPr>
          </w:p>
          <w:p w14:paraId="6A770F60">
            <w:pPr>
              <w:pStyle w:val="6"/>
              <w:spacing w:before="72" w:line="221" w:lineRule="auto"/>
              <w:ind w:left="127"/>
              <w:rPr>
                <w:sz w:val="22"/>
                <w:szCs w:val="22"/>
              </w:rPr>
            </w:pPr>
            <w:r>
              <w:rPr>
                <w:sz w:val="22"/>
                <w:szCs w:val="22"/>
              </w:rPr>
              <w:t>否</w:t>
            </w:r>
          </w:p>
        </w:tc>
        <w:tc>
          <w:tcPr>
            <w:tcW w:w="124" w:type="dxa"/>
            <w:tcBorders>
              <w:top w:val="single" w:color="000000" w:sz="6" w:space="0"/>
              <w:bottom w:val="nil"/>
              <w:right w:val="single" w:color="000000" w:sz="6" w:space="0"/>
            </w:tcBorders>
            <w:vAlign w:val="top"/>
          </w:tcPr>
          <w:p w14:paraId="6C151E49">
            <w:pPr>
              <w:rPr>
                <w:rFonts w:ascii="Arial"/>
                <w:sz w:val="21"/>
              </w:rPr>
            </w:pPr>
          </w:p>
        </w:tc>
      </w:tr>
      <w:tr w14:paraId="19354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400" w:type="dxa"/>
            <w:vMerge w:val="continue"/>
            <w:tcBorders>
              <w:top w:val="nil"/>
              <w:left w:val="single" w:color="000000" w:sz="6" w:space="0"/>
              <w:bottom w:val="nil"/>
            </w:tcBorders>
            <w:vAlign w:val="top"/>
          </w:tcPr>
          <w:p w14:paraId="23FF5327">
            <w:pPr>
              <w:rPr>
                <w:rFonts w:ascii="Arial"/>
                <w:sz w:val="21"/>
              </w:rPr>
            </w:pPr>
          </w:p>
        </w:tc>
        <w:tc>
          <w:tcPr>
            <w:tcW w:w="115" w:type="dxa"/>
            <w:tcBorders>
              <w:top w:val="nil"/>
              <w:bottom w:val="nil"/>
            </w:tcBorders>
            <w:vAlign w:val="top"/>
          </w:tcPr>
          <w:p w14:paraId="1F691BC9">
            <w:pPr>
              <w:rPr>
                <w:rFonts w:ascii="Arial"/>
                <w:sz w:val="21"/>
              </w:rPr>
            </w:pPr>
          </w:p>
        </w:tc>
        <w:tc>
          <w:tcPr>
            <w:tcW w:w="804" w:type="dxa"/>
            <w:vAlign w:val="top"/>
          </w:tcPr>
          <w:p w14:paraId="5C05A663">
            <w:pPr>
              <w:pStyle w:val="6"/>
              <w:spacing w:before="33" w:line="221" w:lineRule="auto"/>
              <w:ind w:left="109"/>
              <w:rPr>
                <w:sz w:val="22"/>
                <w:szCs w:val="22"/>
              </w:rPr>
            </w:pPr>
            <w:r>
              <w:rPr>
                <w:spacing w:val="-4"/>
                <w:sz w:val="22"/>
                <w:szCs w:val="22"/>
              </w:rPr>
              <w:t>环境</w:t>
            </w:r>
          </w:p>
          <w:p w14:paraId="25A77498">
            <w:pPr>
              <w:pStyle w:val="6"/>
              <w:spacing w:before="21" w:line="207" w:lineRule="auto"/>
              <w:ind w:left="110"/>
              <w:rPr>
                <w:sz w:val="22"/>
                <w:szCs w:val="22"/>
              </w:rPr>
            </w:pPr>
            <w:r>
              <w:rPr>
                <w:spacing w:val="-5"/>
                <w:sz w:val="22"/>
                <w:szCs w:val="22"/>
              </w:rPr>
              <w:t>风险</w:t>
            </w:r>
          </w:p>
        </w:tc>
        <w:tc>
          <w:tcPr>
            <w:tcW w:w="3174" w:type="dxa"/>
            <w:vAlign w:val="top"/>
          </w:tcPr>
          <w:p w14:paraId="4B06ECB9">
            <w:pPr>
              <w:pStyle w:val="6"/>
              <w:spacing w:before="33" w:line="223" w:lineRule="auto"/>
              <w:ind w:left="108" w:right="255" w:firstLine="1"/>
              <w:rPr>
                <w:sz w:val="22"/>
                <w:szCs w:val="22"/>
              </w:rPr>
            </w:pPr>
            <w:r>
              <w:rPr>
                <w:spacing w:val="-5"/>
                <w:sz w:val="22"/>
                <w:szCs w:val="22"/>
              </w:rPr>
              <w:t>有毒有害和易燃易爆危险物质存储量超过临界量的建设项目</w:t>
            </w:r>
          </w:p>
        </w:tc>
        <w:tc>
          <w:tcPr>
            <w:tcW w:w="2546" w:type="dxa"/>
            <w:vAlign w:val="top"/>
          </w:tcPr>
          <w:p w14:paraId="230C5323">
            <w:pPr>
              <w:pStyle w:val="6"/>
              <w:spacing w:before="33" w:line="223" w:lineRule="auto"/>
              <w:ind w:left="118" w:right="269" w:hanging="2"/>
              <w:rPr>
                <w:sz w:val="22"/>
                <w:szCs w:val="22"/>
              </w:rPr>
            </w:pPr>
            <w:r>
              <w:rPr>
                <w:spacing w:val="-5"/>
                <w:sz w:val="22"/>
                <w:szCs w:val="22"/>
              </w:rPr>
              <w:t>本项目危险物质储存量未超过临界量</w:t>
            </w:r>
          </w:p>
        </w:tc>
        <w:tc>
          <w:tcPr>
            <w:tcW w:w="711" w:type="dxa"/>
            <w:vAlign w:val="top"/>
          </w:tcPr>
          <w:p w14:paraId="73E3766D">
            <w:pPr>
              <w:pStyle w:val="6"/>
              <w:spacing w:before="177" w:line="221" w:lineRule="auto"/>
              <w:ind w:left="127"/>
              <w:rPr>
                <w:sz w:val="22"/>
                <w:szCs w:val="22"/>
              </w:rPr>
            </w:pPr>
            <w:r>
              <w:rPr>
                <w:sz w:val="22"/>
                <w:szCs w:val="22"/>
              </w:rPr>
              <w:t>否</w:t>
            </w:r>
          </w:p>
        </w:tc>
        <w:tc>
          <w:tcPr>
            <w:tcW w:w="124" w:type="dxa"/>
            <w:tcBorders>
              <w:top w:val="nil"/>
              <w:bottom w:val="nil"/>
              <w:right w:val="single" w:color="000000" w:sz="6" w:space="0"/>
            </w:tcBorders>
            <w:vAlign w:val="top"/>
          </w:tcPr>
          <w:p w14:paraId="765E53FC">
            <w:pPr>
              <w:rPr>
                <w:rFonts w:ascii="Arial"/>
                <w:sz w:val="21"/>
              </w:rPr>
            </w:pPr>
          </w:p>
        </w:tc>
      </w:tr>
      <w:tr w14:paraId="1E8A3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1400" w:type="dxa"/>
            <w:vMerge w:val="continue"/>
            <w:tcBorders>
              <w:top w:val="nil"/>
              <w:left w:val="single" w:color="000000" w:sz="6" w:space="0"/>
              <w:bottom w:val="nil"/>
            </w:tcBorders>
            <w:vAlign w:val="top"/>
          </w:tcPr>
          <w:p w14:paraId="0707D9F7">
            <w:pPr>
              <w:rPr>
                <w:rFonts w:ascii="Arial"/>
                <w:sz w:val="21"/>
              </w:rPr>
            </w:pPr>
          </w:p>
        </w:tc>
        <w:tc>
          <w:tcPr>
            <w:tcW w:w="115" w:type="dxa"/>
            <w:tcBorders>
              <w:top w:val="nil"/>
              <w:bottom w:val="nil"/>
            </w:tcBorders>
            <w:vAlign w:val="top"/>
          </w:tcPr>
          <w:p w14:paraId="2786104F">
            <w:pPr>
              <w:rPr>
                <w:rFonts w:ascii="Arial"/>
                <w:sz w:val="21"/>
              </w:rPr>
            </w:pPr>
          </w:p>
        </w:tc>
        <w:tc>
          <w:tcPr>
            <w:tcW w:w="804" w:type="dxa"/>
            <w:vAlign w:val="top"/>
          </w:tcPr>
          <w:p w14:paraId="32EA6393">
            <w:pPr>
              <w:spacing w:line="387" w:lineRule="auto"/>
              <w:rPr>
                <w:rFonts w:ascii="Arial"/>
                <w:sz w:val="21"/>
              </w:rPr>
            </w:pPr>
          </w:p>
          <w:p w14:paraId="3C0E7EEF">
            <w:pPr>
              <w:pStyle w:val="6"/>
              <w:spacing w:before="72" w:line="225" w:lineRule="auto"/>
              <w:ind w:left="111"/>
              <w:rPr>
                <w:sz w:val="22"/>
                <w:szCs w:val="22"/>
              </w:rPr>
            </w:pPr>
            <w:r>
              <w:rPr>
                <w:spacing w:val="-5"/>
                <w:sz w:val="22"/>
                <w:szCs w:val="22"/>
              </w:rPr>
              <w:t>生态</w:t>
            </w:r>
          </w:p>
        </w:tc>
        <w:tc>
          <w:tcPr>
            <w:tcW w:w="3174" w:type="dxa"/>
            <w:vAlign w:val="top"/>
          </w:tcPr>
          <w:p w14:paraId="1B4893AF">
            <w:pPr>
              <w:pStyle w:val="6"/>
              <w:spacing w:before="33" w:line="231" w:lineRule="auto"/>
              <w:ind w:left="108" w:right="99" w:firstLine="3"/>
              <w:rPr>
                <w:sz w:val="22"/>
                <w:szCs w:val="22"/>
              </w:rPr>
            </w:pPr>
            <w:r>
              <w:rPr>
                <w:spacing w:val="-5"/>
                <w:sz w:val="22"/>
                <w:szCs w:val="22"/>
              </w:rPr>
              <w:t>取水口下游</w:t>
            </w:r>
            <w:r>
              <w:rPr>
                <w:spacing w:val="-40"/>
                <w:sz w:val="22"/>
                <w:szCs w:val="22"/>
              </w:rPr>
              <w:t xml:space="preserve"> </w:t>
            </w:r>
            <w:r>
              <w:rPr>
                <w:rFonts w:ascii="Times New Roman" w:hAnsi="Times New Roman" w:eastAsia="Times New Roman" w:cs="Times New Roman"/>
                <w:spacing w:val="-5"/>
                <w:sz w:val="22"/>
                <w:szCs w:val="22"/>
              </w:rPr>
              <w:t xml:space="preserve">500 </w:t>
            </w:r>
            <w:r>
              <w:rPr>
                <w:spacing w:val="-5"/>
                <w:sz w:val="22"/>
                <w:szCs w:val="22"/>
              </w:rPr>
              <w:t>米范围内有重</w:t>
            </w:r>
            <w:r>
              <w:rPr>
                <w:spacing w:val="-9"/>
                <w:sz w:val="22"/>
                <w:szCs w:val="22"/>
              </w:rPr>
              <w:t>要水生生物的自然产卵场、索饵场、越冬场和洄游通道的新增河</w:t>
            </w:r>
            <w:r>
              <w:rPr>
                <w:spacing w:val="-4"/>
                <w:sz w:val="22"/>
                <w:szCs w:val="22"/>
              </w:rPr>
              <w:t>道取水的污染类建设项目</w:t>
            </w:r>
          </w:p>
        </w:tc>
        <w:tc>
          <w:tcPr>
            <w:tcW w:w="2546" w:type="dxa"/>
            <w:vAlign w:val="top"/>
          </w:tcPr>
          <w:p w14:paraId="165C0972">
            <w:pPr>
              <w:spacing w:line="245" w:lineRule="auto"/>
              <w:rPr>
                <w:rFonts w:ascii="Arial"/>
                <w:sz w:val="21"/>
              </w:rPr>
            </w:pPr>
          </w:p>
          <w:p w14:paraId="4883F89A">
            <w:pPr>
              <w:pStyle w:val="6"/>
              <w:spacing w:before="72" w:line="242" w:lineRule="auto"/>
              <w:ind w:left="117" w:right="269" w:hanging="1"/>
              <w:rPr>
                <w:sz w:val="22"/>
                <w:szCs w:val="22"/>
              </w:rPr>
            </w:pPr>
            <w:r>
              <w:rPr>
                <w:spacing w:val="-5"/>
                <w:sz w:val="22"/>
                <w:szCs w:val="22"/>
              </w:rPr>
              <w:t>本项目不属于新增河道取水的污染类建设项目</w:t>
            </w:r>
          </w:p>
        </w:tc>
        <w:tc>
          <w:tcPr>
            <w:tcW w:w="711" w:type="dxa"/>
            <w:vAlign w:val="top"/>
          </w:tcPr>
          <w:p w14:paraId="2D9D744F">
            <w:pPr>
              <w:spacing w:line="387" w:lineRule="auto"/>
              <w:rPr>
                <w:rFonts w:ascii="Arial"/>
                <w:sz w:val="21"/>
              </w:rPr>
            </w:pPr>
          </w:p>
          <w:p w14:paraId="29D34F9B">
            <w:pPr>
              <w:pStyle w:val="6"/>
              <w:spacing w:before="71" w:line="221" w:lineRule="auto"/>
              <w:ind w:left="127"/>
              <w:rPr>
                <w:sz w:val="22"/>
                <w:szCs w:val="22"/>
              </w:rPr>
            </w:pPr>
            <w:r>
              <w:rPr>
                <w:sz w:val="22"/>
                <w:szCs w:val="22"/>
              </w:rPr>
              <w:t>否</w:t>
            </w:r>
          </w:p>
        </w:tc>
        <w:tc>
          <w:tcPr>
            <w:tcW w:w="124" w:type="dxa"/>
            <w:tcBorders>
              <w:top w:val="nil"/>
              <w:bottom w:val="nil"/>
              <w:right w:val="single" w:color="000000" w:sz="6" w:space="0"/>
            </w:tcBorders>
            <w:vAlign w:val="top"/>
          </w:tcPr>
          <w:p w14:paraId="36001555">
            <w:pPr>
              <w:rPr>
                <w:rFonts w:ascii="Arial"/>
                <w:sz w:val="21"/>
              </w:rPr>
            </w:pPr>
          </w:p>
        </w:tc>
      </w:tr>
      <w:tr w14:paraId="44DA6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1400" w:type="dxa"/>
            <w:vMerge w:val="continue"/>
            <w:tcBorders>
              <w:top w:val="nil"/>
              <w:left w:val="single" w:color="000000" w:sz="6" w:space="0"/>
              <w:bottom w:val="nil"/>
            </w:tcBorders>
            <w:vAlign w:val="top"/>
          </w:tcPr>
          <w:p w14:paraId="41EE272D">
            <w:pPr>
              <w:rPr>
                <w:rFonts w:ascii="Arial"/>
                <w:sz w:val="21"/>
              </w:rPr>
            </w:pPr>
          </w:p>
        </w:tc>
        <w:tc>
          <w:tcPr>
            <w:tcW w:w="115" w:type="dxa"/>
            <w:tcBorders>
              <w:top w:val="nil"/>
              <w:bottom w:val="nil"/>
            </w:tcBorders>
            <w:vAlign w:val="top"/>
          </w:tcPr>
          <w:p w14:paraId="409889BF">
            <w:pPr>
              <w:rPr>
                <w:rFonts w:ascii="Arial"/>
                <w:sz w:val="21"/>
              </w:rPr>
            </w:pPr>
          </w:p>
        </w:tc>
        <w:tc>
          <w:tcPr>
            <w:tcW w:w="804" w:type="dxa"/>
            <w:vAlign w:val="top"/>
          </w:tcPr>
          <w:p w14:paraId="40613625">
            <w:pPr>
              <w:spacing w:line="246" w:lineRule="auto"/>
              <w:rPr>
                <w:rFonts w:ascii="Arial"/>
                <w:sz w:val="21"/>
              </w:rPr>
            </w:pPr>
          </w:p>
          <w:p w14:paraId="308FD1D6">
            <w:pPr>
              <w:pStyle w:val="6"/>
              <w:spacing w:before="71" w:line="221" w:lineRule="auto"/>
              <w:ind w:left="108"/>
              <w:rPr>
                <w:sz w:val="22"/>
                <w:szCs w:val="22"/>
              </w:rPr>
            </w:pPr>
            <w:r>
              <w:rPr>
                <w:spacing w:val="-4"/>
                <w:sz w:val="22"/>
                <w:szCs w:val="22"/>
              </w:rPr>
              <w:t>海洋</w:t>
            </w:r>
          </w:p>
        </w:tc>
        <w:tc>
          <w:tcPr>
            <w:tcW w:w="3174" w:type="dxa"/>
            <w:vAlign w:val="top"/>
          </w:tcPr>
          <w:p w14:paraId="39D5DCFD">
            <w:pPr>
              <w:pStyle w:val="6"/>
              <w:spacing w:before="177" w:line="242" w:lineRule="auto"/>
              <w:ind w:left="108" w:right="255" w:firstLine="2"/>
              <w:rPr>
                <w:sz w:val="22"/>
                <w:szCs w:val="22"/>
              </w:rPr>
            </w:pPr>
            <w:r>
              <w:rPr>
                <w:spacing w:val="-5"/>
                <w:sz w:val="22"/>
                <w:szCs w:val="22"/>
              </w:rPr>
              <w:t>直接向海排放污染物的海洋工</w:t>
            </w:r>
            <w:r>
              <w:rPr>
                <w:spacing w:val="-4"/>
                <w:sz w:val="22"/>
                <w:szCs w:val="22"/>
              </w:rPr>
              <w:t>程建设项目</w:t>
            </w:r>
          </w:p>
        </w:tc>
        <w:tc>
          <w:tcPr>
            <w:tcW w:w="2546" w:type="dxa"/>
            <w:vAlign w:val="top"/>
          </w:tcPr>
          <w:p w14:paraId="18B3B7C9">
            <w:pPr>
              <w:pStyle w:val="6"/>
              <w:spacing w:before="34" w:line="228" w:lineRule="auto"/>
              <w:ind w:left="115" w:right="269"/>
              <w:jc w:val="both"/>
              <w:rPr>
                <w:sz w:val="22"/>
                <w:szCs w:val="22"/>
              </w:rPr>
            </w:pPr>
            <w:r>
              <w:rPr>
                <w:spacing w:val="-5"/>
                <w:sz w:val="22"/>
                <w:szCs w:val="22"/>
              </w:rPr>
              <w:t>本项目不属于直接向海排放污染物的海洋工程</w:t>
            </w:r>
            <w:r>
              <w:rPr>
                <w:spacing w:val="-4"/>
                <w:sz w:val="22"/>
                <w:szCs w:val="22"/>
              </w:rPr>
              <w:t>建设项目</w:t>
            </w:r>
          </w:p>
        </w:tc>
        <w:tc>
          <w:tcPr>
            <w:tcW w:w="711" w:type="dxa"/>
            <w:vAlign w:val="top"/>
          </w:tcPr>
          <w:p w14:paraId="35ED061D">
            <w:pPr>
              <w:spacing w:line="246" w:lineRule="auto"/>
              <w:rPr>
                <w:rFonts w:ascii="Arial"/>
                <w:sz w:val="21"/>
              </w:rPr>
            </w:pPr>
          </w:p>
          <w:p w14:paraId="014C872A">
            <w:pPr>
              <w:pStyle w:val="6"/>
              <w:spacing w:before="71" w:line="221" w:lineRule="auto"/>
              <w:ind w:left="127"/>
              <w:rPr>
                <w:sz w:val="22"/>
                <w:szCs w:val="22"/>
              </w:rPr>
            </w:pPr>
            <w:r>
              <w:rPr>
                <w:sz w:val="22"/>
                <w:szCs w:val="22"/>
              </w:rPr>
              <w:t>否</w:t>
            </w:r>
          </w:p>
        </w:tc>
        <w:tc>
          <w:tcPr>
            <w:tcW w:w="124" w:type="dxa"/>
            <w:tcBorders>
              <w:top w:val="nil"/>
              <w:bottom w:val="nil"/>
              <w:right w:val="single" w:color="000000" w:sz="6" w:space="0"/>
            </w:tcBorders>
            <w:vAlign w:val="top"/>
          </w:tcPr>
          <w:p w14:paraId="1B53062F">
            <w:pPr>
              <w:rPr>
                <w:rFonts w:ascii="Arial"/>
                <w:sz w:val="21"/>
              </w:rPr>
            </w:pPr>
          </w:p>
        </w:tc>
      </w:tr>
      <w:tr w14:paraId="733CB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1400" w:type="dxa"/>
            <w:vMerge w:val="continue"/>
            <w:tcBorders>
              <w:top w:val="nil"/>
              <w:left w:val="single" w:color="000000" w:sz="6" w:space="0"/>
            </w:tcBorders>
            <w:vAlign w:val="top"/>
          </w:tcPr>
          <w:p w14:paraId="5F183A0A">
            <w:pPr>
              <w:rPr>
                <w:rFonts w:ascii="Arial"/>
                <w:sz w:val="21"/>
              </w:rPr>
            </w:pPr>
          </w:p>
        </w:tc>
        <w:tc>
          <w:tcPr>
            <w:tcW w:w="7474" w:type="dxa"/>
            <w:gridSpan w:val="6"/>
            <w:tcBorders>
              <w:right w:val="single" w:color="000000" w:sz="6" w:space="0"/>
            </w:tcBorders>
            <w:vAlign w:val="top"/>
          </w:tcPr>
          <w:p w14:paraId="192D8010">
            <w:pPr>
              <w:pStyle w:val="6"/>
              <w:spacing w:before="36" w:line="239" w:lineRule="auto"/>
              <w:ind w:left="115" w:right="103" w:hanging="6"/>
              <w:rPr>
                <w:sz w:val="22"/>
                <w:szCs w:val="22"/>
              </w:rPr>
            </w:pPr>
            <w:r>
              <w:rPr>
                <w:spacing w:val="1"/>
                <w:sz w:val="22"/>
                <w:szCs w:val="22"/>
              </w:rPr>
              <w:t>注：</w:t>
            </w:r>
            <w:r>
              <w:rPr>
                <w:rFonts w:ascii="Times New Roman" w:hAnsi="Times New Roman" w:eastAsia="Times New Roman" w:cs="Times New Roman"/>
                <w:spacing w:val="1"/>
                <w:sz w:val="22"/>
                <w:szCs w:val="22"/>
              </w:rPr>
              <w:t>1.</w:t>
            </w:r>
            <w:r>
              <w:rPr>
                <w:spacing w:val="1"/>
                <w:sz w:val="22"/>
                <w:szCs w:val="22"/>
              </w:rPr>
              <w:t>废气中有毒有害污染物指纳入《有毒有害大气污染物名录》的污染物</w:t>
            </w:r>
            <w:r>
              <w:rPr>
                <w:spacing w:val="-1"/>
                <w:sz w:val="22"/>
                <w:szCs w:val="22"/>
              </w:rPr>
              <w:t>（不包括无排放标准的污染物）。</w:t>
            </w:r>
          </w:p>
          <w:p w14:paraId="36EFC365">
            <w:pPr>
              <w:pStyle w:val="6"/>
              <w:spacing w:before="1" w:line="239" w:lineRule="auto"/>
              <w:ind w:left="125" w:right="103" w:hanging="20"/>
              <w:rPr>
                <w:sz w:val="22"/>
                <w:szCs w:val="22"/>
              </w:rPr>
            </w:pPr>
            <w:r>
              <w:rPr>
                <w:rFonts w:ascii="Times New Roman" w:hAnsi="Times New Roman" w:eastAsia="Times New Roman" w:cs="Times New Roman"/>
                <w:spacing w:val="1"/>
                <w:sz w:val="22"/>
                <w:szCs w:val="22"/>
              </w:rPr>
              <w:t>2.</w:t>
            </w:r>
            <w:r>
              <w:rPr>
                <w:spacing w:val="1"/>
                <w:sz w:val="22"/>
                <w:szCs w:val="22"/>
              </w:rPr>
              <w:t>环境空气保护目标指自然保护区、风景名胜区、居住区、文化区和农村地</w:t>
            </w:r>
            <w:r>
              <w:rPr>
                <w:spacing w:val="-3"/>
                <w:sz w:val="22"/>
                <w:szCs w:val="22"/>
              </w:rPr>
              <w:t>区中人群较集中的区域。</w:t>
            </w:r>
          </w:p>
          <w:p w14:paraId="4D0678BD">
            <w:pPr>
              <w:pStyle w:val="6"/>
              <w:spacing w:line="221" w:lineRule="auto"/>
              <w:ind w:left="125" w:right="7" w:hanging="16"/>
              <w:rPr>
                <w:sz w:val="22"/>
                <w:szCs w:val="22"/>
              </w:rPr>
            </w:pPr>
            <w:r>
              <w:rPr>
                <w:rFonts w:ascii="Times New Roman" w:hAnsi="Times New Roman" w:eastAsia="Times New Roman" w:cs="Times New Roman"/>
                <w:spacing w:val="-2"/>
                <w:sz w:val="22"/>
                <w:szCs w:val="22"/>
              </w:rPr>
              <w:t>3.</w:t>
            </w:r>
            <w:r>
              <w:rPr>
                <w:spacing w:val="-2"/>
                <w:sz w:val="22"/>
                <w:szCs w:val="22"/>
              </w:rPr>
              <w:t>临界量及其计算方法可参考《建设项目环境风险评价技术导则》（</w:t>
            </w:r>
            <w:r>
              <w:rPr>
                <w:rFonts w:ascii="Times New Roman" w:hAnsi="Times New Roman" w:eastAsia="Times New Roman" w:cs="Times New Roman"/>
                <w:spacing w:val="-2"/>
                <w:sz w:val="22"/>
                <w:szCs w:val="22"/>
              </w:rPr>
              <w:t>HJ</w:t>
            </w:r>
            <w:r>
              <w:rPr>
                <w:rFonts w:ascii="Times New Roman" w:hAnsi="Times New Roman" w:eastAsia="Times New Roman" w:cs="Times New Roman"/>
                <w:spacing w:val="26"/>
                <w:w w:val="101"/>
                <w:sz w:val="22"/>
                <w:szCs w:val="22"/>
              </w:rPr>
              <w:t xml:space="preserve"> </w:t>
            </w:r>
            <w:r>
              <w:rPr>
                <w:rFonts w:ascii="Times New Roman" w:hAnsi="Times New Roman" w:eastAsia="Times New Roman" w:cs="Times New Roman"/>
                <w:spacing w:val="-2"/>
                <w:sz w:val="22"/>
                <w:szCs w:val="22"/>
              </w:rPr>
              <w:t>16</w:t>
            </w:r>
            <w:r>
              <w:rPr>
                <w:rFonts w:ascii="Times New Roman" w:hAnsi="Times New Roman" w:eastAsia="Times New Roman" w:cs="Times New Roman"/>
                <w:spacing w:val="-3"/>
                <w:sz w:val="22"/>
                <w:szCs w:val="22"/>
              </w:rPr>
              <w:t>9</w:t>
            </w:r>
            <w:r>
              <w:rPr>
                <w:spacing w:val="-3"/>
                <w:sz w:val="22"/>
                <w:szCs w:val="22"/>
              </w:rPr>
              <w:t>）</w:t>
            </w:r>
            <w:r>
              <w:rPr>
                <w:spacing w:val="-7"/>
                <w:sz w:val="22"/>
                <w:szCs w:val="22"/>
              </w:rPr>
              <w:t>附录</w:t>
            </w:r>
            <w:r>
              <w:rPr>
                <w:rFonts w:ascii="Times New Roman" w:hAnsi="Times New Roman" w:eastAsia="Times New Roman" w:cs="Times New Roman"/>
                <w:spacing w:val="-7"/>
                <w:sz w:val="22"/>
                <w:szCs w:val="22"/>
              </w:rPr>
              <w:t>B</w:t>
            </w:r>
            <w:r>
              <w:rPr>
                <w:rFonts w:ascii="Times New Roman" w:hAnsi="Times New Roman" w:eastAsia="Times New Roman" w:cs="Times New Roman"/>
                <w:spacing w:val="-27"/>
                <w:sz w:val="22"/>
                <w:szCs w:val="22"/>
              </w:rPr>
              <w:t xml:space="preserve"> </w:t>
            </w:r>
            <w:r>
              <w:rPr>
                <w:spacing w:val="-7"/>
                <w:sz w:val="22"/>
                <w:szCs w:val="22"/>
              </w:rPr>
              <w:t>、附录</w:t>
            </w:r>
            <w:r>
              <w:rPr>
                <w:rFonts w:ascii="Times New Roman" w:hAnsi="Times New Roman" w:eastAsia="Times New Roman" w:cs="Times New Roman"/>
                <w:spacing w:val="-7"/>
                <w:sz w:val="22"/>
                <w:szCs w:val="22"/>
              </w:rPr>
              <w:t>C</w:t>
            </w:r>
            <w:r>
              <w:rPr>
                <w:spacing w:val="-7"/>
                <w:sz w:val="22"/>
                <w:szCs w:val="22"/>
              </w:rPr>
              <w:t>。</w:t>
            </w:r>
          </w:p>
        </w:tc>
      </w:tr>
      <w:tr w14:paraId="6FC56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00" w:type="dxa"/>
            <w:tcBorders>
              <w:left w:val="single" w:color="000000" w:sz="6" w:space="0"/>
            </w:tcBorders>
            <w:vAlign w:val="top"/>
          </w:tcPr>
          <w:p w14:paraId="6DFEE7F9">
            <w:pPr>
              <w:pStyle w:val="6"/>
              <w:spacing w:before="170" w:line="227" w:lineRule="auto"/>
              <w:ind w:left="182"/>
            </w:pPr>
            <w:r>
              <w:rPr>
                <w:spacing w:val="6"/>
              </w:rPr>
              <w:t>规划情况</w:t>
            </w:r>
          </w:p>
        </w:tc>
        <w:tc>
          <w:tcPr>
            <w:tcW w:w="7474" w:type="dxa"/>
            <w:gridSpan w:val="6"/>
            <w:tcBorders>
              <w:right w:val="single" w:color="000000" w:sz="6" w:space="0"/>
            </w:tcBorders>
            <w:vAlign w:val="top"/>
          </w:tcPr>
          <w:p w14:paraId="553D4333">
            <w:pPr>
              <w:spacing w:before="257" w:line="197" w:lineRule="auto"/>
              <w:ind w:left="3693"/>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w:t>
            </w:r>
          </w:p>
        </w:tc>
      </w:tr>
      <w:tr w14:paraId="25A57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trPr>
        <w:tc>
          <w:tcPr>
            <w:tcW w:w="1400" w:type="dxa"/>
            <w:tcBorders>
              <w:left w:val="single" w:color="000000" w:sz="6" w:space="0"/>
            </w:tcBorders>
            <w:vAlign w:val="top"/>
          </w:tcPr>
          <w:p w14:paraId="63F15DE0">
            <w:pPr>
              <w:pStyle w:val="6"/>
              <w:spacing w:before="50" w:line="227" w:lineRule="auto"/>
              <w:ind w:left="182"/>
            </w:pPr>
            <w:r>
              <w:rPr>
                <w:spacing w:val="6"/>
              </w:rPr>
              <w:t>规划环境</w:t>
            </w:r>
          </w:p>
          <w:p w14:paraId="321FD31E">
            <w:pPr>
              <w:pStyle w:val="6"/>
              <w:spacing w:before="28" w:line="232" w:lineRule="auto"/>
              <w:ind w:left="441" w:right="180" w:hanging="260"/>
            </w:pPr>
            <w:r>
              <w:rPr>
                <w:spacing w:val="7"/>
              </w:rPr>
              <w:t>影响评价</w:t>
            </w:r>
            <w:r>
              <w:rPr>
                <w:spacing w:val="3"/>
              </w:rPr>
              <w:t>情况</w:t>
            </w:r>
          </w:p>
        </w:tc>
        <w:tc>
          <w:tcPr>
            <w:tcW w:w="7474" w:type="dxa"/>
            <w:gridSpan w:val="6"/>
            <w:tcBorders>
              <w:right w:val="single" w:color="000000" w:sz="6" w:space="0"/>
            </w:tcBorders>
            <w:vAlign w:val="top"/>
          </w:tcPr>
          <w:p w14:paraId="270FCAD5">
            <w:pPr>
              <w:spacing w:line="398" w:lineRule="auto"/>
              <w:rPr>
                <w:rFonts w:ascii="Arial"/>
                <w:sz w:val="21"/>
              </w:rPr>
            </w:pPr>
          </w:p>
          <w:p w14:paraId="24A3CA03">
            <w:pPr>
              <w:spacing w:before="72" w:line="197" w:lineRule="auto"/>
              <w:ind w:left="3693"/>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w:t>
            </w:r>
          </w:p>
        </w:tc>
      </w:tr>
      <w:tr w14:paraId="52FF7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2" w:hRule="atLeast"/>
        </w:trPr>
        <w:tc>
          <w:tcPr>
            <w:tcW w:w="1400" w:type="dxa"/>
            <w:tcBorders>
              <w:left w:val="single" w:color="000000" w:sz="6" w:space="0"/>
            </w:tcBorders>
            <w:vAlign w:val="top"/>
          </w:tcPr>
          <w:p w14:paraId="098868C5">
            <w:pPr>
              <w:pStyle w:val="6"/>
              <w:spacing w:before="48" w:line="228" w:lineRule="auto"/>
              <w:ind w:left="182"/>
            </w:pPr>
            <w:r>
              <w:rPr>
                <w:spacing w:val="6"/>
              </w:rPr>
              <w:t>规划及规</w:t>
            </w:r>
          </w:p>
          <w:p w14:paraId="4B76B5C6">
            <w:pPr>
              <w:pStyle w:val="6"/>
              <w:spacing w:before="26" w:line="227" w:lineRule="auto"/>
              <w:ind w:left="180"/>
            </w:pPr>
            <w:r>
              <w:rPr>
                <w:spacing w:val="7"/>
              </w:rPr>
              <w:t>划环境影</w:t>
            </w:r>
          </w:p>
          <w:p w14:paraId="5773068D">
            <w:pPr>
              <w:pStyle w:val="6"/>
              <w:spacing w:before="28" w:line="225" w:lineRule="auto"/>
              <w:ind w:left="194"/>
            </w:pPr>
            <w:r>
              <w:rPr>
                <w:spacing w:val="3"/>
              </w:rPr>
              <w:t>响评价符</w:t>
            </w:r>
          </w:p>
          <w:p w14:paraId="778F737C">
            <w:pPr>
              <w:pStyle w:val="6"/>
              <w:spacing w:before="34" w:line="209" w:lineRule="auto"/>
              <w:ind w:left="182"/>
            </w:pPr>
            <w:r>
              <w:rPr>
                <w:spacing w:val="6"/>
              </w:rPr>
              <w:t>合性分析</w:t>
            </w:r>
          </w:p>
        </w:tc>
        <w:tc>
          <w:tcPr>
            <w:tcW w:w="7474" w:type="dxa"/>
            <w:gridSpan w:val="6"/>
            <w:tcBorders>
              <w:right w:val="single" w:color="000000" w:sz="6" w:space="0"/>
            </w:tcBorders>
            <w:vAlign w:val="top"/>
          </w:tcPr>
          <w:p w14:paraId="600A834A">
            <w:pPr>
              <w:spacing w:line="281" w:lineRule="auto"/>
              <w:rPr>
                <w:rFonts w:ascii="Arial"/>
                <w:sz w:val="21"/>
              </w:rPr>
            </w:pPr>
          </w:p>
          <w:p w14:paraId="22DB66F1">
            <w:pPr>
              <w:spacing w:line="282" w:lineRule="auto"/>
              <w:rPr>
                <w:rFonts w:ascii="Arial"/>
                <w:sz w:val="21"/>
              </w:rPr>
            </w:pPr>
          </w:p>
          <w:p w14:paraId="7CD9D609">
            <w:pPr>
              <w:spacing w:before="71" w:line="197" w:lineRule="auto"/>
              <w:ind w:left="3693"/>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w:t>
            </w:r>
          </w:p>
        </w:tc>
      </w:tr>
      <w:tr w14:paraId="55095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3" w:hRule="atLeast"/>
        </w:trPr>
        <w:tc>
          <w:tcPr>
            <w:tcW w:w="1400" w:type="dxa"/>
            <w:tcBorders>
              <w:left w:val="single" w:color="000000" w:sz="6" w:space="0"/>
              <w:bottom w:val="single" w:color="000000" w:sz="6" w:space="0"/>
            </w:tcBorders>
            <w:vAlign w:val="top"/>
          </w:tcPr>
          <w:p w14:paraId="2179309B">
            <w:pPr>
              <w:spacing w:line="243" w:lineRule="auto"/>
              <w:rPr>
                <w:rFonts w:ascii="Arial"/>
                <w:sz w:val="21"/>
              </w:rPr>
            </w:pPr>
          </w:p>
          <w:p w14:paraId="3CA931AE">
            <w:pPr>
              <w:spacing w:line="243" w:lineRule="auto"/>
              <w:rPr>
                <w:rFonts w:ascii="Arial"/>
                <w:sz w:val="21"/>
              </w:rPr>
            </w:pPr>
          </w:p>
          <w:p w14:paraId="4F2B5121">
            <w:pPr>
              <w:spacing w:line="243" w:lineRule="auto"/>
              <w:rPr>
                <w:rFonts w:ascii="Arial"/>
                <w:sz w:val="21"/>
              </w:rPr>
            </w:pPr>
          </w:p>
          <w:p w14:paraId="54B5BB98">
            <w:pPr>
              <w:spacing w:line="244" w:lineRule="auto"/>
              <w:rPr>
                <w:rFonts w:ascii="Arial"/>
                <w:sz w:val="21"/>
              </w:rPr>
            </w:pPr>
          </w:p>
          <w:p w14:paraId="4A142BDF">
            <w:pPr>
              <w:spacing w:line="244" w:lineRule="auto"/>
              <w:rPr>
                <w:rFonts w:ascii="Arial"/>
                <w:sz w:val="21"/>
              </w:rPr>
            </w:pPr>
          </w:p>
          <w:p w14:paraId="2A978D1D">
            <w:pPr>
              <w:spacing w:line="244" w:lineRule="auto"/>
              <w:rPr>
                <w:rFonts w:ascii="Arial"/>
                <w:sz w:val="21"/>
              </w:rPr>
            </w:pPr>
          </w:p>
          <w:p w14:paraId="58FB85F8">
            <w:pPr>
              <w:pStyle w:val="6"/>
              <w:spacing w:before="82" w:line="250" w:lineRule="auto"/>
              <w:ind w:left="313" w:right="180" w:hanging="131"/>
            </w:pPr>
            <w:r>
              <w:rPr>
                <w:spacing w:val="6"/>
              </w:rPr>
              <w:t>其他符合</w:t>
            </w:r>
            <w:r>
              <w:rPr>
                <w:spacing w:val="5"/>
              </w:rPr>
              <w:t>性分析</w:t>
            </w:r>
          </w:p>
        </w:tc>
        <w:tc>
          <w:tcPr>
            <w:tcW w:w="7474" w:type="dxa"/>
            <w:gridSpan w:val="6"/>
            <w:tcBorders>
              <w:bottom w:val="single" w:color="000000" w:sz="6" w:space="0"/>
              <w:right w:val="single" w:color="000000" w:sz="6" w:space="0"/>
            </w:tcBorders>
            <w:vAlign w:val="top"/>
          </w:tcPr>
          <w:p w14:paraId="55738C08">
            <w:pPr>
              <w:pStyle w:val="6"/>
              <w:spacing w:before="155" w:line="225" w:lineRule="auto"/>
              <w:ind w:left="117"/>
            </w:pPr>
            <w:r>
              <w:rPr>
                <w:rFonts w:ascii="Times New Roman" w:hAnsi="Times New Roman" w:eastAsia="Times New Roman" w:cs="Times New Roman"/>
                <w:b/>
                <w:bCs/>
                <w:spacing w:val="7"/>
              </w:rPr>
              <w:t>1.1</w:t>
            </w:r>
            <w:r>
              <w:rPr>
                <w:rFonts w:hint="eastAsia"/>
                <w:b/>
                <w:bCs/>
                <w:spacing w:val="7"/>
                <w:lang w:eastAsia="zh-CN"/>
              </w:rPr>
              <w:t>与</w:t>
            </w:r>
            <w:r>
              <w:rPr>
                <w:b/>
                <w:bCs/>
                <w:spacing w:val="7"/>
              </w:rPr>
              <w:t>《产业结构调整指导目录（</w:t>
            </w:r>
            <w:r>
              <w:rPr>
                <w:rFonts w:ascii="Times New Roman" w:hAnsi="Times New Roman" w:eastAsia="Times New Roman" w:cs="Times New Roman"/>
                <w:b/>
                <w:bCs/>
                <w:spacing w:val="7"/>
              </w:rPr>
              <w:t>2024</w:t>
            </w:r>
            <w:r>
              <w:rPr>
                <w:b/>
                <w:bCs/>
                <w:spacing w:val="7"/>
              </w:rPr>
              <w:t>年本</w:t>
            </w:r>
            <w:r>
              <w:rPr>
                <w:b/>
                <w:bCs/>
                <w:spacing w:val="6"/>
              </w:rPr>
              <w:t>）》符合性分析</w:t>
            </w:r>
          </w:p>
          <w:p w14:paraId="3484DD51">
            <w:pPr>
              <w:pStyle w:val="6"/>
              <w:spacing w:before="151" w:line="324" w:lineRule="auto"/>
              <w:ind w:left="110" w:right="15" w:firstLine="521"/>
              <w:jc w:val="both"/>
            </w:pPr>
            <w:r>
              <w:rPr>
                <w:spacing w:val="8"/>
              </w:rPr>
              <w:t>本项目为加油站改扩建项目，不属于《产业结构调整指导目</w:t>
            </w:r>
            <w:r>
              <w:rPr>
                <w:spacing w:val="-1"/>
              </w:rPr>
              <w:t>录（</w:t>
            </w:r>
            <w:r>
              <w:rPr>
                <w:rFonts w:ascii="Times New Roman" w:hAnsi="Times New Roman" w:eastAsia="Times New Roman" w:cs="Times New Roman"/>
                <w:spacing w:val="-1"/>
              </w:rPr>
              <w:t>2024</w:t>
            </w:r>
            <w:r>
              <w:rPr>
                <w:spacing w:val="-1"/>
              </w:rPr>
              <w:t>年本）》中“鼓励类</w:t>
            </w:r>
            <w:r>
              <w:rPr>
                <w:spacing w:val="-78"/>
              </w:rPr>
              <w:t xml:space="preserve"> </w:t>
            </w:r>
            <w:r>
              <w:rPr>
                <w:spacing w:val="-1"/>
              </w:rPr>
              <w:t>”、“限制类</w:t>
            </w:r>
            <w:r>
              <w:rPr>
                <w:spacing w:val="-90"/>
              </w:rPr>
              <w:t xml:space="preserve"> </w:t>
            </w:r>
            <w:r>
              <w:rPr>
                <w:spacing w:val="-1"/>
              </w:rPr>
              <w:t>”和“淘汰类</w:t>
            </w:r>
            <w:r>
              <w:rPr>
                <w:spacing w:val="-90"/>
              </w:rPr>
              <w:t xml:space="preserve"> </w:t>
            </w:r>
            <w:r>
              <w:rPr>
                <w:spacing w:val="-1"/>
              </w:rPr>
              <w:t>”项目，</w:t>
            </w:r>
            <w:r>
              <w:rPr>
                <w:spacing w:val="9"/>
              </w:rPr>
              <w:t>为允许建设类项目。项目所用设备不属于《产业结构调</w:t>
            </w:r>
            <w:r>
              <w:rPr>
                <w:spacing w:val="8"/>
              </w:rPr>
              <w:t>整指导目录（</w:t>
            </w:r>
            <w:r>
              <w:rPr>
                <w:rFonts w:ascii="Times New Roman" w:hAnsi="Times New Roman" w:eastAsia="Times New Roman" w:cs="Times New Roman"/>
                <w:spacing w:val="8"/>
              </w:rPr>
              <w:t>2024</w:t>
            </w:r>
            <w:r>
              <w:rPr>
                <w:spacing w:val="8"/>
              </w:rPr>
              <w:t>年本）》和工信部《高耗能落后机电设备（产品）淘汰</w:t>
            </w:r>
            <w:r>
              <w:rPr>
                <w:spacing w:val="4"/>
              </w:rPr>
              <w:t>目录》（第一批</w:t>
            </w:r>
            <w:r>
              <w:rPr>
                <w:rFonts w:ascii="Times New Roman" w:hAnsi="Times New Roman" w:eastAsia="Times New Roman" w:cs="Times New Roman"/>
                <w:spacing w:val="4"/>
              </w:rPr>
              <w:t>~</w:t>
            </w:r>
            <w:r>
              <w:rPr>
                <w:spacing w:val="4"/>
              </w:rPr>
              <w:t>第四批）及中华人民共和国工业和信息化</w:t>
            </w:r>
            <w:r>
              <w:rPr>
                <w:spacing w:val="3"/>
              </w:rPr>
              <w:t>部（工</w:t>
            </w:r>
            <w:r>
              <w:rPr>
                <w:spacing w:val="11"/>
              </w:rPr>
              <w:t>产业〔</w:t>
            </w:r>
            <w:r>
              <w:rPr>
                <w:rFonts w:ascii="Times New Roman" w:hAnsi="Times New Roman" w:eastAsia="Times New Roman" w:cs="Times New Roman"/>
                <w:spacing w:val="11"/>
              </w:rPr>
              <w:t>2010</w:t>
            </w:r>
            <w:r>
              <w:rPr>
                <w:spacing w:val="11"/>
              </w:rPr>
              <w:t>〕第</w:t>
            </w:r>
            <w:r>
              <w:rPr>
                <w:rFonts w:ascii="Times New Roman" w:hAnsi="Times New Roman" w:eastAsia="Times New Roman" w:cs="Times New Roman"/>
                <w:spacing w:val="11"/>
              </w:rPr>
              <w:t>122</w:t>
            </w:r>
            <w:r>
              <w:rPr>
                <w:spacing w:val="11"/>
              </w:rPr>
              <w:t>号）</w:t>
            </w:r>
            <w:r>
              <w:rPr>
                <w:spacing w:val="-93"/>
              </w:rPr>
              <w:t xml:space="preserve"> </w:t>
            </w:r>
            <w:r>
              <w:rPr>
                <w:spacing w:val="11"/>
              </w:rPr>
              <w:t>《部分工业行业淘汰落后生产工艺装备</w:t>
            </w:r>
            <w:r>
              <w:rPr>
                <w:spacing w:val="3"/>
              </w:rPr>
              <w:t>和产品指导目录（</w:t>
            </w:r>
            <w:r>
              <w:rPr>
                <w:rFonts w:ascii="Times New Roman" w:hAnsi="Times New Roman" w:eastAsia="Times New Roman" w:cs="Times New Roman"/>
                <w:spacing w:val="3"/>
              </w:rPr>
              <w:t>2010</w:t>
            </w:r>
            <w:r>
              <w:rPr>
                <w:spacing w:val="3"/>
              </w:rPr>
              <w:t>年本）》国家禁止或明令淘</w:t>
            </w:r>
            <w:r>
              <w:rPr>
                <w:spacing w:val="2"/>
              </w:rPr>
              <w:t>汰的设备范畴。</w:t>
            </w:r>
          </w:p>
        </w:tc>
      </w:tr>
    </w:tbl>
    <w:p w14:paraId="2251BE63">
      <w:pPr>
        <w:pStyle w:val="2"/>
        <w:rPr>
          <w:sz w:val="21"/>
        </w:rPr>
      </w:pPr>
    </w:p>
    <w:p w14:paraId="6598FE45">
      <w:pPr>
        <w:rPr>
          <w:sz w:val="21"/>
          <w:szCs w:val="21"/>
        </w:rPr>
        <w:sectPr>
          <w:footerReference r:id="rId8" w:type="default"/>
          <w:pgSz w:w="11906" w:h="16839"/>
          <w:pgMar w:top="400" w:right="1508" w:bottom="1234" w:left="1508" w:header="0" w:footer="1002" w:gutter="0"/>
          <w:cols w:space="720" w:num="1"/>
        </w:sectPr>
      </w:pPr>
    </w:p>
    <w:p w14:paraId="250F06BB">
      <w:pPr>
        <w:spacing w:before="19"/>
      </w:pPr>
      <w:r>
        <w:pict>
          <v:shape id="_x0000_s1026" o:spid="_x0000_s1026" style="position:absolute;left:0pt;margin-left:151.05pt;margin-top:755.05pt;height:0.5pt;width:362.85pt;mso-position-horizontal-relative:page;mso-position-vertical-relative:page;z-index:-251657216;mso-width-relative:page;mso-height-relative:page;" filled="f" stroked="t" coordsize="7257,10" o:allowincell="f" path="m0,4l7256,4e">
            <v:fill on="f" focussize="0,0"/>
            <v:stroke weight="0.48pt" color="#000000" miterlimit="2" joinstyle="bevel"/>
            <v:imagedata o:title=""/>
            <o:lock v:ext="edit"/>
          </v:shape>
        </w:pict>
      </w:r>
    </w:p>
    <w:p w14:paraId="57E231A7">
      <w:pPr>
        <w:spacing w:before="19"/>
      </w:pPr>
    </w:p>
    <w:p w14:paraId="1C495EAB">
      <w:pPr>
        <w:spacing w:before="19"/>
      </w:pPr>
    </w:p>
    <w:p w14:paraId="693F7FAC">
      <w:pPr>
        <w:spacing w:before="18"/>
      </w:pPr>
    </w:p>
    <w:p w14:paraId="66C5D4F9">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115"/>
        <w:gridCol w:w="423"/>
        <w:gridCol w:w="4259"/>
        <w:gridCol w:w="1801"/>
        <w:gridCol w:w="752"/>
        <w:gridCol w:w="124"/>
      </w:tblGrid>
      <w:tr w14:paraId="59B06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1" w:hRule="atLeast"/>
        </w:trPr>
        <w:tc>
          <w:tcPr>
            <w:tcW w:w="1400" w:type="dxa"/>
            <w:vMerge w:val="restart"/>
            <w:tcBorders>
              <w:top w:val="single" w:color="000000" w:sz="6" w:space="0"/>
              <w:left w:val="single" w:color="000000" w:sz="6" w:space="0"/>
              <w:bottom w:val="nil"/>
            </w:tcBorders>
            <w:vAlign w:val="top"/>
          </w:tcPr>
          <w:p w14:paraId="10CF51D1">
            <w:pPr>
              <w:spacing w:line="241" w:lineRule="auto"/>
              <w:rPr>
                <w:rFonts w:ascii="Arial"/>
                <w:sz w:val="21"/>
              </w:rPr>
            </w:pPr>
          </w:p>
          <w:p w14:paraId="771AA5F6">
            <w:pPr>
              <w:spacing w:line="241" w:lineRule="auto"/>
              <w:rPr>
                <w:rFonts w:ascii="Arial"/>
                <w:sz w:val="21"/>
              </w:rPr>
            </w:pPr>
          </w:p>
          <w:p w14:paraId="576C9988">
            <w:pPr>
              <w:spacing w:line="241" w:lineRule="auto"/>
              <w:rPr>
                <w:rFonts w:ascii="Arial"/>
                <w:sz w:val="21"/>
              </w:rPr>
            </w:pPr>
          </w:p>
          <w:p w14:paraId="570B92B7">
            <w:pPr>
              <w:spacing w:line="241" w:lineRule="auto"/>
              <w:rPr>
                <w:rFonts w:ascii="Arial"/>
                <w:sz w:val="21"/>
              </w:rPr>
            </w:pPr>
          </w:p>
          <w:p w14:paraId="4F12B5A5">
            <w:pPr>
              <w:spacing w:line="241" w:lineRule="auto"/>
              <w:rPr>
                <w:rFonts w:ascii="Arial"/>
                <w:sz w:val="21"/>
              </w:rPr>
            </w:pPr>
          </w:p>
          <w:p w14:paraId="62C4E7AB">
            <w:pPr>
              <w:spacing w:line="241" w:lineRule="auto"/>
              <w:rPr>
                <w:rFonts w:ascii="Arial"/>
                <w:sz w:val="21"/>
              </w:rPr>
            </w:pPr>
          </w:p>
          <w:p w14:paraId="426A6E80">
            <w:pPr>
              <w:spacing w:line="241" w:lineRule="auto"/>
              <w:rPr>
                <w:rFonts w:ascii="Arial"/>
                <w:sz w:val="21"/>
              </w:rPr>
            </w:pPr>
          </w:p>
          <w:p w14:paraId="1F8929C3">
            <w:pPr>
              <w:spacing w:line="241" w:lineRule="auto"/>
              <w:rPr>
                <w:rFonts w:ascii="Arial"/>
                <w:sz w:val="21"/>
              </w:rPr>
            </w:pPr>
          </w:p>
          <w:p w14:paraId="13100389">
            <w:pPr>
              <w:spacing w:line="241" w:lineRule="auto"/>
              <w:rPr>
                <w:rFonts w:ascii="Arial"/>
                <w:sz w:val="21"/>
              </w:rPr>
            </w:pPr>
          </w:p>
          <w:p w14:paraId="4E7F039B">
            <w:pPr>
              <w:spacing w:line="241" w:lineRule="auto"/>
              <w:rPr>
                <w:rFonts w:ascii="Arial"/>
                <w:sz w:val="21"/>
              </w:rPr>
            </w:pPr>
          </w:p>
          <w:p w14:paraId="54E5C6A1">
            <w:pPr>
              <w:spacing w:line="241" w:lineRule="auto"/>
              <w:rPr>
                <w:rFonts w:ascii="Arial"/>
                <w:sz w:val="21"/>
              </w:rPr>
            </w:pPr>
          </w:p>
          <w:p w14:paraId="5845C913">
            <w:pPr>
              <w:spacing w:line="241" w:lineRule="auto"/>
              <w:rPr>
                <w:rFonts w:ascii="Arial"/>
                <w:sz w:val="21"/>
              </w:rPr>
            </w:pPr>
          </w:p>
          <w:p w14:paraId="171505F5">
            <w:pPr>
              <w:spacing w:line="241" w:lineRule="auto"/>
              <w:rPr>
                <w:rFonts w:ascii="Arial"/>
                <w:sz w:val="21"/>
              </w:rPr>
            </w:pPr>
          </w:p>
          <w:p w14:paraId="04E52B43">
            <w:pPr>
              <w:spacing w:line="241" w:lineRule="auto"/>
              <w:rPr>
                <w:rFonts w:ascii="Arial"/>
                <w:sz w:val="21"/>
              </w:rPr>
            </w:pPr>
          </w:p>
          <w:p w14:paraId="612D62A4">
            <w:pPr>
              <w:spacing w:line="241" w:lineRule="auto"/>
              <w:rPr>
                <w:rFonts w:ascii="Arial"/>
                <w:sz w:val="21"/>
              </w:rPr>
            </w:pPr>
          </w:p>
          <w:p w14:paraId="2AFA1398">
            <w:pPr>
              <w:spacing w:line="242" w:lineRule="auto"/>
              <w:rPr>
                <w:rFonts w:ascii="Arial"/>
                <w:sz w:val="21"/>
              </w:rPr>
            </w:pPr>
          </w:p>
          <w:p w14:paraId="56823B0C">
            <w:pPr>
              <w:spacing w:line="242" w:lineRule="auto"/>
              <w:rPr>
                <w:rFonts w:ascii="Arial"/>
                <w:sz w:val="21"/>
              </w:rPr>
            </w:pPr>
          </w:p>
          <w:p w14:paraId="0DB6FAD9">
            <w:pPr>
              <w:spacing w:line="242" w:lineRule="auto"/>
              <w:rPr>
                <w:rFonts w:ascii="Arial"/>
                <w:sz w:val="21"/>
              </w:rPr>
            </w:pPr>
          </w:p>
          <w:p w14:paraId="6EF1415A">
            <w:pPr>
              <w:spacing w:line="242" w:lineRule="auto"/>
              <w:rPr>
                <w:rFonts w:ascii="Arial"/>
                <w:sz w:val="21"/>
              </w:rPr>
            </w:pPr>
          </w:p>
          <w:p w14:paraId="31C3AA42">
            <w:pPr>
              <w:spacing w:line="242" w:lineRule="auto"/>
              <w:rPr>
                <w:rFonts w:ascii="Arial"/>
                <w:sz w:val="21"/>
              </w:rPr>
            </w:pPr>
          </w:p>
          <w:p w14:paraId="62A6B729">
            <w:pPr>
              <w:spacing w:line="242" w:lineRule="auto"/>
              <w:rPr>
                <w:rFonts w:ascii="Arial"/>
                <w:sz w:val="21"/>
              </w:rPr>
            </w:pPr>
          </w:p>
          <w:p w14:paraId="11ACD6AC">
            <w:pPr>
              <w:spacing w:line="242" w:lineRule="auto"/>
              <w:rPr>
                <w:rFonts w:ascii="Arial"/>
                <w:sz w:val="21"/>
              </w:rPr>
            </w:pPr>
          </w:p>
          <w:p w14:paraId="7C75E51C">
            <w:pPr>
              <w:spacing w:line="242" w:lineRule="auto"/>
              <w:rPr>
                <w:rFonts w:ascii="Arial"/>
                <w:sz w:val="21"/>
              </w:rPr>
            </w:pPr>
          </w:p>
          <w:p w14:paraId="4E59C1A4">
            <w:pPr>
              <w:spacing w:line="242" w:lineRule="auto"/>
              <w:rPr>
                <w:rFonts w:ascii="Arial"/>
                <w:sz w:val="21"/>
              </w:rPr>
            </w:pPr>
          </w:p>
          <w:p w14:paraId="202F3C09">
            <w:pPr>
              <w:spacing w:line="242" w:lineRule="auto"/>
              <w:rPr>
                <w:rFonts w:ascii="Arial"/>
                <w:sz w:val="21"/>
              </w:rPr>
            </w:pPr>
          </w:p>
          <w:p w14:paraId="2B90112B">
            <w:pPr>
              <w:spacing w:line="242" w:lineRule="auto"/>
              <w:rPr>
                <w:rFonts w:ascii="Arial"/>
                <w:sz w:val="21"/>
              </w:rPr>
            </w:pPr>
          </w:p>
          <w:p w14:paraId="1094EC6C">
            <w:pPr>
              <w:pStyle w:val="6"/>
              <w:spacing w:before="82" w:line="250" w:lineRule="auto"/>
              <w:ind w:left="313" w:right="180" w:hanging="131"/>
            </w:pPr>
            <w:r>
              <w:rPr>
                <w:spacing w:val="6"/>
              </w:rPr>
              <w:t>其他符合</w:t>
            </w:r>
            <w:r>
              <w:rPr>
                <w:spacing w:val="5"/>
              </w:rPr>
              <w:t>性分析</w:t>
            </w:r>
          </w:p>
        </w:tc>
        <w:tc>
          <w:tcPr>
            <w:tcW w:w="7474" w:type="dxa"/>
            <w:gridSpan w:val="6"/>
            <w:tcBorders>
              <w:top w:val="single" w:color="000000" w:sz="6" w:space="0"/>
              <w:right w:val="single" w:color="000000" w:sz="6" w:space="0"/>
            </w:tcBorders>
            <w:vAlign w:val="top"/>
          </w:tcPr>
          <w:p w14:paraId="346F11BE">
            <w:pPr>
              <w:pStyle w:val="6"/>
              <w:spacing w:before="149" w:line="340" w:lineRule="auto"/>
              <w:ind w:left="110" w:right="103" w:firstLine="546"/>
              <w:jc w:val="both"/>
            </w:pPr>
            <w:r>
              <w:rPr>
                <w:spacing w:val="7"/>
              </w:rPr>
              <w:t>同时，重庆市九龙坡区发展和改革委员会已于</w:t>
            </w:r>
            <w:r>
              <w:rPr>
                <w:rFonts w:ascii="Times New Roman" w:hAnsi="Times New Roman" w:eastAsia="Times New Roman" w:cs="Times New Roman"/>
                <w:spacing w:val="7"/>
              </w:rPr>
              <w:t>20</w:t>
            </w:r>
            <w:r>
              <w:rPr>
                <w:rFonts w:ascii="Times New Roman" w:hAnsi="Times New Roman" w:eastAsia="Times New Roman" w:cs="Times New Roman"/>
                <w:spacing w:val="6"/>
              </w:rPr>
              <w:t>25</w:t>
            </w:r>
            <w:r>
              <w:rPr>
                <w:spacing w:val="6"/>
              </w:rPr>
              <w:t>年</w:t>
            </w:r>
            <w:r>
              <w:rPr>
                <w:rFonts w:ascii="Times New Roman" w:hAnsi="Times New Roman" w:eastAsia="Times New Roman" w:cs="Times New Roman"/>
                <w:spacing w:val="6"/>
              </w:rPr>
              <w:t>12</w:t>
            </w:r>
            <w:r>
              <w:rPr>
                <w:spacing w:val="6"/>
              </w:rPr>
              <w:t>月</w:t>
            </w:r>
            <w:r>
              <w:rPr>
                <w:rFonts w:ascii="Times New Roman" w:hAnsi="Times New Roman" w:eastAsia="Times New Roman" w:cs="Times New Roman"/>
                <w:spacing w:val="6"/>
              </w:rPr>
              <w:t>19</w:t>
            </w:r>
            <w:r>
              <w:rPr>
                <w:spacing w:val="7"/>
              </w:rPr>
              <w:t>日对本次改扩建项目进行了备案，项目代码为“</w:t>
            </w:r>
            <w:r>
              <w:rPr>
                <w:rFonts w:ascii="Times New Roman" w:hAnsi="Times New Roman" w:eastAsia="Times New Roman" w:cs="Times New Roman"/>
                <w:spacing w:val="7"/>
              </w:rPr>
              <w:t>2512-500107-</w:t>
            </w:r>
            <w:r>
              <w:rPr>
                <w:rFonts w:ascii="Times New Roman" w:hAnsi="Times New Roman" w:eastAsia="Times New Roman" w:cs="Times New Roman"/>
                <w:spacing w:val="6"/>
              </w:rPr>
              <w:t>04-</w:t>
            </w:r>
            <w:r>
              <w:rPr>
                <w:rFonts w:ascii="Times New Roman" w:hAnsi="Times New Roman" w:eastAsia="Times New Roman" w:cs="Times New Roman"/>
              </w:rPr>
              <w:t xml:space="preserve"> </w:t>
            </w:r>
            <w:r>
              <w:rPr>
                <w:rFonts w:ascii="Times New Roman" w:hAnsi="Times New Roman" w:eastAsia="Times New Roman" w:cs="Times New Roman"/>
                <w:spacing w:val="7"/>
              </w:rPr>
              <w:t>02-704805</w:t>
            </w:r>
            <w:r>
              <w:rPr>
                <w:rFonts w:ascii="Times New Roman" w:hAnsi="Times New Roman" w:eastAsia="Times New Roman" w:cs="Times New Roman"/>
                <w:spacing w:val="-28"/>
              </w:rPr>
              <w:t xml:space="preserve"> </w:t>
            </w:r>
            <w:r>
              <w:rPr>
                <w:spacing w:val="7"/>
              </w:rPr>
              <w:t>”，同意本项目改扩建，符</w:t>
            </w:r>
            <w:r>
              <w:rPr>
                <w:spacing w:val="6"/>
              </w:rPr>
              <w:t>合国家现行产业政策。</w:t>
            </w:r>
          </w:p>
          <w:p w14:paraId="3FFBC991">
            <w:pPr>
              <w:pStyle w:val="6"/>
              <w:spacing w:before="1" w:line="339" w:lineRule="auto"/>
              <w:ind w:left="111" w:right="105" w:firstLine="5"/>
            </w:pPr>
            <w:r>
              <w:rPr>
                <w:rFonts w:ascii="Times New Roman" w:hAnsi="Times New Roman" w:eastAsia="Times New Roman" w:cs="Times New Roman"/>
                <w:b/>
                <w:bCs/>
                <w:spacing w:val="3"/>
              </w:rPr>
              <w:t>1.2</w:t>
            </w:r>
            <w:r>
              <w:rPr>
                <w:b/>
                <w:bCs/>
                <w:spacing w:val="3"/>
              </w:rPr>
              <w:t>与《重庆市发展和改革委员会关于印发重庆市产业投资准入工</w:t>
            </w:r>
            <w:r>
              <w:rPr>
                <w:b/>
                <w:bCs/>
                <w:spacing w:val="7"/>
              </w:rPr>
              <w:t>作手册的通知》（渝发改投资〔</w:t>
            </w:r>
            <w:r>
              <w:rPr>
                <w:rFonts w:ascii="Times New Roman" w:hAnsi="Times New Roman" w:eastAsia="Times New Roman" w:cs="Times New Roman"/>
                <w:b/>
                <w:bCs/>
                <w:spacing w:val="7"/>
              </w:rPr>
              <w:t>2022</w:t>
            </w:r>
            <w:r>
              <w:rPr>
                <w:b/>
                <w:bCs/>
                <w:spacing w:val="7"/>
              </w:rPr>
              <w:t>〕</w:t>
            </w:r>
            <w:r>
              <w:rPr>
                <w:rFonts w:ascii="Times New Roman" w:hAnsi="Times New Roman" w:eastAsia="Times New Roman" w:cs="Times New Roman"/>
                <w:b/>
                <w:bCs/>
                <w:spacing w:val="7"/>
              </w:rPr>
              <w:t>1436</w:t>
            </w:r>
            <w:r>
              <w:rPr>
                <w:b/>
                <w:bCs/>
                <w:spacing w:val="7"/>
              </w:rPr>
              <w:t>号）符合性分析</w:t>
            </w:r>
          </w:p>
          <w:p w14:paraId="5DB0985B">
            <w:pPr>
              <w:pStyle w:val="6"/>
              <w:spacing w:before="6" w:line="339" w:lineRule="auto"/>
              <w:ind w:left="109" w:right="15" w:firstLine="521"/>
              <w:jc w:val="both"/>
            </w:pPr>
            <w:r>
              <w:rPr>
                <w:spacing w:val="8"/>
              </w:rPr>
              <w:t>根据《重庆市产业投资准入工作手册》（渝发改投〔</w:t>
            </w:r>
            <w:r>
              <w:rPr>
                <w:rFonts w:ascii="Times New Roman" w:hAnsi="Times New Roman" w:eastAsia="Times New Roman" w:cs="Times New Roman"/>
                <w:spacing w:val="8"/>
              </w:rPr>
              <w:t>2022</w:t>
            </w:r>
            <w:r>
              <w:rPr>
                <w:spacing w:val="8"/>
              </w:rPr>
              <w:t>〕</w:t>
            </w:r>
            <w:r>
              <w:rPr>
                <w:spacing w:val="11"/>
              </w:rPr>
              <w:t xml:space="preserve"> </w:t>
            </w:r>
            <w:r>
              <w:rPr>
                <w:rFonts w:ascii="Times New Roman" w:hAnsi="Times New Roman" w:eastAsia="Times New Roman" w:cs="Times New Roman"/>
                <w:spacing w:val="5"/>
              </w:rPr>
              <w:t>1436</w:t>
            </w:r>
            <w:r>
              <w:rPr>
                <w:spacing w:val="5"/>
              </w:rPr>
              <w:t>号</w:t>
            </w:r>
            <w:r>
              <w:rPr>
                <w:spacing w:val="-29"/>
              </w:rPr>
              <w:t>），</w:t>
            </w:r>
            <w:r>
              <w:rPr>
                <w:spacing w:val="5"/>
              </w:rPr>
              <w:t>产业投资准入政策包括不予准入、限制准入两类目录。</w:t>
            </w:r>
            <w:r>
              <w:rPr>
                <w:spacing w:val="9"/>
              </w:rPr>
              <w:t>不予准入类主要指国家及我市相关规定明令禁止的项目。</w:t>
            </w:r>
            <w:r>
              <w:rPr>
                <w:spacing w:val="8"/>
              </w:rPr>
              <w:t>限制准</w:t>
            </w:r>
            <w:r>
              <w:rPr>
                <w:spacing w:val="9"/>
              </w:rPr>
              <w:t>入类主要指国家及我市相关规定明确予以限制的行业或项</w:t>
            </w:r>
            <w:r>
              <w:rPr>
                <w:spacing w:val="8"/>
              </w:rPr>
              <w:t>目，主要分为行业限制、区域限制。</w:t>
            </w:r>
          </w:p>
          <w:p w14:paraId="13BFDAD9">
            <w:pPr>
              <w:pStyle w:val="6"/>
              <w:spacing w:before="1" w:line="339" w:lineRule="auto"/>
              <w:ind w:left="112" w:right="103" w:firstLine="519"/>
              <w:jc w:val="both"/>
            </w:pPr>
            <w:r>
              <w:rPr>
                <w:spacing w:val="10"/>
              </w:rPr>
              <w:t>本项目位于重庆市九龙坡区石堰村八社</w:t>
            </w:r>
            <w:r>
              <w:rPr>
                <w:rFonts w:ascii="Times New Roman" w:hAnsi="Times New Roman" w:eastAsia="Times New Roman" w:cs="Times New Roman"/>
                <w:spacing w:val="10"/>
              </w:rPr>
              <w:t>(</w:t>
            </w:r>
            <w:r>
              <w:rPr>
                <w:spacing w:val="10"/>
              </w:rPr>
              <w:t>乔鹤佳苑小区旁</w:t>
            </w:r>
            <w:r>
              <w:rPr>
                <w:rFonts w:ascii="Times New Roman" w:hAnsi="Times New Roman" w:eastAsia="Times New Roman" w:cs="Times New Roman"/>
                <w:spacing w:val="10"/>
              </w:rPr>
              <w:t>)</w:t>
            </w:r>
            <w:r>
              <w:rPr>
                <w:rFonts w:ascii="Times New Roman" w:hAnsi="Times New Roman" w:eastAsia="Times New Roman" w:cs="Times New Roman"/>
                <w:spacing w:val="-23"/>
              </w:rPr>
              <w:t xml:space="preserve"> </w:t>
            </w:r>
            <w:r>
              <w:rPr>
                <w:spacing w:val="10"/>
              </w:rPr>
              <w:t>，</w:t>
            </w:r>
            <w:r>
              <w:rPr>
                <w:spacing w:val="9"/>
              </w:rPr>
              <w:t>现有九中路加油站站区内，与《重庆市发展和改革</w:t>
            </w:r>
            <w:r>
              <w:rPr>
                <w:spacing w:val="8"/>
              </w:rPr>
              <w:t>委员会关于印发重庆市产业投资准入工作手册的通知》（渝发改投资〔</w:t>
            </w:r>
            <w:r>
              <w:rPr>
                <w:rFonts w:ascii="Times New Roman" w:hAnsi="Times New Roman" w:eastAsia="Times New Roman" w:cs="Times New Roman"/>
                <w:spacing w:val="8"/>
              </w:rPr>
              <w:t>2022</w:t>
            </w:r>
            <w:r>
              <w:rPr>
                <w:spacing w:val="8"/>
              </w:rPr>
              <w:t>〕</w:t>
            </w:r>
            <w:r>
              <w:rPr>
                <w:spacing w:val="6"/>
              </w:rPr>
              <w:t xml:space="preserve"> </w:t>
            </w:r>
            <w:r>
              <w:rPr>
                <w:rFonts w:ascii="Times New Roman" w:hAnsi="Times New Roman" w:eastAsia="Times New Roman" w:cs="Times New Roman"/>
                <w:spacing w:val="6"/>
              </w:rPr>
              <w:t xml:space="preserve">1436  </w:t>
            </w:r>
            <w:r>
              <w:rPr>
                <w:spacing w:val="6"/>
              </w:rPr>
              <w:t>号）符合性分析见下表。</w:t>
            </w:r>
          </w:p>
          <w:p w14:paraId="2EB8A9AD">
            <w:pPr>
              <w:pStyle w:val="6"/>
              <w:spacing w:line="225" w:lineRule="auto"/>
              <w:ind w:left="109"/>
            </w:pPr>
            <w:r>
              <w:rPr>
                <w:spacing w:val="6"/>
              </w:rPr>
              <w:t>表</w:t>
            </w:r>
            <w:r>
              <w:rPr>
                <w:rFonts w:ascii="Times New Roman" w:hAnsi="Times New Roman" w:eastAsia="Times New Roman" w:cs="Times New Roman"/>
                <w:spacing w:val="6"/>
              </w:rPr>
              <w:t>1.2-</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 xml:space="preserve">1    </w:t>
            </w:r>
            <w:r>
              <w:rPr>
                <w:spacing w:val="6"/>
              </w:rPr>
              <w:t>与《重庆市发展和改革委员会关于印发重</w:t>
            </w:r>
            <w:r>
              <w:rPr>
                <w:spacing w:val="5"/>
              </w:rPr>
              <w:t>庆市产业投资</w:t>
            </w:r>
          </w:p>
          <w:p w14:paraId="2722D980">
            <w:pPr>
              <w:pStyle w:val="6"/>
              <w:spacing w:before="155" w:line="222" w:lineRule="auto"/>
              <w:ind w:left="1663"/>
            </w:pPr>
            <w:r>
              <w:rPr>
                <w:spacing w:val="9"/>
              </w:rPr>
              <w:t>准入工作手册的通知》符合性分析表</w:t>
            </w:r>
          </w:p>
        </w:tc>
      </w:tr>
      <w:tr w14:paraId="3D08C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400" w:type="dxa"/>
            <w:vMerge w:val="continue"/>
            <w:tcBorders>
              <w:top w:val="nil"/>
              <w:left w:val="single" w:color="000000" w:sz="6" w:space="0"/>
              <w:bottom w:val="nil"/>
            </w:tcBorders>
            <w:vAlign w:val="top"/>
          </w:tcPr>
          <w:p w14:paraId="354151E7">
            <w:pPr>
              <w:rPr>
                <w:rFonts w:ascii="Arial"/>
                <w:sz w:val="21"/>
              </w:rPr>
            </w:pPr>
          </w:p>
        </w:tc>
        <w:tc>
          <w:tcPr>
            <w:tcW w:w="115" w:type="dxa"/>
            <w:tcBorders>
              <w:top w:val="nil"/>
              <w:bottom w:val="nil"/>
            </w:tcBorders>
            <w:vAlign w:val="top"/>
          </w:tcPr>
          <w:p w14:paraId="33C503A0">
            <w:pPr>
              <w:rPr>
                <w:rFonts w:ascii="Arial"/>
                <w:sz w:val="21"/>
              </w:rPr>
            </w:pPr>
          </w:p>
        </w:tc>
        <w:tc>
          <w:tcPr>
            <w:tcW w:w="423" w:type="dxa"/>
            <w:textDirection w:val="tbRlV"/>
            <w:vAlign w:val="top"/>
          </w:tcPr>
          <w:p w14:paraId="66DD14F3">
            <w:pPr>
              <w:pStyle w:val="6"/>
              <w:spacing w:before="95" w:line="209" w:lineRule="auto"/>
              <w:ind w:left="41"/>
              <w:rPr>
                <w:sz w:val="22"/>
                <w:szCs w:val="22"/>
              </w:rPr>
            </w:pPr>
            <w:r>
              <w:rPr>
                <w:spacing w:val="33"/>
                <w:sz w:val="22"/>
                <w:szCs w:val="22"/>
              </w:rPr>
              <w:t>类别</w:t>
            </w:r>
          </w:p>
        </w:tc>
        <w:tc>
          <w:tcPr>
            <w:tcW w:w="4259" w:type="dxa"/>
            <w:vAlign w:val="top"/>
          </w:tcPr>
          <w:p w14:paraId="44BAE9E6">
            <w:pPr>
              <w:pStyle w:val="6"/>
              <w:spacing w:before="182" w:line="221" w:lineRule="auto"/>
              <w:ind w:left="114"/>
              <w:rPr>
                <w:sz w:val="22"/>
                <w:szCs w:val="22"/>
              </w:rPr>
            </w:pPr>
            <w:r>
              <w:rPr>
                <w:spacing w:val="-6"/>
                <w:sz w:val="22"/>
                <w:szCs w:val="22"/>
              </w:rPr>
              <w:t>实施细则</w:t>
            </w:r>
          </w:p>
        </w:tc>
        <w:tc>
          <w:tcPr>
            <w:tcW w:w="1801" w:type="dxa"/>
            <w:vAlign w:val="top"/>
          </w:tcPr>
          <w:p w14:paraId="2F140CBD">
            <w:pPr>
              <w:pStyle w:val="6"/>
              <w:spacing w:before="182" w:line="221" w:lineRule="auto"/>
              <w:ind w:left="120"/>
              <w:rPr>
                <w:sz w:val="22"/>
                <w:szCs w:val="22"/>
              </w:rPr>
            </w:pPr>
            <w:r>
              <w:rPr>
                <w:spacing w:val="-5"/>
                <w:sz w:val="22"/>
                <w:szCs w:val="22"/>
              </w:rPr>
              <w:t>项目情况</w:t>
            </w:r>
          </w:p>
        </w:tc>
        <w:tc>
          <w:tcPr>
            <w:tcW w:w="752" w:type="dxa"/>
            <w:vAlign w:val="top"/>
          </w:tcPr>
          <w:p w14:paraId="3099DD73">
            <w:pPr>
              <w:pStyle w:val="6"/>
              <w:spacing w:before="41" w:line="221" w:lineRule="auto"/>
              <w:ind w:left="124"/>
              <w:rPr>
                <w:sz w:val="22"/>
                <w:szCs w:val="22"/>
              </w:rPr>
            </w:pPr>
            <w:r>
              <w:rPr>
                <w:spacing w:val="-6"/>
                <w:sz w:val="22"/>
                <w:szCs w:val="22"/>
              </w:rPr>
              <w:t>是否</w:t>
            </w:r>
          </w:p>
          <w:p w14:paraId="27B4C472">
            <w:pPr>
              <w:pStyle w:val="6"/>
              <w:spacing w:before="22" w:line="200" w:lineRule="auto"/>
              <w:ind w:left="122"/>
              <w:rPr>
                <w:sz w:val="22"/>
                <w:szCs w:val="22"/>
              </w:rPr>
            </w:pPr>
            <w:r>
              <w:rPr>
                <w:spacing w:val="-5"/>
                <w:sz w:val="22"/>
                <w:szCs w:val="22"/>
              </w:rPr>
              <w:t>符合</w:t>
            </w:r>
          </w:p>
        </w:tc>
        <w:tc>
          <w:tcPr>
            <w:tcW w:w="124" w:type="dxa"/>
            <w:tcBorders>
              <w:top w:val="nil"/>
              <w:bottom w:val="nil"/>
              <w:right w:val="single" w:color="000000" w:sz="6" w:space="0"/>
            </w:tcBorders>
            <w:vAlign w:val="top"/>
          </w:tcPr>
          <w:p w14:paraId="0D6E6B5B">
            <w:pPr>
              <w:rPr>
                <w:rFonts w:ascii="Arial"/>
                <w:sz w:val="21"/>
              </w:rPr>
            </w:pPr>
          </w:p>
        </w:tc>
      </w:tr>
      <w:tr w14:paraId="28D92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5" w:hRule="atLeast"/>
        </w:trPr>
        <w:tc>
          <w:tcPr>
            <w:tcW w:w="1400" w:type="dxa"/>
            <w:vMerge w:val="continue"/>
            <w:tcBorders>
              <w:top w:val="nil"/>
              <w:left w:val="single" w:color="000000" w:sz="6" w:space="0"/>
              <w:bottom w:val="nil"/>
            </w:tcBorders>
            <w:vAlign w:val="top"/>
          </w:tcPr>
          <w:p w14:paraId="0D5C407D">
            <w:pPr>
              <w:rPr>
                <w:rFonts w:ascii="Arial"/>
                <w:sz w:val="21"/>
              </w:rPr>
            </w:pPr>
          </w:p>
        </w:tc>
        <w:tc>
          <w:tcPr>
            <w:tcW w:w="115" w:type="dxa"/>
            <w:tcBorders>
              <w:top w:val="nil"/>
              <w:bottom w:val="nil"/>
            </w:tcBorders>
            <w:vAlign w:val="top"/>
          </w:tcPr>
          <w:p w14:paraId="1393F515">
            <w:pPr>
              <w:rPr>
                <w:rFonts w:ascii="Arial"/>
                <w:sz w:val="21"/>
              </w:rPr>
            </w:pPr>
          </w:p>
        </w:tc>
        <w:tc>
          <w:tcPr>
            <w:tcW w:w="423" w:type="dxa"/>
            <w:vMerge w:val="restart"/>
            <w:tcBorders>
              <w:bottom w:val="nil"/>
            </w:tcBorders>
            <w:textDirection w:val="tbRlV"/>
            <w:vAlign w:val="top"/>
          </w:tcPr>
          <w:p w14:paraId="2D8C721E">
            <w:pPr>
              <w:pStyle w:val="6"/>
              <w:spacing w:before="96" w:line="209" w:lineRule="auto"/>
              <w:ind w:left="2041"/>
              <w:rPr>
                <w:sz w:val="22"/>
                <w:szCs w:val="22"/>
              </w:rPr>
            </w:pPr>
            <w:r>
              <w:rPr>
                <w:spacing w:val="52"/>
                <w:sz w:val="22"/>
                <w:szCs w:val="22"/>
              </w:rPr>
              <w:t>不予准入类</w:t>
            </w:r>
          </w:p>
        </w:tc>
        <w:tc>
          <w:tcPr>
            <w:tcW w:w="4259" w:type="dxa"/>
            <w:vAlign w:val="top"/>
          </w:tcPr>
          <w:p w14:paraId="1ECB50D0">
            <w:pPr>
              <w:pStyle w:val="6"/>
              <w:spacing w:before="42" w:line="220" w:lineRule="auto"/>
              <w:ind w:left="109"/>
              <w:rPr>
                <w:sz w:val="22"/>
                <w:szCs w:val="22"/>
              </w:rPr>
            </w:pPr>
            <w:r>
              <w:rPr>
                <w:spacing w:val="-4"/>
                <w:sz w:val="22"/>
                <w:szCs w:val="22"/>
              </w:rPr>
              <w:t>全市范围内不予准入：</w:t>
            </w:r>
          </w:p>
          <w:p w14:paraId="44463E3C">
            <w:pPr>
              <w:pStyle w:val="6"/>
              <w:spacing w:before="20"/>
              <w:ind w:left="112" w:right="152" w:firstLine="13"/>
              <w:rPr>
                <w:sz w:val="22"/>
                <w:szCs w:val="22"/>
              </w:rPr>
            </w:pPr>
            <w:r>
              <w:rPr>
                <w:rFonts w:ascii="Times New Roman" w:hAnsi="Times New Roman" w:eastAsia="Times New Roman" w:cs="Times New Roman"/>
                <w:spacing w:val="-5"/>
                <w:sz w:val="22"/>
                <w:szCs w:val="22"/>
              </w:rPr>
              <w:t>1</w:t>
            </w:r>
            <w:r>
              <w:rPr>
                <w:spacing w:val="-5"/>
                <w:sz w:val="22"/>
                <w:szCs w:val="22"/>
              </w:rPr>
              <w:t>、国家产业结构调整指导目录中的淘汰类</w:t>
            </w:r>
            <w:r>
              <w:rPr>
                <w:spacing w:val="-6"/>
                <w:sz w:val="22"/>
                <w:szCs w:val="22"/>
              </w:rPr>
              <w:t>项目</w:t>
            </w:r>
          </w:p>
          <w:p w14:paraId="26F36773">
            <w:pPr>
              <w:pStyle w:val="6"/>
              <w:spacing w:line="219" w:lineRule="auto"/>
              <w:ind w:left="105"/>
              <w:rPr>
                <w:sz w:val="22"/>
                <w:szCs w:val="22"/>
              </w:rPr>
            </w:pPr>
            <w:r>
              <w:rPr>
                <w:rFonts w:ascii="Times New Roman" w:hAnsi="Times New Roman" w:eastAsia="Times New Roman" w:cs="Times New Roman"/>
                <w:spacing w:val="-4"/>
                <w:sz w:val="22"/>
                <w:szCs w:val="22"/>
              </w:rPr>
              <w:t>2</w:t>
            </w:r>
            <w:r>
              <w:rPr>
                <w:spacing w:val="-4"/>
                <w:sz w:val="22"/>
                <w:szCs w:val="22"/>
              </w:rPr>
              <w:t>、天然林商业性采伐</w:t>
            </w:r>
          </w:p>
          <w:p w14:paraId="72F78FC4">
            <w:pPr>
              <w:pStyle w:val="6"/>
              <w:spacing w:before="24" w:line="215" w:lineRule="auto"/>
              <w:ind w:left="109" w:right="152"/>
              <w:rPr>
                <w:sz w:val="22"/>
                <w:szCs w:val="22"/>
              </w:rPr>
            </w:pPr>
            <w:r>
              <w:rPr>
                <w:rFonts w:ascii="Times New Roman" w:hAnsi="Times New Roman" w:eastAsia="Times New Roman" w:cs="Times New Roman"/>
                <w:spacing w:val="-5"/>
                <w:sz w:val="22"/>
                <w:szCs w:val="22"/>
              </w:rPr>
              <w:t>3</w:t>
            </w:r>
            <w:r>
              <w:rPr>
                <w:spacing w:val="-5"/>
                <w:sz w:val="22"/>
                <w:szCs w:val="22"/>
              </w:rPr>
              <w:t>、法律法规和相关政策明令不予准入的其</w:t>
            </w:r>
            <w:r>
              <w:rPr>
                <w:spacing w:val="-4"/>
                <w:sz w:val="22"/>
                <w:szCs w:val="22"/>
              </w:rPr>
              <w:t>他项目</w:t>
            </w:r>
          </w:p>
        </w:tc>
        <w:tc>
          <w:tcPr>
            <w:tcW w:w="1801" w:type="dxa"/>
            <w:vAlign w:val="top"/>
          </w:tcPr>
          <w:p w14:paraId="15B38257">
            <w:pPr>
              <w:spacing w:line="396" w:lineRule="auto"/>
              <w:rPr>
                <w:rFonts w:ascii="Arial"/>
                <w:sz w:val="21"/>
              </w:rPr>
            </w:pPr>
          </w:p>
          <w:p w14:paraId="46C57A84">
            <w:pPr>
              <w:pStyle w:val="6"/>
              <w:spacing w:before="71"/>
              <w:ind w:left="116" w:right="170" w:firstLine="1"/>
              <w:jc w:val="both"/>
              <w:rPr>
                <w:sz w:val="22"/>
                <w:szCs w:val="22"/>
              </w:rPr>
            </w:pPr>
            <w:r>
              <w:rPr>
                <w:spacing w:val="-5"/>
                <w:sz w:val="22"/>
                <w:szCs w:val="22"/>
              </w:rPr>
              <w:t>本项目不属于全市范围内不予准</w:t>
            </w:r>
            <w:r>
              <w:rPr>
                <w:spacing w:val="-4"/>
                <w:sz w:val="22"/>
                <w:szCs w:val="22"/>
              </w:rPr>
              <w:t>入项目</w:t>
            </w:r>
          </w:p>
        </w:tc>
        <w:tc>
          <w:tcPr>
            <w:tcW w:w="752" w:type="dxa"/>
            <w:vAlign w:val="top"/>
          </w:tcPr>
          <w:p w14:paraId="1EB6EE96">
            <w:pPr>
              <w:spacing w:line="338" w:lineRule="auto"/>
              <w:rPr>
                <w:rFonts w:ascii="Arial"/>
                <w:sz w:val="21"/>
              </w:rPr>
            </w:pPr>
          </w:p>
          <w:p w14:paraId="5F3FFA19">
            <w:pPr>
              <w:spacing w:line="338" w:lineRule="auto"/>
              <w:rPr>
                <w:rFonts w:ascii="Arial"/>
                <w:sz w:val="21"/>
              </w:rPr>
            </w:pPr>
          </w:p>
          <w:p w14:paraId="3F1F491A">
            <w:pPr>
              <w:pStyle w:val="6"/>
              <w:spacing w:before="72" w:line="220" w:lineRule="auto"/>
              <w:ind w:left="122"/>
              <w:rPr>
                <w:sz w:val="22"/>
                <w:szCs w:val="22"/>
              </w:rPr>
            </w:pPr>
            <w:r>
              <w:rPr>
                <w:spacing w:val="-5"/>
                <w:sz w:val="22"/>
                <w:szCs w:val="22"/>
              </w:rPr>
              <w:t>符合</w:t>
            </w:r>
          </w:p>
        </w:tc>
        <w:tc>
          <w:tcPr>
            <w:tcW w:w="124" w:type="dxa"/>
            <w:tcBorders>
              <w:top w:val="nil"/>
              <w:bottom w:val="nil"/>
              <w:right w:val="single" w:color="000000" w:sz="6" w:space="0"/>
            </w:tcBorders>
            <w:vAlign w:val="top"/>
          </w:tcPr>
          <w:p w14:paraId="121061AD">
            <w:pPr>
              <w:rPr>
                <w:rFonts w:ascii="Arial"/>
                <w:sz w:val="21"/>
              </w:rPr>
            </w:pPr>
          </w:p>
        </w:tc>
      </w:tr>
      <w:tr w14:paraId="0DF55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3" w:hRule="atLeast"/>
        </w:trPr>
        <w:tc>
          <w:tcPr>
            <w:tcW w:w="1400" w:type="dxa"/>
            <w:vMerge w:val="continue"/>
            <w:tcBorders>
              <w:top w:val="nil"/>
              <w:left w:val="single" w:color="000000" w:sz="6" w:space="0"/>
              <w:bottom w:val="single" w:color="000000" w:sz="6" w:space="0"/>
            </w:tcBorders>
            <w:vAlign w:val="top"/>
          </w:tcPr>
          <w:p w14:paraId="2A61045A">
            <w:pPr>
              <w:rPr>
                <w:rFonts w:ascii="Arial"/>
                <w:sz w:val="21"/>
              </w:rPr>
            </w:pPr>
          </w:p>
        </w:tc>
        <w:tc>
          <w:tcPr>
            <w:tcW w:w="115" w:type="dxa"/>
            <w:tcBorders>
              <w:top w:val="nil"/>
              <w:bottom w:val="single" w:color="000000" w:sz="6" w:space="0"/>
            </w:tcBorders>
            <w:vAlign w:val="top"/>
          </w:tcPr>
          <w:p w14:paraId="2B58268F">
            <w:pPr>
              <w:rPr>
                <w:rFonts w:ascii="Arial"/>
                <w:sz w:val="21"/>
              </w:rPr>
            </w:pPr>
          </w:p>
        </w:tc>
        <w:tc>
          <w:tcPr>
            <w:tcW w:w="423" w:type="dxa"/>
            <w:vMerge w:val="continue"/>
            <w:tcBorders>
              <w:top w:val="nil"/>
              <w:bottom w:val="single" w:color="000000" w:sz="6" w:space="0"/>
            </w:tcBorders>
            <w:textDirection w:val="tbRlV"/>
            <w:vAlign w:val="top"/>
          </w:tcPr>
          <w:p w14:paraId="4400E814">
            <w:pPr>
              <w:rPr>
                <w:rFonts w:ascii="Arial"/>
                <w:sz w:val="21"/>
              </w:rPr>
            </w:pPr>
          </w:p>
        </w:tc>
        <w:tc>
          <w:tcPr>
            <w:tcW w:w="4259" w:type="dxa"/>
            <w:tcBorders>
              <w:bottom w:val="single" w:color="000000" w:sz="6" w:space="0"/>
            </w:tcBorders>
            <w:vAlign w:val="top"/>
          </w:tcPr>
          <w:p w14:paraId="624F5AD5">
            <w:pPr>
              <w:pStyle w:val="6"/>
              <w:spacing w:before="52" w:line="221" w:lineRule="auto"/>
              <w:ind w:left="109"/>
              <w:rPr>
                <w:sz w:val="22"/>
                <w:szCs w:val="22"/>
              </w:rPr>
            </w:pPr>
            <w:r>
              <w:rPr>
                <w:spacing w:val="-5"/>
                <w:sz w:val="22"/>
                <w:szCs w:val="22"/>
              </w:rPr>
              <w:t>重点区域不予准入：</w:t>
            </w:r>
          </w:p>
          <w:p w14:paraId="7077B689">
            <w:pPr>
              <w:pStyle w:val="6"/>
              <w:spacing w:before="21" w:line="239" w:lineRule="auto"/>
              <w:ind w:left="109" w:right="152" w:firstLine="16"/>
              <w:rPr>
                <w:sz w:val="22"/>
                <w:szCs w:val="22"/>
              </w:rPr>
            </w:pPr>
            <w:r>
              <w:rPr>
                <w:rFonts w:ascii="Times New Roman" w:hAnsi="Times New Roman" w:eastAsia="Times New Roman" w:cs="Times New Roman"/>
                <w:spacing w:val="-5"/>
                <w:sz w:val="22"/>
                <w:szCs w:val="22"/>
              </w:rPr>
              <w:t>1</w:t>
            </w:r>
            <w:r>
              <w:rPr>
                <w:spacing w:val="-5"/>
                <w:sz w:val="22"/>
                <w:szCs w:val="22"/>
              </w:rPr>
              <w:t>、外环绕城高速公路以内长江、嘉陵江水域采砂</w:t>
            </w:r>
          </w:p>
          <w:p w14:paraId="32A3106A">
            <w:pPr>
              <w:pStyle w:val="6"/>
              <w:spacing w:line="220" w:lineRule="auto"/>
              <w:ind w:left="105"/>
              <w:rPr>
                <w:sz w:val="22"/>
                <w:szCs w:val="22"/>
              </w:rPr>
            </w:pPr>
            <w:r>
              <w:rPr>
                <w:rFonts w:ascii="Times New Roman" w:hAnsi="Times New Roman" w:eastAsia="Times New Roman" w:cs="Times New Roman"/>
                <w:spacing w:val="-4"/>
                <w:sz w:val="22"/>
                <w:szCs w:val="22"/>
              </w:rPr>
              <w:t>2</w:t>
            </w:r>
            <w:r>
              <w:rPr>
                <w:spacing w:val="-4"/>
                <w:sz w:val="22"/>
                <w:szCs w:val="22"/>
              </w:rPr>
              <w:t>、二十五度以上陡坡地开垦种植农作物</w:t>
            </w:r>
          </w:p>
          <w:p w14:paraId="36057D5E">
            <w:pPr>
              <w:pStyle w:val="6"/>
              <w:spacing w:before="24" w:line="239" w:lineRule="auto"/>
              <w:ind w:left="108" w:right="152" w:firstLine="1"/>
              <w:rPr>
                <w:sz w:val="22"/>
                <w:szCs w:val="22"/>
              </w:rPr>
            </w:pPr>
            <w:r>
              <w:rPr>
                <w:rFonts w:ascii="Times New Roman" w:hAnsi="Times New Roman" w:eastAsia="Times New Roman" w:cs="Times New Roman"/>
                <w:spacing w:val="-5"/>
                <w:sz w:val="22"/>
                <w:szCs w:val="22"/>
              </w:rPr>
              <w:t>3</w:t>
            </w:r>
            <w:r>
              <w:rPr>
                <w:spacing w:val="-5"/>
                <w:sz w:val="22"/>
                <w:szCs w:val="22"/>
              </w:rPr>
              <w:t>、在自然保护区核心区、缓冲区的岸线和</w:t>
            </w:r>
            <w:r>
              <w:rPr>
                <w:spacing w:val="-4"/>
                <w:sz w:val="22"/>
                <w:szCs w:val="22"/>
              </w:rPr>
              <w:t>河段范围内投资建设旅游和生产经营项目</w:t>
            </w:r>
          </w:p>
          <w:p w14:paraId="0D4D90C8">
            <w:pPr>
              <w:pStyle w:val="6"/>
              <w:spacing w:before="2" w:line="237" w:lineRule="auto"/>
              <w:ind w:left="107" w:right="77" w:hanging="4"/>
              <w:rPr>
                <w:sz w:val="22"/>
                <w:szCs w:val="22"/>
              </w:rPr>
            </w:pPr>
            <w:r>
              <w:rPr>
                <w:rFonts w:ascii="Times New Roman" w:hAnsi="Times New Roman" w:eastAsia="Times New Roman" w:cs="Times New Roman"/>
                <w:spacing w:val="-4"/>
                <w:sz w:val="22"/>
                <w:szCs w:val="22"/>
              </w:rPr>
              <w:t>4</w:t>
            </w:r>
            <w:r>
              <w:rPr>
                <w:spacing w:val="-4"/>
                <w:sz w:val="22"/>
                <w:szCs w:val="22"/>
              </w:rPr>
              <w:t>、饮用水水源一级保护区的岸线和河段范</w:t>
            </w:r>
            <w:r>
              <w:rPr>
                <w:spacing w:val="-7"/>
                <w:sz w:val="22"/>
                <w:szCs w:val="22"/>
              </w:rPr>
              <w:t>围内新建、改建、扩建与供水设施和保护水</w:t>
            </w:r>
            <w:r>
              <w:rPr>
                <w:spacing w:val="-6"/>
                <w:sz w:val="22"/>
                <w:szCs w:val="22"/>
              </w:rPr>
              <w:t>源无关的项目，以及网箱养殖、畜禽养殖、</w:t>
            </w:r>
            <w:r>
              <w:rPr>
                <w:spacing w:val="-7"/>
                <w:sz w:val="22"/>
                <w:szCs w:val="22"/>
              </w:rPr>
              <w:t>放养畜禽、旅游可能污染饮用水水体的投资建设项目。在饮用水水源二级保护区的岸线和河段范围内新建、改建、扩建排放污染物</w:t>
            </w:r>
            <w:r>
              <w:rPr>
                <w:spacing w:val="-4"/>
                <w:sz w:val="22"/>
                <w:szCs w:val="22"/>
              </w:rPr>
              <w:t>的投资建设项目。</w:t>
            </w:r>
          </w:p>
        </w:tc>
        <w:tc>
          <w:tcPr>
            <w:tcW w:w="1801" w:type="dxa"/>
            <w:tcBorders>
              <w:bottom w:val="single" w:color="000000" w:sz="6" w:space="0"/>
            </w:tcBorders>
            <w:vAlign w:val="top"/>
          </w:tcPr>
          <w:p w14:paraId="4886751C">
            <w:pPr>
              <w:spacing w:line="279" w:lineRule="auto"/>
              <w:rPr>
                <w:rFonts w:ascii="Arial"/>
                <w:sz w:val="21"/>
              </w:rPr>
            </w:pPr>
          </w:p>
          <w:p w14:paraId="250E1C3C">
            <w:pPr>
              <w:spacing w:line="280" w:lineRule="auto"/>
              <w:rPr>
                <w:rFonts w:ascii="Arial"/>
                <w:sz w:val="21"/>
              </w:rPr>
            </w:pPr>
          </w:p>
          <w:p w14:paraId="17E6A245">
            <w:pPr>
              <w:spacing w:line="280" w:lineRule="auto"/>
              <w:rPr>
                <w:rFonts w:ascii="Arial"/>
                <w:sz w:val="21"/>
              </w:rPr>
            </w:pPr>
          </w:p>
          <w:p w14:paraId="46406CA7">
            <w:pPr>
              <w:spacing w:line="280" w:lineRule="auto"/>
              <w:rPr>
                <w:rFonts w:ascii="Arial"/>
                <w:sz w:val="21"/>
              </w:rPr>
            </w:pPr>
          </w:p>
          <w:p w14:paraId="04A5FC56">
            <w:pPr>
              <w:spacing w:line="280" w:lineRule="auto"/>
              <w:rPr>
                <w:rFonts w:ascii="Arial"/>
                <w:sz w:val="21"/>
              </w:rPr>
            </w:pPr>
          </w:p>
          <w:p w14:paraId="3A624F04">
            <w:pPr>
              <w:pStyle w:val="6"/>
              <w:spacing w:before="71" w:line="241" w:lineRule="auto"/>
              <w:ind w:left="120" w:right="170" w:hanging="2"/>
              <w:jc w:val="both"/>
              <w:rPr>
                <w:sz w:val="22"/>
                <w:szCs w:val="22"/>
              </w:rPr>
            </w:pPr>
            <w:r>
              <w:rPr>
                <w:spacing w:val="-5"/>
                <w:sz w:val="22"/>
                <w:szCs w:val="22"/>
              </w:rPr>
              <w:t>本项目不属于重</w:t>
            </w:r>
            <w:r>
              <w:rPr>
                <w:spacing w:val="-6"/>
                <w:sz w:val="22"/>
                <w:szCs w:val="22"/>
              </w:rPr>
              <w:t>点区域不予准入项目</w:t>
            </w:r>
          </w:p>
        </w:tc>
        <w:tc>
          <w:tcPr>
            <w:tcW w:w="752" w:type="dxa"/>
            <w:tcBorders>
              <w:bottom w:val="single" w:color="000000" w:sz="6" w:space="0"/>
            </w:tcBorders>
            <w:vAlign w:val="top"/>
          </w:tcPr>
          <w:p w14:paraId="18919F3C">
            <w:pPr>
              <w:rPr>
                <w:rFonts w:ascii="Arial"/>
                <w:sz w:val="21"/>
              </w:rPr>
            </w:pPr>
          </w:p>
          <w:p w14:paraId="27594081">
            <w:pPr>
              <w:rPr>
                <w:rFonts w:ascii="Arial"/>
                <w:sz w:val="21"/>
              </w:rPr>
            </w:pPr>
          </w:p>
          <w:p w14:paraId="1932BCCE">
            <w:pPr>
              <w:rPr>
                <w:rFonts w:ascii="Arial"/>
                <w:sz w:val="21"/>
              </w:rPr>
            </w:pPr>
          </w:p>
          <w:p w14:paraId="64A845DE">
            <w:pPr>
              <w:rPr>
                <w:rFonts w:ascii="Arial"/>
                <w:sz w:val="21"/>
              </w:rPr>
            </w:pPr>
          </w:p>
          <w:p w14:paraId="36C87D84">
            <w:pPr>
              <w:rPr>
                <w:rFonts w:ascii="Arial"/>
                <w:sz w:val="21"/>
              </w:rPr>
            </w:pPr>
          </w:p>
          <w:p w14:paraId="70E9871C">
            <w:pPr>
              <w:spacing w:line="241" w:lineRule="auto"/>
              <w:rPr>
                <w:rFonts w:ascii="Arial"/>
                <w:sz w:val="21"/>
              </w:rPr>
            </w:pPr>
          </w:p>
          <w:p w14:paraId="45977949">
            <w:pPr>
              <w:spacing w:line="241" w:lineRule="auto"/>
              <w:rPr>
                <w:rFonts w:ascii="Arial"/>
                <w:sz w:val="21"/>
              </w:rPr>
            </w:pPr>
          </w:p>
          <w:p w14:paraId="599D4C45">
            <w:pPr>
              <w:pStyle w:val="6"/>
              <w:spacing w:before="71" w:line="220" w:lineRule="auto"/>
              <w:ind w:left="122"/>
              <w:rPr>
                <w:sz w:val="22"/>
                <w:szCs w:val="22"/>
              </w:rPr>
            </w:pPr>
            <w:r>
              <w:rPr>
                <w:spacing w:val="-5"/>
                <w:sz w:val="22"/>
                <w:szCs w:val="22"/>
              </w:rPr>
              <w:t>符合</w:t>
            </w:r>
          </w:p>
        </w:tc>
        <w:tc>
          <w:tcPr>
            <w:tcW w:w="124" w:type="dxa"/>
            <w:tcBorders>
              <w:top w:val="nil"/>
              <w:bottom w:val="single" w:color="000000" w:sz="6" w:space="0"/>
              <w:right w:val="single" w:color="000000" w:sz="6" w:space="0"/>
            </w:tcBorders>
            <w:vAlign w:val="top"/>
          </w:tcPr>
          <w:p w14:paraId="6D721D68">
            <w:pPr>
              <w:rPr>
                <w:rFonts w:ascii="Arial"/>
                <w:sz w:val="21"/>
              </w:rPr>
            </w:pPr>
          </w:p>
        </w:tc>
      </w:tr>
    </w:tbl>
    <w:p w14:paraId="72A10D27">
      <w:pPr>
        <w:pStyle w:val="2"/>
        <w:rPr>
          <w:sz w:val="21"/>
        </w:rPr>
      </w:pPr>
    </w:p>
    <w:p w14:paraId="00564527">
      <w:pPr>
        <w:rPr>
          <w:sz w:val="21"/>
          <w:szCs w:val="21"/>
        </w:rPr>
        <w:sectPr>
          <w:footerReference r:id="rId9" w:type="default"/>
          <w:pgSz w:w="11906" w:h="16839"/>
          <w:pgMar w:top="400" w:right="1508" w:bottom="1234" w:left="1508" w:header="0" w:footer="996" w:gutter="0"/>
          <w:cols w:space="720" w:num="1"/>
        </w:sectPr>
      </w:pPr>
    </w:p>
    <w:p w14:paraId="470DB4EC">
      <w:pPr>
        <w:spacing w:before="19"/>
      </w:pPr>
    </w:p>
    <w:p w14:paraId="2D1BCA44">
      <w:pPr>
        <w:spacing w:before="19"/>
      </w:pPr>
    </w:p>
    <w:p w14:paraId="0A496B03">
      <w:pPr>
        <w:spacing w:before="19"/>
      </w:pPr>
    </w:p>
    <w:p w14:paraId="00412FAD">
      <w:pPr>
        <w:spacing w:before="18"/>
      </w:pPr>
    </w:p>
    <w:p w14:paraId="3FC42365">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115"/>
        <w:gridCol w:w="423"/>
        <w:gridCol w:w="4259"/>
        <w:gridCol w:w="1801"/>
        <w:gridCol w:w="752"/>
        <w:gridCol w:w="124"/>
      </w:tblGrid>
      <w:tr w14:paraId="30797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0" w:hRule="atLeast"/>
        </w:trPr>
        <w:tc>
          <w:tcPr>
            <w:tcW w:w="1400" w:type="dxa"/>
            <w:vMerge w:val="restart"/>
            <w:tcBorders>
              <w:top w:val="single" w:color="000000" w:sz="6" w:space="0"/>
              <w:left w:val="single" w:color="000000" w:sz="6" w:space="0"/>
              <w:bottom w:val="nil"/>
            </w:tcBorders>
            <w:vAlign w:val="top"/>
          </w:tcPr>
          <w:p w14:paraId="3A154C9F">
            <w:pPr>
              <w:rPr>
                <w:rFonts w:ascii="Arial"/>
                <w:sz w:val="21"/>
              </w:rPr>
            </w:pPr>
          </w:p>
        </w:tc>
        <w:tc>
          <w:tcPr>
            <w:tcW w:w="115" w:type="dxa"/>
            <w:tcBorders>
              <w:top w:val="single" w:color="000000" w:sz="6" w:space="0"/>
              <w:bottom w:val="nil"/>
            </w:tcBorders>
            <w:vAlign w:val="top"/>
          </w:tcPr>
          <w:p w14:paraId="5A83256D">
            <w:pPr>
              <w:rPr>
                <w:rFonts w:ascii="Arial"/>
                <w:sz w:val="21"/>
              </w:rPr>
            </w:pPr>
          </w:p>
        </w:tc>
        <w:tc>
          <w:tcPr>
            <w:tcW w:w="423" w:type="dxa"/>
            <w:tcBorders>
              <w:top w:val="single" w:color="000000" w:sz="6" w:space="0"/>
            </w:tcBorders>
            <w:vAlign w:val="top"/>
          </w:tcPr>
          <w:p w14:paraId="051FFD88">
            <w:pPr>
              <w:rPr>
                <w:rFonts w:ascii="Arial"/>
                <w:sz w:val="21"/>
              </w:rPr>
            </w:pPr>
          </w:p>
        </w:tc>
        <w:tc>
          <w:tcPr>
            <w:tcW w:w="4259" w:type="dxa"/>
            <w:tcBorders>
              <w:top w:val="single" w:color="000000" w:sz="6" w:space="0"/>
            </w:tcBorders>
            <w:vAlign w:val="top"/>
          </w:tcPr>
          <w:p w14:paraId="47C70DF7">
            <w:pPr>
              <w:pStyle w:val="6"/>
              <w:spacing w:before="45" w:line="237" w:lineRule="auto"/>
              <w:ind w:left="109" w:right="21" w:firstLine="1"/>
              <w:rPr>
                <w:sz w:val="22"/>
                <w:szCs w:val="22"/>
              </w:rPr>
            </w:pPr>
            <w:r>
              <w:rPr>
                <w:rFonts w:ascii="Times New Roman" w:hAnsi="Times New Roman" w:eastAsia="Times New Roman" w:cs="Times New Roman"/>
                <w:spacing w:val="-5"/>
                <w:sz w:val="22"/>
                <w:szCs w:val="22"/>
              </w:rPr>
              <w:t>5</w:t>
            </w:r>
            <w:r>
              <w:rPr>
                <w:spacing w:val="-5"/>
                <w:sz w:val="22"/>
                <w:szCs w:val="22"/>
              </w:rPr>
              <w:t>、长江干流岸线</w:t>
            </w:r>
            <w:r>
              <w:rPr>
                <w:spacing w:val="-36"/>
                <w:sz w:val="22"/>
                <w:szCs w:val="22"/>
              </w:rPr>
              <w:t xml:space="preserve"> </w:t>
            </w:r>
            <w:r>
              <w:rPr>
                <w:rFonts w:ascii="Times New Roman" w:hAnsi="Times New Roman" w:eastAsia="Times New Roman" w:cs="Times New Roman"/>
                <w:spacing w:val="-5"/>
                <w:sz w:val="22"/>
                <w:szCs w:val="22"/>
              </w:rPr>
              <w:t xml:space="preserve">3 </w:t>
            </w:r>
            <w:r>
              <w:rPr>
                <w:spacing w:val="-5"/>
                <w:sz w:val="22"/>
                <w:szCs w:val="22"/>
              </w:rPr>
              <w:t>公里范围内和重要支流</w:t>
            </w:r>
            <w:r>
              <w:rPr>
                <w:spacing w:val="-16"/>
                <w:sz w:val="22"/>
                <w:szCs w:val="22"/>
              </w:rPr>
              <w:t>岸线</w:t>
            </w:r>
            <w:r>
              <w:rPr>
                <w:spacing w:val="-24"/>
                <w:sz w:val="22"/>
                <w:szCs w:val="22"/>
              </w:rPr>
              <w:t xml:space="preserve"> </w:t>
            </w:r>
            <w:r>
              <w:rPr>
                <w:rFonts w:ascii="Times New Roman" w:hAnsi="Times New Roman" w:eastAsia="Times New Roman" w:cs="Times New Roman"/>
                <w:spacing w:val="-16"/>
                <w:sz w:val="22"/>
                <w:szCs w:val="22"/>
              </w:rPr>
              <w:t>1</w:t>
            </w:r>
            <w:r>
              <w:rPr>
                <w:rFonts w:ascii="Times New Roman" w:hAnsi="Times New Roman" w:eastAsia="Times New Roman" w:cs="Times New Roman"/>
                <w:spacing w:val="11"/>
                <w:sz w:val="22"/>
                <w:szCs w:val="22"/>
              </w:rPr>
              <w:t xml:space="preserve"> </w:t>
            </w:r>
            <w:r>
              <w:rPr>
                <w:spacing w:val="-16"/>
                <w:sz w:val="22"/>
                <w:szCs w:val="22"/>
              </w:rPr>
              <w:t>公里范围内新建、改建、扩建尾矿库、</w:t>
            </w:r>
            <w:r>
              <w:rPr>
                <w:spacing w:val="-5"/>
                <w:sz w:val="22"/>
                <w:szCs w:val="22"/>
              </w:rPr>
              <w:t>冶炼渣库和磷石膏库</w:t>
            </w:r>
            <w:r>
              <w:rPr>
                <w:rFonts w:ascii="Times New Roman" w:hAnsi="Times New Roman" w:eastAsia="Times New Roman" w:cs="Times New Roman"/>
                <w:spacing w:val="-5"/>
                <w:sz w:val="22"/>
                <w:szCs w:val="22"/>
              </w:rPr>
              <w:t>(</w:t>
            </w:r>
            <w:r>
              <w:rPr>
                <w:spacing w:val="-5"/>
                <w:sz w:val="22"/>
                <w:szCs w:val="22"/>
              </w:rPr>
              <w:t>以提升安全、生态环境保护水平为目的的改建除外</w:t>
            </w:r>
            <w:r>
              <w:rPr>
                <w:rFonts w:ascii="Times New Roman" w:hAnsi="Times New Roman" w:eastAsia="Times New Roman" w:cs="Times New Roman"/>
                <w:spacing w:val="-5"/>
                <w:sz w:val="22"/>
                <w:szCs w:val="22"/>
              </w:rPr>
              <w:t>)</w:t>
            </w:r>
            <w:r>
              <w:rPr>
                <w:spacing w:val="-5"/>
                <w:sz w:val="22"/>
                <w:szCs w:val="22"/>
              </w:rPr>
              <w:t>。</w:t>
            </w:r>
          </w:p>
          <w:p w14:paraId="44F8EF5D">
            <w:pPr>
              <w:pStyle w:val="6"/>
              <w:spacing w:before="13" w:line="239" w:lineRule="auto"/>
              <w:ind w:left="111" w:right="152" w:hanging="2"/>
              <w:rPr>
                <w:sz w:val="22"/>
                <w:szCs w:val="22"/>
              </w:rPr>
            </w:pPr>
            <w:r>
              <w:rPr>
                <w:rFonts w:ascii="Times New Roman" w:hAnsi="Times New Roman" w:eastAsia="Times New Roman" w:cs="Times New Roman"/>
                <w:spacing w:val="-5"/>
                <w:sz w:val="22"/>
                <w:szCs w:val="22"/>
              </w:rPr>
              <w:t>6</w:t>
            </w:r>
            <w:r>
              <w:rPr>
                <w:spacing w:val="-5"/>
                <w:sz w:val="22"/>
                <w:szCs w:val="22"/>
              </w:rPr>
              <w:t>、在风景名胜区核心景区的岸线和河段范围内投资建设与风景名胜资源保护无关的</w:t>
            </w:r>
            <w:r>
              <w:rPr>
                <w:spacing w:val="-6"/>
                <w:sz w:val="22"/>
                <w:szCs w:val="22"/>
              </w:rPr>
              <w:t>项目。</w:t>
            </w:r>
          </w:p>
          <w:p w14:paraId="5D7A0ADF">
            <w:pPr>
              <w:pStyle w:val="6"/>
              <w:spacing w:before="2" w:line="239" w:lineRule="auto"/>
              <w:ind w:left="110" w:right="97" w:hanging="2"/>
              <w:rPr>
                <w:sz w:val="22"/>
                <w:szCs w:val="22"/>
              </w:rPr>
            </w:pPr>
            <w:r>
              <w:rPr>
                <w:rFonts w:ascii="Times New Roman" w:hAnsi="Times New Roman" w:eastAsia="Times New Roman" w:cs="Times New Roman"/>
                <w:spacing w:val="-5"/>
                <w:sz w:val="22"/>
                <w:szCs w:val="22"/>
              </w:rPr>
              <w:t>7</w:t>
            </w:r>
            <w:r>
              <w:rPr>
                <w:spacing w:val="-5"/>
                <w:sz w:val="22"/>
                <w:szCs w:val="22"/>
              </w:rPr>
              <w:t>、在国家湿地公园的岸线和河段范围内挖</w:t>
            </w:r>
            <w:r>
              <w:rPr>
                <w:spacing w:val="-8"/>
                <w:sz w:val="22"/>
                <w:szCs w:val="22"/>
              </w:rPr>
              <w:t>沙、采矿，以及任何不符合主体功能定位的</w:t>
            </w:r>
            <w:r>
              <w:rPr>
                <w:spacing w:val="-5"/>
                <w:sz w:val="22"/>
                <w:szCs w:val="22"/>
              </w:rPr>
              <w:t>投资建设项目。</w:t>
            </w:r>
          </w:p>
          <w:p w14:paraId="2351C9F7">
            <w:pPr>
              <w:pStyle w:val="6"/>
              <w:spacing w:before="1" w:line="239" w:lineRule="auto"/>
              <w:ind w:left="108" w:firstLine="5"/>
              <w:rPr>
                <w:sz w:val="22"/>
                <w:szCs w:val="22"/>
              </w:rPr>
            </w:pPr>
            <w:r>
              <w:rPr>
                <w:rFonts w:ascii="Times New Roman" w:hAnsi="Times New Roman" w:eastAsia="Times New Roman" w:cs="Times New Roman"/>
                <w:spacing w:val="-8"/>
                <w:sz w:val="22"/>
                <w:szCs w:val="22"/>
              </w:rPr>
              <w:t>8</w:t>
            </w:r>
            <w:r>
              <w:rPr>
                <w:spacing w:val="-8"/>
                <w:sz w:val="22"/>
                <w:szCs w:val="22"/>
              </w:rPr>
              <w:t>、在《长江岸线保护和开发利用总体规划》</w:t>
            </w:r>
            <w:r>
              <w:rPr>
                <w:spacing w:val="-5"/>
                <w:sz w:val="22"/>
                <w:szCs w:val="22"/>
              </w:rPr>
              <w:t>划定的岸线保护区和保留区内投资建设除</w:t>
            </w:r>
            <w:r>
              <w:rPr>
                <w:spacing w:val="4"/>
                <w:sz w:val="22"/>
                <w:szCs w:val="22"/>
              </w:rPr>
              <w:t xml:space="preserve"> </w:t>
            </w:r>
            <w:r>
              <w:rPr>
                <w:spacing w:val="-7"/>
                <w:sz w:val="22"/>
                <w:szCs w:val="22"/>
              </w:rPr>
              <w:t>事关公共安全及公众利益的防洪护岸、河道治理、供水、环境保护、航道整治、国家重</w:t>
            </w:r>
            <w:r>
              <w:rPr>
                <w:spacing w:val="-4"/>
                <w:sz w:val="22"/>
                <w:szCs w:val="22"/>
              </w:rPr>
              <w:t>要基础设施以外的项目。</w:t>
            </w:r>
          </w:p>
          <w:p w14:paraId="1A7DCC87">
            <w:pPr>
              <w:pStyle w:val="6"/>
              <w:spacing w:before="2" w:line="227" w:lineRule="auto"/>
              <w:ind w:left="112" w:right="97" w:hanging="3"/>
              <w:rPr>
                <w:sz w:val="22"/>
                <w:szCs w:val="22"/>
              </w:rPr>
            </w:pPr>
            <w:r>
              <w:rPr>
                <w:rFonts w:ascii="Times New Roman" w:hAnsi="Times New Roman" w:eastAsia="Times New Roman" w:cs="Times New Roman"/>
                <w:spacing w:val="-5"/>
                <w:sz w:val="22"/>
                <w:szCs w:val="22"/>
              </w:rPr>
              <w:t>9</w:t>
            </w:r>
            <w:r>
              <w:rPr>
                <w:spacing w:val="-5"/>
                <w:sz w:val="22"/>
                <w:szCs w:val="22"/>
              </w:rPr>
              <w:t>、在《全国重要江河湖泊水功能区划》划</w:t>
            </w:r>
            <w:r>
              <w:rPr>
                <w:spacing w:val="-8"/>
                <w:sz w:val="22"/>
                <w:szCs w:val="22"/>
              </w:rPr>
              <w:t>定的河段及湖泊保护区、保留区内投资建设</w:t>
            </w:r>
            <w:r>
              <w:rPr>
                <w:spacing w:val="-5"/>
                <w:sz w:val="22"/>
                <w:szCs w:val="22"/>
              </w:rPr>
              <w:t>不利于水资源及自然生态保护的项目。</w:t>
            </w:r>
          </w:p>
        </w:tc>
        <w:tc>
          <w:tcPr>
            <w:tcW w:w="1801" w:type="dxa"/>
            <w:tcBorders>
              <w:top w:val="single" w:color="000000" w:sz="6" w:space="0"/>
            </w:tcBorders>
            <w:vAlign w:val="top"/>
          </w:tcPr>
          <w:p w14:paraId="5B07341F">
            <w:pPr>
              <w:rPr>
                <w:rFonts w:ascii="Arial"/>
                <w:sz w:val="21"/>
              </w:rPr>
            </w:pPr>
          </w:p>
        </w:tc>
        <w:tc>
          <w:tcPr>
            <w:tcW w:w="752" w:type="dxa"/>
            <w:tcBorders>
              <w:top w:val="single" w:color="000000" w:sz="6" w:space="0"/>
            </w:tcBorders>
            <w:vAlign w:val="top"/>
          </w:tcPr>
          <w:p w14:paraId="6EE8BF82">
            <w:pPr>
              <w:rPr>
                <w:rFonts w:ascii="Arial"/>
                <w:sz w:val="21"/>
              </w:rPr>
            </w:pPr>
          </w:p>
        </w:tc>
        <w:tc>
          <w:tcPr>
            <w:tcW w:w="124" w:type="dxa"/>
            <w:tcBorders>
              <w:top w:val="single" w:color="000000" w:sz="6" w:space="0"/>
              <w:bottom w:val="nil"/>
              <w:right w:val="single" w:color="000000" w:sz="6" w:space="0"/>
            </w:tcBorders>
            <w:vAlign w:val="top"/>
          </w:tcPr>
          <w:p w14:paraId="1554290C">
            <w:pPr>
              <w:rPr>
                <w:rFonts w:ascii="Arial"/>
                <w:sz w:val="21"/>
              </w:rPr>
            </w:pPr>
          </w:p>
        </w:tc>
      </w:tr>
      <w:tr w14:paraId="1205A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5" w:hRule="atLeast"/>
        </w:trPr>
        <w:tc>
          <w:tcPr>
            <w:tcW w:w="1400" w:type="dxa"/>
            <w:vMerge w:val="continue"/>
            <w:tcBorders>
              <w:top w:val="nil"/>
              <w:left w:val="single" w:color="000000" w:sz="6" w:space="0"/>
              <w:bottom w:val="nil"/>
            </w:tcBorders>
            <w:vAlign w:val="top"/>
          </w:tcPr>
          <w:p w14:paraId="60D4DD79">
            <w:pPr>
              <w:rPr>
                <w:rFonts w:ascii="Arial"/>
                <w:sz w:val="21"/>
              </w:rPr>
            </w:pPr>
          </w:p>
        </w:tc>
        <w:tc>
          <w:tcPr>
            <w:tcW w:w="115" w:type="dxa"/>
            <w:tcBorders>
              <w:top w:val="nil"/>
              <w:bottom w:val="nil"/>
            </w:tcBorders>
            <w:vAlign w:val="top"/>
          </w:tcPr>
          <w:p w14:paraId="03104778">
            <w:pPr>
              <w:rPr>
                <w:rFonts w:ascii="Arial"/>
                <w:sz w:val="21"/>
              </w:rPr>
            </w:pPr>
          </w:p>
        </w:tc>
        <w:tc>
          <w:tcPr>
            <w:tcW w:w="423" w:type="dxa"/>
            <w:vMerge w:val="restart"/>
            <w:tcBorders>
              <w:bottom w:val="nil"/>
            </w:tcBorders>
            <w:textDirection w:val="tbRlV"/>
            <w:vAlign w:val="top"/>
          </w:tcPr>
          <w:p w14:paraId="5957AF7C">
            <w:pPr>
              <w:pStyle w:val="6"/>
              <w:spacing w:before="96" w:line="209" w:lineRule="auto"/>
              <w:ind w:left="2751"/>
              <w:rPr>
                <w:sz w:val="22"/>
                <w:szCs w:val="22"/>
              </w:rPr>
            </w:pPr>
            <w:r>
              <w:rPr>
                <w:spacing w:val="52"/>
                <w:sz w:val="22"/>
                <w:szCs w:val="22"/>
              </w:rPr>
              <w:t>限制准入类</w:t>
            </w:r>
          </w:p>
        </w:tc>
        <w:tc>
          <w:tcPr>
            <w:tcW w:w="4259" w:type="dxa"/>
            <w:vAlign w:val="top"/>
          </w:tcPr>
          <w:p w14:paraId="2AB4F188">
            <w:pPr>
              <w:pStyle w:val="6"/>
              <w:spacing w:before="37" w:line="220" w:lineRule="auto"/>
              <w:ind w:left="109"/>
              <w:rPr>
                <w:sz w:val="22"/>
                <w:szCs w:val="22"/>
              </w:rPr>
            </w:pPr>
            <w:r>
              <w:rPr>
                <w:spacing w:val="-4"/>
                <w:sz w:val="22"/>
                <w:szCs w:val="22"/>
              </w:rPr>
              <w:t>全市范围内限制准入：</w:t>
            </w:r>
          </w:p>
          <w:p w14:paraId="4E51BBE8">
            <w:pPr>
              <w:pStyle w:val="6"/>
              <w:spacing w:before="23" w:line="239" w:lineRule="auto"/>
              <w:ind w:left="109" w:right="97" w:firstLine="16"/>
              <w:rPr>
                <w:sz w:val="22"/>
                <w:szCs w:val="22"/>
              </w:rPr>
            </w:pPr>
            <w:r>
              <w:rPr>
                <w:rFonts w:ascii="Times New Roman" w:hAnsi="Times New Roman" w:eastAsia="Times New Roman" w:cs="Times New Roman"/>
                <w:spacing w:val="-5"/>
                <w:sz w:val="22"/>
                <w:szCs w:val="22"/>
              </w:rPr>
              <w:t>1</w:t>
            </w:r>
            <w:r>
              <w:rPr>
                <w:spacing w:val="-5"/>
                <w:sz w:val="22"/>
                <w:szCs w:val="22"/>
              </w:rPr>
              <w:t>、新建、扩建不符合国家产能置换要求的</w:t>
            </w:r>
            <w:r>
              <w:rPr>
                <w:spacing w:val="-8"/>
                <w:sz w:val="22"/>
                <w:szCs w:val="22"/>
              </w:rPr>
              <w:t>严重过剩产能行业的项目。新建、扩建不符</w:t>
            </w:r>
            <w:r>
              <w:rPr>
                <w:spacing w:val="-5"/>
                <w:sz w:val="22"/>
                <w:szCs w:val="22"/>
              </w:rPr>
              <w:t>合要求的高耗能高排放项目</w:t>
            </w:r>
          </w:p>
          <w:p w14:paraId="3EC02034">
            <w:pPr>
              <w:pStyle w:val="6"/>
              <w:spacing w:before="1" w:line="239" w:lineRule="auto"/>
              <w:ind w:left="111" w:right="152" w:hanging="6"/>
              <w:rPr>
                <w:sz w:val="22"/>
                <w:szCs w:val="22"/>
              </w:rPr>
            </w:pPr>
            <w:r>
              <w:rPr>
                <w:rFonts w:ascii="Times New Roman" w:hAnsi="Times New Roman" w:eastAsia="Times New Roman" w:cs="Times New Roman"/>
                <w:spacing w:val="-4"/>
                <w:sz w:val="22"/>
                <w:szCs w:val="22"/>
              </w:rPr>
              <w:t>2</w:t>
            </w:r>
            <w:r>
              <w:rPr>
                <w:spacing w:val="-4"/>
                <w:sz w:val="22"/>
                <w:szCs w:val="22"/>
              </w:rPr>
              <w:t>、新建、扩建不符合国家石化、现代煤化</w:t>
            </w:r>
            <w:r>
              <w:rPr>
                <w:spacing w:val="-5"/>
                <w:sz w:val="22"/>
                <w:szCs w:val="22"/>
              </w:rPr>
              <w:t>工等产业布局规划的项目</w:t>
            </w:r>
          </w:p>
          <w:p w14:paraId="7D6C14B9">
            <w:pPr>
              <w:pStyle w:val="6"/>
              <w:spacing w:before="2" w:line="239" w:lineRule="auto"/>
              <w:ind w:left="109" w:right="97"/>
              <w:rPr>
                <w:sz w:val="22"/>
                <w:szCs w:val="22"/>
              </w:rPr>
            </w:pPr>
            <w:r>
              <w:rPr>
                <w:rFonts w:ascii="Times New Roman" w:hAnsi="Times New Roman" w:eastAsia="Times New Roman" w:cs="Times New Roman"/>
                <w:spacing w:val="-3"/>
                <w:sz w:val="22"/>
                <w:szCs w:val="22"/>
              </w:rPr>
              <w:t>3</w:t>
            </w:r>
            <w:r>
              <w:rPr>
                <w:spacing w:val="-3"/>
                <w:sz w:val="22"/>
                <w:szCs w:val="22"/>
              </w:rPr>
              <w:t>、在合规园区外新建、扩建钢铁、石化、</w:t>
            </w:r>
            <w:r>
              <w:rPr>
                <w:spacing w:val="-8"/>
                <w:sz w:val="22"/>
                <w:szCs w:val="22"/>
              </w:rPr>
              <w:t>化工、焦化、建材、有色、制浆造纸等高污</w:t>
            </w:r>
            <w:r>
              <w:rPr>
                <w:spacing w:val="-5"/>
                <w:sz w:val="22"/>
                <w:szCs w:val="22"/>
              </w:rPr>
              <w:t>染项目</w:t>
            </w:r>
          </w:p>
          <w:p w14:paraId="37AA04E5">
            <w:pPr>
              <w:pStyle w:val="6"/>
              <w:spacing w:before="3" w:line="220" w:lineRule="auto"/>
              <w:ind w:left="108" w:right="152" w:hanging="5"/>
              <w:rPr>
                <w:sz w:val="22"/>
                <w:szCs w:val="22"/>
              </w:rPr>
            </w:pPr>
            <w:r>
              <w:rPr>
                <w:rFonts w:ascii="Times New Roman" w:hAnsi="Times New Roman" w:eastAsia="Times New Roman" w:cs="Times New Roman"/>
                <w:spacing w:val="-4"/>
                <w:sz w:val="22"/>
                <w:szCs w:val="22"/>
              </w:rPr>
              <w:t>4</w:t>
            </w:r>
            <w:r>
              <w:rPr>
                <w:spacing w:val="-4"/>
                <w:sz w:val="22"/>
                <w:szCs w:val="22"/>
              </w:rPr>
              <w:t>、《汽车产业投资管理规定》（国家发展和改革委员会令第</w:t>
            </w:r>
            <w:r>
              <w:rPr>
                <w:spacing w:val="-54"/>
                <w:sz w:val="22"/>
                <w:szCs w:val="22"/>
              </w:rPr>
              <w:t xml:space="preserve"> </w:t>
            </w:r>
            <w:r>
              <w:rPr>
                <w:rFonts w:ascii="Times New Roman" w:hAnsi="Times New Roman" w:eastAsia="Times New Roman" w:cs="Times New Roman"/>
                <w:spacing w:val="-4"/>
                <w:sz w:val="22"/>
                <w:szCs w:val="22"/>
              </w:rPr>
              <w:t xml:space="preserve">22 </w:t>
            </w:r>
            <w:r>
              <w:rPr>
                <w:spacing w:val="-4"/>
                <w:sz w:val="22"/>
                <w:szCs w:val="22"/>
              </w:rPr>
              <w:t>号）明确禁止建设的汽车投资项目</w:t>
            </w:r>
          </w:p>
        </w:tc>
        <w:tc>
          <w:tcPr>
            <w:tcW w:w="1801" w:type="dxa"/>
            <w:vAlign w:val="top"/>
          </w:tcPr>
          <w:p w14:paraId="1D6B9E78">
            <w:pPr>
              <w:spacing w:line="336" w:lineRule="auto"/>
              <w:rPr>
                <w:rFonts w:ascii="Arial"/>
                <w:sz w:val="21"/>
              </w:rPr>
            </w:pPr>
          </w:p>
          <w:p w14:paraId="56B64D25">
            <w:pPr>
              <w:spacing w:line="337" w:lineRule="auto"/>
              <w:rPr>
                <w:rFonts w:ascii="Arial"/>
                <w:sz w:val="21"/>
              </w:rPr>
            </w:pPr>
          </w:p>
          <w:p w14:paraId="462C2752">
            <w:pPr>
              <w:pStyle w:val="6"/>
              <w:spacing w:before="71" w:line="239" w:lineRule="auto"/>
              <w:ind w:left="118" w:right="170"/>
              <w:rPr>
                <w:sz w:val="22"/>
                <w:szCs w:val="22"/>
              </w:rPr>
            </w:pPr>
            <w:r>
              <w:rPr>
                <w:spacing w:val="-5"/>
                <w:sz w:val="22"/>
                <w:szCs w:val="22"/>
              </w:rPr>
              <w:t>本项目不属于严重过剩产能行</w:t>
            </w:r>
          </w:p>
          <w:p w14:paraId="6868C953">
            <w:pPr>
              <w:pStyle w:val="6"/>
              <w:spacing w:before="3"/>
              <w:ind w:left="116" w:right="170"/>
              <w:rPr>
                <w:sz w:val="22"/>
                <w:szCs w:val="22"/>
              </w:rPr>
            </w:pPr>
            <w:r>
              <w:rPr>
                <w:spacing w:val="-5"/>
                <w:sz w:val="22"/>
                <w:szCs w:val="22"/>
              </w:rPr>
              <w:t>业、高耗能高排放、石化、现代煤化、高污染和明确禁止的汽车</w:t>
            </w:r>
            <w:r>
              <w:rPr>
                <w:spacing w:val="-4"/>
                <w:sz w:val="22"/>
                <w:szCs w:val="22"/>
              </w:rPr>
              <w:t>投资项目</w:t>
            </w:r>
          </w:p>
        </w:tc>
        <w:tc>
          <w:tcPr>
            <w:tcW w:w="752" w:type="dxa"/>
            <w:vAlign w:val="top"/>
          </w:tcPr>
          <w:p w14:paraId="312441B7">
            <w:pPr>
              <w:spacing w:line="253" w:lineRule="auto"/>
              <w:rPr>
                <w:rFonts w:ascii="Arial"/>
                <w:sz w:val="21"/>
              </w:rPr>
            </w:pPr>
          </w:p>
          <w:p w14:paraId="66B5094C">
            <w:pPr>
              <w:spacing w:line="254" w:lineRule="auto"/>
              <w:rPr>
                <w:rFonts w:ascii="Arial"/>
                <w:sz w:val="21"/>
              </w:rPr>
            </w:pPr>
          </w:p>
          <w:p w14:paraId="415E0AE8">
            <w:pPr>
              <w:spacing w:line="254" w:lineRule="auto"/>
              <w:rPr>
                <w:rFonts w:ascii="Arial"/>
                <w:sz w:val="21"/>
              </w:rPr>
            </w:pPr>
          </w:p>
          <w:p w14:paraId="1DA9AD38">
            <w:pPr>
              <w:spacing w:line="254" w:lineRule="auto"/>
              <w:rPr>
                <w:rFonts w:ascii="Arial"/>
                <w:sz w:val="21"/>
              </w:rPr>
            </w:pPr>
          </w:p>
          <w:p w14:paraId="051653BC">
            <w:pPr>
              <w:spacing w:line="254" w:lineRule="auto"/>
              <w:rPr>
                <w:rFonts w:ascii="Arial"/>
                <w:sz w:val="21"/>
              </w:rPr>
            </w:pPr>
          </w:p>
          <w:p w14:paraId="0E53C250">
            <w:pPr>
              <w:spacing w:line="254" w:lineRule="auto"/>
              <w:rPr>
                <w:rFonts w:ascii="Arial"/>
                <w:sz w:val="21"/>
              </w:rPr>
            </w:pPr>
          </w:p>
          <w:p w14:paraId="040716B1">
            <w:pPr>
              <w:pStyle w:val="6"/>
              <w:spacing w:before="71" w:line="220" w:lineRule="auto"/>
              <w:ind w:left="122"/>
              <w:rPr>
                <w:sz w:val="22"/>
                <w:szCs w:val="22"/>
              </w:rPr>
            </w:pPr>
            <w:r>
              <w:rPr>
                <w:spacing w:val="-5"/>
                <w:sz w:val="22"/>
                <w:szCs w:val="22"/>
              </w:rPr>
              <w:t>符合</w:t>
            </w:r>
          </w:p>
        </w:tc>
        <w:tc>
          <w:tcPr>
            <w:tcW w:w="124" w:type="dxa"/>
            <w:tcBorders>
              <w:top w:val="nil"/>
              <w:bottom w:val="nil"/>
              <w:right w:val="single" w:color="000000" w:sz="6" w:space="0"/>
            </w:tcBorders>
            <w:vAlign w:val="top"/>
          </w:tcPr>
          <w:p w14:paraId="06CBC531">
            <w:pPr>
              <w:rPr>
                <w:rFonts w:ascii="Arial"/>
                <w:sz w:val="21"/>
              </w:rPr>
            </w:pPr>
          </w:p>
        </w:tc>
      </w:tr>
      <w:tr w14:paraId="13C8D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4" w:hRule="atLeast"/>
        </w:trPr>
        <w:tc>
          <w:tcPr>
            <w:tcW w:w="1400" w:type="dxa"/>
            <w:vMerge w:val="continue"/>
            <w:tcBorders>
              <w:top w:val="nil"/>
              <w:left w:val="single" w:color="000000" w:sz="6" w:space="0"/>
              <w:bottom w:val="nil"/>
            </w:tcBorders>
            <w:vAlign w:val="top"/>
          </w:tcPr>
          <w:p w14:paraId="3D4F9EB9">
            <w:pPr>
              <w:rPr>
                <w:rFonts w:ascii="Arial"/>
                <w:sz w:val="21"/>
              </w:rPr>
            </w:pPr>
          </w:p>
        </w:tc>
        <w:tc>
          <w:tcPr>
            <w:tcW w:w="115" w:type="dxa"/>
            <w:tcBorders>
              <w:top w:val="nil"/>
              <w:bottom w:val="nil"/>
            </w:tcBorders>
            <w:vAlign w:val="top"/>
          </w:tcPr>
          <w:p w14:paraId="1EC31C25">
            <w:pPr>
              <w:rPr>
                <w:rFonts w:ascii="Arial"/>
                <w:sz w:val="21"/>
              </w:rPr>
            </w:pPr>
          </w:p>
        </w:tc>
        <w:tc>
          <w:tcPr>
            <w:tcW w:w="423" w:type="dxa"/>
            <w:vMerge w:val="continue"/>
            <w:tcBorders>
              <w:top w:val="nil"/>
            </w:tcBorders>
            <w:textDirection w:val="tbRlV"/>
            <w:vAlign w:val="top"/>
          </w:tcPr>
          <w:p w14:paraId="00B5D0D8">
            <w:pPr>
              <w:rPr>
                <w:rFonts w:ascii="Arial"/>
                <w:sz w:val="21"/>
              </w:rPr>
            </w:pPr>
          </w:p>
        </w:tc>
        <w:tc>
          <w:tcPr>
            <w:tcW w:w="4259" w:type="dxa"/>
            <w:vAlign w:val="top"/>
          </w:tcPr>
          <w:p w14:paraId="7F112179">
            <w:pPr>
              <w:spacing w:line="349" w:lineRule="auto"/>
              <w:rPr>
                <w:rFonts w:ascii="Arial"/>
                <w:sz w:val="21"/>
              </w:rPr>
            </w:pPr>
          </w:p>
          <w:p w14:paraId="1692D019">
            <w:pPr>
              <w:spacing w:line="349" w:lineRule="auto"/>
              <w:rPr>
                <w:rFonts w:ascii="Arial"/>
                <w:sz w:val="21"/>
              </w:rPr>
            </w:pPr>
          </w:p>
          <w:p w14:paraId="7F357340">
            <w:pPr>
              <w:pStyle w:val="6"/>
              <w:spacing w:before="72" w:line="220" w:lineRule="auto"/>
              <w:ind w:left="109"/>
              <w:rPr>
                <w:sz w:val="22"/>
                <w:szCs w:val="22"/>
              </w:rPr>
            </w:pPr>
            <w:r>
              <w:rPr>
                <w:spacing w:val="-5"/>
                <w:sz w:val="22"/>
                <w:szCs w:val="22"/>
              </w:rPr>
              <w:t>重点区域范围内限制准入：</w:t>
            </w:r>
          </w:p>
          <w:p w14:paraId="00A014F7">
            <w:pPr>
              <w:pStyle w:val="6"/>
              <w:spacing w:before="19"/>
              <w:ind w:left="109" w:right="77" w:firstLine="17"/>
              <w:rPr>
                <w:sz w:val="22"/>
                <w:szCs w:val="22"/>
              </w:rPr>
            </w:pPr>
            <w:r>
              <w:rPr>
                <w:rFonts w:ascii="Times New Roman" w:hAnsi="Times New Roman" w:eastAsia="Times New Roman" w:cs="Times New Roman"/>
                <w:spacing w:val="-6"/>
                <w:sz w:val="22"/>
                <w:szCs w:val="22"/>
              </w:rPr>
              <w:t>1</w:t>
            </w:r>
            <w:r>
              <w:rPr>
                <w:spacing w:val="-6"/>
                <w:sz w:val="22"/>
                <w:szCs w:val="22"/>
              </w:rPr>
              <w:t>、长江干支流、重要湖泊岸线</w:t>
            </w:r>
            <w:r>
              <w:rPr>
                <w:spacing w:val="-31"/>
                <w:sz w:val="22"/>
                <w:szCs w:val="22"/>
              </w:rPr>
              <w:t xml:space="preserve"> </w:t>
            </w:r>
            <w:r>
              <w:rPr>
                <w:rFonts w:ascii="Times New Roman" w:hAnsi="Times New Roman" w:eastAsia="Times New Roman" w:cs="Times New Roman"/>
                <w:spacing w:val="-6"/>
                <w:sz w:val="22"/>
                <w:szCs w:val="22"/>
              </w:rPr>
              <w:t xml:space="preserve">1 </w:t>
            </w:r>
            <w:r>
              <w:rPr>
                <w:spacing w:val="-6"/>
                <w:sz w:val="22"/>
                <w:szCs w:val="22"/>
              </w:rPr>
              <w:t>公里范围内新建、扩建化工园区和化工项目，长江、</w:t>
            </w:r>
            <w:r>
              <w:rPr>
                <w:spacing w:val="-9"/>
                <w:sz w:val="22"/>
                <w:szCs w:val="22"/>
              </w:rPr>
              <w:t>嘉陵江、乌江岸线</w:t>
            </w:r>
            <w:r>
              <w:rPr>
                <w:spacing w:val="-31"/>
                <w:sz w:val="22"/>
                <w:szCs w:val="22"/>
              </w:rPr>
              <w:t xml:space="preserve"> </w:t>
            </w:r>
            <w:r>
              <w:rPr>
                <w:rFonts w:ascii="Times New Roman" w:hAnsi="Times New Roman" w:eastAsia="Times New Roman" w:cs="Times New Roman"/>
                <w:spacing w:val="-9"/>
                <w:sz w:val="22"/>
                <w:szCs w:val="22"/>
              </w:rPr>
              <w:t>1</w:t>
            </w:r>
            <w:r>
              <w:rPr>
                <w:rFonts w:ascii="Times New Roman" w:hAnsi="Times New Roman" w:eastAsia="Times New Roman" w:cs="Times New Roman"/>
                <w:spacing w:val="13"/>
                <w:sz w:val="22"/>
                <w:szCs w:val="22"/>
              </w:rPr>
              <w:t xml:space="preserve"> </w:t>
            </w:r>
            <w:r>
              <w:rPr>
                <w:spacing w:val="-9"/>
                <w:sz w:val="22"/>
                <w:szCs w:val="22"/>
              </w:rPr>
              <w:t>公里范围内布局新建纸</w:t>
            </w:r>
            <w:r>
              <w:rPr>
                <w:spacing w:val="-4"/>
                <w:sz w:val="22"/>
                <w:szCs w:val="22"/>
              </w:rPr>
              <w:t>浆制造、印染等存在环境风险的项目</w:t>
            </w:r>
          </w:p>
          <w:p w14:paraId="2608B14E">
            <w:pPr>
              <w:pStyle w:val="6"/>
              <w:spacing w:before="1" w:line="239" w:lineRule="auto"/>
              <w:ind w:left="128" w:right="152" w:hanging="23"/>
              <w:rPr>
                <w:sz w:val="22"/>
                <w:szCs w:val="22"/>
              </w:rPr>
            </w:pPr>
            <w:r>
              <w:rPr>
                <w:rFonts w:ascii="Times New Roman" w:hAnsi="Times New Roman" w:eastAsia="Times New Roman" w:cs="Times New Roman"/>
                <w:spacing w:val="-4"/>
                <w:sz w:val="22"/>
                <w:szCs w:val="22"/>
              </w:rPr>
              <w:t>2</w:t>
            </w:r>
            <w:r>
              <w:rPr>
                <w:spacing w:val="-4"/>
                <w:sz w:val="22"/>
                <w:szCs w:val="22"/>
              </w:rPr>
              <w:t>、在水产种质资源保护区的岸线和河段范</w:t>
            </w:r>
            <w:r>
              <w:rPr>
                <w:spacing w:val="-6"/>
                <w:sz w:val="22"/>
                <w:szCs w:val="22"/>
              </w:rPr>
              <w:t>围内新建围湖造田等投资建设项目</w:t>
            </w:r>
          </w:p>
        </w:tc>
        <w:tc>
          <w:tcPr>
            <w:tcW w:w="1801" w:type="dxa"/>
            <w:vAlign w:val="top"/>
          </w:tcPr>
          <w:p w14:paraId="0A8A34A8">
            <w:pPr>
              <w:pStyle w:val="6"/>
              <w:spacing w:before="63" w:line="239" w:lineRule="auto"/>
              <w:ind w:left="118" w:right="170"/>
              <w:rPr>
                <w:sz w:val="22"/>
                <w:szCs w:val="22"/>
              </w:rPr>
            </w:pPr>
            <w:r>
              <w:rPr>
                <w:spacing w:val="-5"/>
                <w:sz w:val="22"/>
                <w:szCs w:val="22"/>
              </w:rPr>
              <w:t>本项目不位于长江、嘉陵江、乌</w:t>
            </w:r>
            <w:r>
              <w:rPr>
                <w:spacing w:val="-10"/>
                <w:sz w:val="22"/>
                <w:szCs w:val="22"/>
              </w:rPr>
              <w:t>江岸线</w:t>
            </w:r>
            <w:r>
              <w:rPr>
                <w:spacing w:val="-32"/>
                <w:sz w:val="22"/>
                <w:szCs w:val="22"/>
              </w:rPr>
              <w:t xml:space="preserve"> </w:t>
            </w:r>
            <w:r>
              <w:rPr>
                <w:rFonts w:ascii="Times New Roman" w:hAnsi="Times New Roman" w:eastAsia="Times New Roman" w:cs="Times New Roman"/>
                <w:spacing w:val="-10"/>
                <w:sz w:val="22"/>
                <w:szCs w:val="22"/>
              </w:rPr>
              <w:t>1</w:t>
            </w:r>
            <w:r>
              <w:rPr>
                <w:rFonts w:ascii="Times New Roman" w:hAnsi="Times New Roman" w:eastAsia="Times New Roman" w:cs="Times New Roman"/>
                <w:spacing w:val="13"/>
                <w:sz w:val="22"/>
                <w:szCs w:val="22"/>
              </w:rPr>
              <w:t xml:space="preserve"> </w:t>
            </w:r>
            <w:r>
              <w:rPr>
                <w:spacing w:val="-10"/>
                <w:sz w:val="22"/>
                <w:szCs w:val="22"/>
              </w:rPr>
              <w:t>公里范</w:t>
            </w:r>
            <w:r>
              <w:rPr>
                <w:spacing w:val="-5"/>
                <w:sz w:val="22"/>
                <w:szCs w:val="22"/>
              </w:rPr>
              <w:t>围内和水产种质资源保护区的岸线和河段范围</w:t>
            </w:r>
          </w:p>
          <w:p w14:paraId="63EC929E">
            <w:pPr>
              <w:pStyle w:val="6"/>
              <w:spacing w:before="2" w:line="232" w:lineRule="auto"/>
              <w:ind w:left="116" w:right="170" w:firstLine="27"/>
              <w:rPr>
                <w:sz w:val="22"/>
                <w:szCs w:val="22"/>
              </w:rPr>
            </w:pPr>
            <w:r>
              <w:rPr>
                <w:spacing w:val="-9"/>
                <w:sz w:val="22"/>
                <w:szCs w:val="22"/>
              </w:rPr>
              <w:t>内，且项目不属</w:t>
            </w:r>
            <w:r>
              <w:rPr>
                <w:spacing w:val="-5"/>
                <w:sz w:val="22"/>
                <w:szCs w:val="22"/>
              </w:rPr>
              <w:t>于制浆制造、印染等存在环境风险的项目和围湖造田等投资建设</w:t>
            </w:r>
            <w:r>
              <w:rPr>
                <w:spacing w:val="-4"/>
                <w:sz w:val="22"/>
                <w:szCs w:val="22"/>
              </w:rPr>
              <w:t>项目</w:t>
            </w:r>
          </w:p>
        </w:tc>
        <w:tc>
          <w:tcPr>
            <w:tcW w:w="752" w:type="dxa"/>
            <w:vAlign w:val="top"/>
          </w:tcPr>
          <w:p w14:paraId="736278E7">
            <w:pPr>
              <w:spacing w:line="257" w:lineRule="auto"/>
              <w:rPr>
                <w:rFonts w:ascii="Arial"/>
                <w:sz w:val="21"/>
              </w:rPr>
            </w:pPr>
          </w:p>
          <w:p w14:paraId="129C534D">
            <w:pPr>
              <w:spacing w:line="258" w:lineRule="auto"/>
              <w:rPr>
                <w:rFonts w:ascii="Arial"/>
                <w:sz w:val="21"/>
              </w:rPr>
            </w:pPr>
          </w:p>
          <w:p w14:paraId="7C0F2EF1">
            <w:pPr>
              <w:spacing w:line="258" w:lineRule="auto"/>
              <w:rPr>
                <w:rFonts w:ascii="Arial"/>
                <w:sz w:val="21"/>
              </w:rPr>
            </w:pPr>
          </w:p>
          <w:p w14:paraId="786ADEA8">
            <w:pPr>
              <w:spacing w:line="258" w:lineRule="auto"/>
              <w:rPr>
                <w:rFonts w:ascii="Arial"/>
                <w:sz w:val="21"/>
              </w:rPr>
            </w:pPr>
          </w:p>
          <w:p w14:paraId="7A124CA0">
            <w:pPr>
              <w:spacing w:line="258" w:lineRule="auto"/>
              <w:rPr>
                <w:rFonts w:ascii="Arial"/>
                <w:sz w:val="21"/>
              </w:rPr>
            </w:pPr>
          </w:p>
          <w:p w14:paraId="1EFD9CB5">
            <w:pPr>
              <w:spacing w:line="258" w:lineRule="auto"/>
              <w:rPr>
                <w:rFonts w:ascii="Arial"/>
                <w:sz w:val="21"/>
              </w:rPr>
            </w:pPr>
          </w:p>
          <w:p w14:paraId="63924809">
            <w:pPr>
              <w:pStyle w:val="6"/>
              <w:spacing w:before="72" w:line="220" w:lineRule="auto"/>
              <w:ind w:left="122"/>
              <w:rPr>
                <w:sz w:val="22"/>
                <w:szCs w:val="22"/>
              </w:rPr>
            </w:pPr>
            <w:r>
              <w:rPr>
                <w:spacing w:val="-5"/>
                <w:sz w:val="22"/>
                <w:szCs w:val="22"/>
              </w:rPr>
              <w:t>符合</w:t>
            </w:r>
          </w:p>
        </w:tc>
        <w:tc>
          <w:tcPr>
            <w:tcW w:w="124" w:type="dxa"/>
            <w:tcBorders>
              <w:top w:val="nil"/>
              <w:bottom w:val="nil"/>
              <w:right w:val="single" w:color="000000" w:sz="6" w:space="0"/>
            </w:tcBorders>
            <w:vAlign w:val="top"/>
          </w:tcPr>
          <w:p w14:paraId="6204DB7C">
            <w:pPr>
              <w:rPr>
                <w:rFonts w:ascii="Arial"/>
                <w:sz w:val="21"/>
              </w:rPr>
            </w:pPr>
          </w:p>
        </w:tc>
      </w:tr>
      <w:tr w14:paraId="5377D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1400" w:type="dxa"/>
            <w:vMerge w:val="continue"/>
            <w:tcBorders>
              <w:top w:val="nil"/>
              <w:left w:val="single" w:color="000000" w:sz="6" w:space="0"/>
              <w:bottom w:val="single" w:color="000000" w:sz="6" w:space="0"/>
            </w:tcBorders>
            <w:vAlign w:val="top"/>
          </w:tcPr>
          <w:p w14:paraId="6B2CA955">
            <w:pPr>
              <w:rPr>
                <w:rFonts w:ascii="Arial"/>
                <w:sz w:val="21"/>
              </w:rPr>
            </w:pPr>
          </w:p>
        </w:tc>
        <w:tc>
          <w:tcPr>
            <w:tcW w:w="7474" w:type="dxa"/>
            <w:gridSpan w:val="6"/>
            <w:tcBorders>
              <w:bottom w:val="single" w:color="000000" w:sz="6" w:space="0"/>
              <w:right w:val="single" w:color="000000" w:sz="6" w:space="0"/>
            </w:tcBorders>
            <w:vAlign w:val="top"/>
          </w:tcPr>
          <w:p w14:paraId="029F283A">
            <w:pPr>
              <w:spacing w:line="267" w:lineRule="auto"/>
              <w:rPr>
                <w:rFonts w:ascii="Arial"/>
                <w:sz w:val="21"/>
              </w:rPr>
            </w:pPr>
          </w:p>
          <w:p w14:paraId="1C082B3B">
            <w:pPr>
              <w:spacing w:line="267" w:lineRule="auto"/>
              <w:rPr>
                <w:rFonts w:ascii="Arial"/>
                <w:sz w:val="21"/>
              </w:rPr>
            </w:pPr>
          </w:p>
          <w:p w14:paraId="0863A301">
            <w:pPr>
              <w:pStyle w:val="6"/>
              <w:spacing w:before="81" w:line="225" w:lineRule="auto"/>
              <w:ind w:left="663"/>
            </w:pPr>
            <w:r>
              <w:rPr>
                <w:spacing w:val="7"/>
              </w:rPr>
              <w:t>由上表分析可知，本项目符合《重庆市产业投资准入工作手</w:t>
            </w:r>
          </w:p>
        </w:tc>
      </w:tr>
    </w:tbl>
    <w:p w14:paraId="1042D755">
      <w:pPr>
        <w:pStyle w:val="2"/>
        <w:rPr>
          <w:sz w:val="21"/>
        </w:rPr>
      </w:pPr>
    </w:p>
    <w:p w14:paraId="1A461097">
      <w:pPr>
        <w:rPr>
          <w:sz w:val="21"/>
          <w:szCs w:val="21"/>
        </w:rPr>
        <w:sectPr>
          <w:footerReference r:id="rId10" w:type="default"/>
          <w:pgSz w:w="11906" w:h="16839"/>
          <w:pgMar w:top="400" w:right="1508" w:bottom="1234" w:left="1508" w:header="0" w:footer="1002" w:gutter="0"/>
          <w:cols w:space="720" w:num="1"/>
        </w:sectPr>
      </w:pPr>
    </w:p>
    <w:p w14:paraId="18AB3820">
      <w:pPr>
        <w:spacing w:before="19"/>
      </w:pPr>
    </w:p>
    <w:p w14:paraId="0A46BB19">
      <w:pPr>
        <w:spacing w:before="19"/>
      </w:pPr>
    </w:p>
    <w:p w14:paraId="01E58993">
      <w:pPr>
        <w:spacing w:before="19"/>
      </w:pPr>
    </w:p>
    <w:p w14:paraId="13EAE396">
      <w:pPr>
        <w:spacing w:before="18"/>
      </w:pPr>
    </w:p>
    <w:p w14:paraId="0B2916EF">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113"/>
        <w:gridCol w:w="400"/>
        <w:gridCol w:w="3445"/>
        <w:gridCol w:w="2804"/>
        <w:gridCol w:w="589"/>
        <w:gridCol w:w="123"/>
      </w:tblGrid>
      <w:tr w14:paraId="1CED5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6" w:hRule="atLeast"/>
        </w:trPr>
        <w:tc>
          <w:tcPr>
            <w:tcW w:w="1400" w:type="dxa"/>
            <w:vMerge w:val="restart"/>
            <w:tcBorders>
              <w:top w:val="single" w:color="000000" w:sz="6" w:space="0"/>
              <w:left w:val="single" w:color="000000" w:sz="6" w:space="0"/>
              <w:bottom w:val="nil"/>
            </w:tcBorders>
            <w:vAlign w:val="top"/>
          </w:tcPr>
          <w:p w14:paraId="6F37911E">
            <w:pPr>
              <w:rPr>
                <w:rFonts w:ascii="Arial"/>
                <w:sz w:val="21"/>
              </w:rPr>
            </w:pPr>
          </w:p>
        </w:tc>
        <w:tc>
          <w:tcPr>
            <w:tcW w:w="7474" w:type="dxa"/>
            <w:gridSpan w:val="6"/>
            <w:tcBorders>
              <w:top w:val="single" w:color="000000" w:sz="6" w:space="0"/>
              <w:right w:val="single" w:color="000000" w:sz="6" w:space="0"/>
            </w:tcBorders>
            <w:vAlign w:val="top"/>
          </w:tcPr>
          <w:p w14:paraId="350DB66D">
            <w:pPr>
              <w:pStyle w:val="6"/>
              <w:spacing w:before="150" w:line="226" w:lineRule="auto"/>
              <w:ind w:left="110"/>
            </w:pPr>
            <w:r>
              <w:rPr>
                <w:spacing w:val="8"/>
              </w:rPr>
              <w:t>册》（渝发改投资〔</w:t>
            </w:r>
            <w:r>
              <w:rPr>
                <w:rFonts w:ascii="Times New Roman" w:hAnsi="Times New Roman" w:eastAsia="Times New Roman" w:cs="Times New Roman"/>
                <w:spacing w:val="8"/>
              </w:rPr>
              <w:t>2022</w:t>
            </w:r>
            <w:r>
              <w:rPr>
                <w:spacing w:val="8"/>
              </w:rPr>
              <w:t>〕</w:t>
            </w:r>
            <w:r>
              <w:rPr>
                <w:rFonts w:ascii="Times New Roman" w:hAnsi="Times New Roman" w:eastAsia="Times New Roman" w:cs="Times New Roman"/>
                <w:spacing w:val="8"/>
              </w:rPr>
              <w:t>1436</w:t>
            </w:r>
            <w:r>
              <w:rPr>
                <w:spacing w:val="8"/>
              </w:rPr>
              <w:t>号）产业政</w:t>
            </w:r>
            <w:r>
              <w:rPr>
                <w:spacing w:val="7"/>
              </w:rPr>
              <w:t>策准入要求。</w:t>
            </w:r>
          </w:p>
          <w:p w14:paraId="3E17CE37">
            <w:pPr>
              <w:pStyle w:val="6"/>
              <w:spacing w:before="155" w:line="339" w:lineRule="auto"/>
              <w:ind w:left="111" w:right="103" w:firstLine="5"/>
            </w:pPr>
            <w:r>
              <w:rPr>
                <w:rFonts w:ascii="Times New Roman" w:hAnsi="Times New Roman" w:eastAsia="Times New Roman" w:cs="Times New Roman"/>
                <w:b/>
                <w:bCs/>
                <w:spacing w:val="2"/>
              </w:rPr>
              <w:t>1.3</w:t>
            </w:r>
            <w:r>
              <w:rPr>
                <w:rFonts w:ascii="Times New Roman" w:hAnsi="Times New Roman" w:eastAsia="Times New Roman" w:cs="Times New Roman"/>
                <w:b/>
                <w:bCs/>
                <w:spacing w:val="24"/>
              </w:rPr>
              <w:t xml:space="preserve"> </w:t>
            </w:r>
            <w:r>
              <w:rPr>
                <w:b/>
                <w:bCs/>
                <w:spacing w:val="2"/>
              </w:rPr>
              <w:t>与《挥发性有机污染物（</w:t>
            </w:r>
            <w:r>
              <w:rPr>
                <w:rFonts w:ascii="Times New Roman" w:hAnsi="Times New Roman" w:eastAsia="Times New Roman" w:cs="Times New Roman"/>
                <w:b/>
                <w:bCs/>
              </w:rPr>
              <w:t>VOCs</w:t>
            </w:r>
            <w:r>
              <w:rPr>
                <w:b/>
                <w:bCs/>
                <w:spacing w:val="2"/>
              </w:rPr>
              <w:t>）防治技术政策》（公告</w:t>
            </w:r>
            <w:r>
              <w:rPr>
                <w:spacing w:val="-51"/>
              </w:rPr>
              <w:t xml:space="preserve"> </w:t>
            </w:r>
            <w:r>
              <w:rPr>
                <w:rFonts w:ascii="Times New Roman" w:hAnsi="Times New Roman" w:eastAsia="Times New Roman" w:cs="Times New Roman"/>
                <w:b/>
                <w:bCs/>
                <w:spacing w:val="2"/>
              </w:rPr>
              <w:t>2013</w:t>
            </w:r>
            <w:r>
              <w:rPr>
                <w:b/>
                <w:bCs/>
                <w:spacing w:val="4"/>
              </w:rPr>
              <w:t>年第</w:t>
            </w:r>
            <w:r>
              <w:rPr>
                <w:spacing w:val="-51"/>
              </w:rPr>
              <w:t xml:space="preserve"> </w:t>
            </w:r>
            <w:r>
              <w:rPr>
                <w:rFonts w:ascii="Times New Roman" w:hAnsi="Times New Roman" w:eastAsia="Times New Roman" w:cs="Times New Roman"/>
                <w:b/>
                <w:bCs/>
                <w:spacing w:val="4"/>
              </w:rPr>
              <w:t>31</w:t>
            </w:r>
            <w:r>
              <w:rPr>
                <w:rFonts w:ascii="Times New Roman" w:hAnsi="Times New Roman" w:eastAsia="Times New Roman" w:cs="Times New Roman"/>
                <w:b/>
                <w:bCs/>
                <w:spacing w:val="21"/>
                <w:w w:val="101"/>
              </w:rPr>
              <w:t xml:space="preserve"> </w:t>
            </w:r>
            <w:r>
              <w:rPr>
                <w:b/>
                <w:bCs/>
                <w:spacing w:val="4"/>
              </w:rPr>
              <w:t>号）符合性分析</w:t>
            </w:r>
          </w:p>
          <w:p w14:paraId="469C2A06">
            <w:pPr>
              <w:pStyle w:val="6"/>
              <w:spacing w:before="1" w:line="339" w:lineRule="auto"/>
              <w:ind w:left="113" w:right="103" w:firstLine="518"/>
            </w:pPr>
            <w:r>
              <w:rPr>
                <w:spacing w:val="15"/>
              </w:rPr>
              <w:t>本项目与挥发性有机污染物（</w:t>
            </w:r>
            <w:r>
              <w:rPr>
                <w:rFonts w:ascii="Times New Roman" w:hAnsi="Times New Roman" w:eastAsia="Times New Roman" w:cs="Times New Roman"/>
              </w:rPr>
              <w:t>VOCs</w:t>
            </w:r>
            <w:r>
              <w:rPr>
                <w:spacing w:val="15"/>
              </w:rPr>
              <w:t>）防治技术政策符合性</w:t>
            </w:r>
            <w:r>
              <w:rPr>
                <w:spacing w:val="5"/>
              </w:rPr>
              <w:t>分析见下表。</w:t>
            </w:r>
          </w:p>
          <w:p w14:paraId="40D51459">
            <w:pPr>
              <w:pStyle w:val="6"/>
              <w:spacing w:line="225" w:lineRule="auto"/>
              <w:ind w:left="153"/>
            </w:pPr>
            <w:r>
              <w:rPr>
                <w:spacing w:val="7"/>
              </w:rPr>
              <w:t>表</w:t>
            </w:r>
            <w:r>
              <w:rPr>
                <w:rFonts w:ascii="Times New Roman" w:hAnsi="Times New Roman" w:eastAsia="Times New Roman" w:cs="Times New Roman"/>
                <w:spacing w:val="7"/>
              </w:rPr>
              <w:t>1.3-</w:t>
            </w:r>
            <w:r>
              <w:rPr>
                <w:rFonts w:ascii="Times New Roman" w:hAnsi="Times New Roman" w:eastAsia="Times New Roman" w:cs="Times New Roman"/>
                <w:spacing w:val="-15"/>
              </w:rPr>
              <w:t xml:space="preserve"> </w:t>
            </w:r>
            <w:r>
              <w:rPr>
                <w:rFonts w:ascii="Times New Roman" w:hAnsi="Times New Roman" w:eastAsia="Times New Roman" w:cs="Times New Roman"/>
                <w:spacing w:val="7"/>
              </w:rPr>
              <w:t xml:space="preserve">1    </w:t>
            </w:r>
            <w:r>
              <w:rPr>
                <w:spacing w:val="7"/>
              </w:rPr>
              <w:t>与《挥发性有机污染物（</w:t>
            </w:r>
            <w:r>
              <w:rPr>
                <w:rFonts w:ascii="Times New Roman" w:hAnsi="Times New Roman" w:eastAsia="Times New Roman" w:cs="Times New Roman"/>
              </w:rPr>
              <w:t>VOCs</w:t>
            </w:r>
            <w:r>
              <w:rPr>
                <w:spacing w:val="7"/>
              </w:rPr>
              <w:t>）防治技术政策》符合</w:t>
            </w:r>
          </w:p>
          <w:p w14:paraId="2BB9A02B">
            <w:pPr>
              <w:pStyle w:val="6"/>
              <w:spacing w:before="155" w:line="226" w:lineRule="auto"/>
              <w:ind w:left="3224"/>
            </w:pPr>
            <w:r>
              <w:rPr>
                <w:spacing w:val="6"/>
              </w:rPr>
              <w:t>性分析表</w:t>
            </w:r>
          </w:p>
        </w:tc>
      </w:tr>
      <w:tr w14:paraId="60557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400" w:type="dxa"/>
            <w:vMerge w:val="continue"/>
            <w:tcBorders>
              <w:top w:val="nil"/>
              <w:left w:val="single" w:color="000000" w:sz="6" w:space="0"/>
              <w:bottom w:val="nil"/>
            </w:tcBorders>
            <w:vAlign w:val="top"/>
          </w:tcPr>
          <w:p w14:paraId="37B5F45E">
            <w:pPr>
              <w:rPr>
                <w:rFonts w:ascii="Arial"/>
                <w:sz w:val="21"/>
              </w:rPr>
            </w:pPr>
          </w:p>
        </w:tc>
        <w:tc>
          <w:tcPr>
            <w:tcW w:w="113" w:type="dxa"/>
            <w:tcBorders>
              <w:top w:val="nil"/>
              <w:bottom w:val="nil"/>
            </w:tcBorders>
            <w:vAlign w:val="top"/>
          </w:tcPr>
          <w:p w14:paraId="3F1284FC">
            <w:pPr>
              <w:rPr>
                <w:rFonts w:ascii="Arial"/>
                <w:sz w:val="21"/>
              </w:rPr>
            </w:pPr>
          </w:p>
        </w:tc>
        <w:tc>
          <w:tcPr>
            <w:tcW w:w="400" w:type="dxa"/>
            <w:textDirection w:val="tbRlV"/>
            <w:vAlign w:val="top"/>
          </w:tcPr>
          <w:p w14:paraId="1980FE82">
            <w:pPr>
              <w:pStyle w:val="6"/>
              <w:spacing w:before="123" w:line="211" w:lineRule="auto"/>
              <w:ind w:left="36"/>
              <w:rPr>
                <w:sz w:val="22"/>
                <w:szCs w:val="22"/>
              </w:rPr>
            </w:pPr>
            <w:r>
              <w:rPr>
                <w:spacing w:val="33"/>
                <w:sz w:val="22"/>
                <w:szCs w:val="22"/>
              </w:rPr>
              <w:t>序号</w:t>
            </w:r>
          </w:p>
        </w:tc>
        <w:tc>
          <w:tcPr>
            <w:tcW w:w="3445" w:type="dxa"/>
            <w:vAlign w:val="top"/>
          </w:tcPr>
          <w:p w14:paraId="47674988">
            <w:pPr>
              <w:pStyle w:val="6"/>
              <w:spacing w:before="35" w:line="222" w:lineRule="auto"/>
              <w:ind w:left="61" w:right="48"/>
              <w:rPr>
                <w:sz w:val="22"/>
                <w:szCs w:val="22"/>
              </w:rPr>
            </w:pPr>
            <w:r>
              <w:rPr>
                <w:spacing w:val="17"/>
                <w:sz w:val="22"/>
                <w:szCs w:val="22"/>
              </w:rPr>
              <w:t>《挥发性有机污染物防治技术政</w:t>
            </w:r>
            <w:r>
              <w:rPr>
                <w:spacing w:val="-5"/>
                <w:sz w:val="22"/>
                <w:szCs w:val="22"/>
              </w:rPr>
              <w:t>策》中要求</w:t>
            </w:r>
          </w:p>
        </w:tc>
        <w:tc>
          <w:tcPr>
            <w:tcW w:w="2804" w:type="dxa"/>
            <w:vAlign w:val="top"/>
          </w:tcPr>
          <w:p w14:paraId="40E07707">
            <w:pPr>
              <w:pStyle w:val="6"/>
              <w:spacing w:before="177" w:line="221" w:lineRule="auto"/>
              <w:ind w:left="69"/>
              <w:rPr>
                <w:sz w:val="22"/>
                <w:szCs w:val="22"/>
              </w:rPr>
            </w:pPr>
            <w:r>
              <w:rPr>
                <w:spacing w:val="-5"/>
                <w:sz w:val="22"/>
                <w:szCs w:val="22"/>
              </w:rPr>
              <w:t>项目情况</w:t>
            </w:r>
          </w:p>
        </w:tc>
        <w:tc>
          <w:tcPr>
            <w:tcW w:w="589" w:type="dxa"/>
            <w:vAlign w:val="top"/>
          </w:tcPr>
          <w:p w14:paraId="2C9E05B8">
            <w:pPr>
              <w:pStyle w:val="6"/>
              <w:spacing w:before="35" w:line="222" w:lineRule="auto"/>
              <w:ind w:left="71" w:right="42"/>
              <w:rPr>
                <w:sz w:val="22"/>
                <w:szCs w:val="22"/>
              </w:rPr>
            </w:pPr>
            <w:r>
              <w:rPr>
                <w:spacing w:val="14"/>
                <w:sz w:val="22"/>
                <w:szCs w:val="22"/>
              </w:rPr>
              <w:t>符合</w:t>
            </w:r>
            <w:r>
              <w:rPr>
                <w:sz w:val="22"/>
                <w:szCs w:val="22"/>
              </w:rPr>
              <w:t>性</w:t>
            </w:r>
          </w:p>
        </w:tc>
        <w:tc>
          <w:tcPr>
            <w:tcW w:w="123" w:type="dxa"/>
            <w:tcBorders>
              <w:top w:val="nil"/>
              <w:bottom w:val="nil"/>
              <w:right w:val="single" w:color="000000" w:sz="6" w:space="0"/>
            </w:tcBorders>
            <w:vAlign w:val="top"/>
          </w:tcPr>
          <w:p w14:paraId="48F11DF0">
            <w:pPr>
              <w:rPr>
                <w:rFonts w:ascii="Arial"/>
                <w:sz w:val="21"/>
              </w:rPr>
            </w:pPr>
          </w:p>
        </w:tc>
      </w:tr>
      <w:tr w14:paraId="71C5A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1400" w:type="dxa"/>
            <w:vMerge w:val="continue"/>
            <w:tcBorders>
              <w:top w:val="nil"/>
              <w:left w:val="single" w:color="000000" w:sz="6" w:space="0"/>
              <w:bottom w:val="nil"/>
            </w:tcBorders>
            <w:vAlign w:val="top"/>
          </w:tcPr>
          <w:p w14:paraId="0D51F881">
            <w:pPr>
              <w:rPr>
                <w:rFonts w:ascii="Arial"/>
                <w:sz w:val="21"/>
              </w:rPr>
            </w:pPr>
          </w:p>
        </w:tc>
        <w:tc>
          <w:tcPr>
            <w:tcW w:w="113" w:type="dxa"/>
            <w:tcBorders>
              <w:top w:val="nil"/>
              <w:bottom w:val="nil"/>
            </w:tcBorders>
            <w:vAlign w:val="top"/>
          </w:tcPr>
          <w:p w14:paraId="1524CA18">
            <w:pPr>
              <w:rPr>
                <w:rFonts w:ascii="Arial"/>
                <w:sz w:val="21"/>
              </w:rPr>
            </w:pPr>
          </w:p>
        </w:tc>
        <w:tc>
          <w:tcPr>
            <w:tcW w:w="400" w:type="dxa"/>
            <w:vAlign w:val="top"/>
          </w:tcPr>
          <w:p w14:paraId="25C58D4E">
            <w:pPr>
              <w:spacing w:line="293" w:lineRule="auto"/>
              <w:rPr>
                <w:rFonts w:ascii="Arial"/>
                <w:sz w:val="21"/>
              </w:rPr>
            </w:pPr>
          </w:p>
          <w:p w14:paraId="279DD031">
            <w:pPr>
              <w:spacing w:before="63" w:line="189" w:lineRule="auto"/>
              <w:ind w:left="76"/>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445" w:type="dxa"/>
            <w:vAlign w:val="top"/>
          </w:tcPr>
          <w:p w14:paraId="04634366">
            <w:pPr>
              <w:pStyle w:val="6"/>
              <w:spacing w:before="177" w:line="242" w:lineRule="auto"/>
              <w:ind w:left="58" w:right="48" w:hanging="6"/>
              <w:rPr>
                <w:sz w:val="22"/>
                <w:szCs w:val="22"/>
              </w:rPr>
            </w:pPr>
            <w:r>
              <w:rPr>
                <w:rFonts w:ascii="Times New Roman" w:hAnsi="Times New Roman" w:eastAsia="Times New Roman" w:cs="Times New Roman"/>
                <w:spacing w:val="-8"/>
                <w:sz w:val="22"/>
                <w:szCs w:val="22"/>
              </w:rPr>
              <w:t xml:space="preserve">VOCs </w:t>
            </w:r>
            <w:r>
              <w:rPr>
                <w:spacing w:val="-8"/>
                <w:sz w:val="22"/>
                <w:szCs w:val="22"/>
              </w:rPr>
              <w:t>物料应储存于密闭的容器、包</w:t>
            </w:r>
            <w:r>
              <w:rPr>
                <w:spacing w:val="-4"/>
                <w:sz w:val="22"/>
                <w:szCs w:val="22"/>
              </w:rPr>
              <w:t>装袋、储罐、储库、料仓中</w:t>
            </w:r>
          </w:p>
        </w:tc>
        <w:tc>
          <w:tcPr>
            <w:tcW w:w="2804" w:type="dxa"/>
            <w:vAlign w:val="top"/>
          </w:tcPr>
          <w:p w14:paraId="46552E06">
            <w:pPr>
              <w:pStyle w:val="6"/>
              <w:spacing w:before="38" w:line="227" w:lineRule="auto"/>
              <w:ind w:left="65" w:right="44"/>
              <w:jc w:val="both"/>
              <w:rPr>
                <w:sz w:val="22"/>
                <w:szCs w:val="22"/>
              </w:rPr>
            </w:pPr>
            <w:r>
              <w:rPr>
                <w:spacing w:val="4"/>
                <w:sz w:val="22"/>
                <w:szCs w:val="22"/>
              </w:rPr>
              <w:t>本项目改建后，均为汽油储罐，汽油储存于埋地密闭双</w:t>
            </w:r>
            <w:r>
              <w:rPr>
                <w:spacing w:val="-4"/>
                <w:sz w:val="22"/>
                <w:szCs w:val="22"/>
              </w:rPr>
              <w:t>层储油罐内</w:t>
            </w:r>
          </w:p>
        </w:tc>
        <w:tc>
          <w:tcPr>
            <w:tcW w:w="589" w:type="dxa"/>
            <w:vAlign w:val="top"/>
          </w:tcPr>
          <w:p w14:paraId="3D380FE4">
            <w:pPr>
              <w:spacing w:line="247" w:lineRule="auto"/>
              <w:rPr>
                <w:rFonts w:ascii="Arial"/>
                <w:sz w:val="21"/>
              </w:rPr>
            </w:pPr>
          </w:p>
          <w:p w14:paraId="10641A09">
            <w:pPr>
              <w:pStyle w:val="6"/>
              <w:spacing w:before="71" w:line="220" w:lineRule="auto"/>
              <w:ind w:left="71"/>
              <w:rPr>
                <w:sz w:val="22"/>
                <w:szCs w:val="22"/>
              </w:rPr>
            </w:pPr>
            <w:r>
              <w:rPr>
                <w:spacing w:val="-5"/>
                <w:sz w:val="22"/>
                <w:szCs w:val="22"/>
              </w:rPr>
              <w:t>符合</w:t>
            </w:r>
          </w:p>
        </w:tc>
        <w:tc>
          <w:tcPr>
            <w:tcW w:w="123" w:type="dxa"/>
            <w:tcBorders>
              <w:top w:val="nil"/>
              <w:bottom w:val="nil"/>
              <w:right w:val="single" w:color="000000" w:sz="6" w:space="0"/>
            </w:tcBorders>
            <w:vAlign w:val="top"/>
          </w:tcPr>
          <w:p w14:paraId="0841AAED">
            <w:pPr>
              <w:rPr>
                <w:rFonts w:ascii="Arial"/>
                <w:sz w:val="21"/>
              </w:rPr>
            </w:pPr>
          </w:p>
        </w:tc>
      </w:tr>
      <w:tr w14:paraId="71397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1400" w:type="dxa"/>
            <w:vMerge w:val="continue"/>
            <w:tcBorders>
              <w:top w:val="nil"/>
              <w:left w:val="single" w:color="000000" w:sz="6" w:space="0"/>
              <w:bottom w:val="nil"/>
            </w:tcBorders>
            <w:vAlign w:val="top"/>
          </w:tcPr>
          <w:p w14:paraId="53857C73">
            <w:pPr>
              <w:rPr>
                <w:rFonts w:ascii="Arial"/>
                <w:sz w:val="21"/>
              </w:rPr>
            </w:pPr>
          </w:p>
        </w:tc>
        <w:tc>
          <w:tcPr>
            <w:tcW w:w="113" w:type="dxa"/>
            <w:tcBorders>
              <w:top w:val="nil"/>
              <w:bottom w:val="nil"/>
            </w:tcBorders>
            <w:vAlign w:val="top"/>
          </w:tcPr>
          <w:p w14:paraId="55F9D11B">
            <w:pPr>
              <w:rPr>
                <w:rFonts w:ascii="Arial"/>
                <w:sz w:val="21"/>
              </w:rPr>
            </w:pPr>
          </w:p>
        </w:tc>
        <w:tc>
          <w:tcPr>
            <w:tcW w:w="400" w:type="dxa"/>
            <w:vAlign w:val="top"/>
          </w:tcPr>
          <w:p w14:paraId="596CE6A9">
            <w:pPr>
              <w:spacing w:line="289" w:lineRule="auto"/>
              <w:rPr>
                <w:rFonts w:ascii="Arial"/>
                <w:sz w:val="21"/>
              </w:rPr>
            </w:pPr>
          </w:p>
          <w:p w14:paraId="13DC3816">
            <w:pPr>
              <w:spacing w:line="289" w:lineRule="auto"/>
              <w:rPr>
                <w:rFonts w:ascii="Arial"/>
                <w:sz w:val="21"/>
              </w:rPr>
            </w:pPr>
          </w:p>
          <w:p w14:paraId="46C64DBB">
            <w:pPr>
              <w:spacing w:before="63" w:line="189" w:lineRule="auto"/>
              <w:ind w:left="54"/>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3445" w:type="dxa"/>
            <w:vAlign w:val="top"/>
          </w:tcPr>
          <w:p w14:paraId="11D70D37">
            <w:pPr>
              <w:pStyle w:val="6"/>
              <w:spacing w:before="36" w:line="232" w:lineRule="auto"/>
              <w:ind w:left="52" w:firstLine="8"/>
              <w:jc w:val="both"/>
              <w:rPr>
                <w:sz w:val="22"/>
                <w:szCs w:val="22"/>
              </w:rPr>
            </w:pPr>
            <w:r>
              <w:rPr>
                <w:spacing w:val="1"/>
                <w:sz w:val="22"/>
                <w:szCs w:val="22"/>
              </w:rPr>
              <w:t>盛装</w:t>
            </w:r>
            <w:r>
              <w:rPr>
                <w:spacing w:val="-49"/>
                <w:sz w:val="22"/>
                <w:szCs w:val="22"/>
              </w:rPr>
              <w:t xml:space="preserve"> </w:t>
            </w:r>
            <w:r>
              <w:rPr>
                <w:rFonts w:ascii="Times New Roman" w:hAnsi="Times New Roman" w:eastAsia="Times New Roman" w:cs="Times New Roman"/>
                <w:sz w:val="22"/>
                <w:szCs w:val="22"/>
              </w:rPr>
              <w:t>VOCs</w:t>
            </w:r>
            <w:r>
              <w:rPr>
                <w:rFonts w:ascii="Times New Roman" w:hAnsi="Times New Roman" w:eastAsia="Times New Roman" w:cs="Times New Roman"/>
                <w:spacing w:val="1"/>
                <w:sz w:val="22"/>
                <w:szCs w:val="22"/>
              </w:rPr>
              <w:t xml:space="preserve"> </w:t>
            </w:r>
            <w:r>
              <w:rPr>
                <w:spacing w:val="1"/>
                <w:sz w:val="22"/>
                <w:szCs w:val="22"/>
              </w:rPr>
              <w:t>物料的容器或包装袋应</w:t>
            </w:r>
            <w:r>
              <w:rPr>
                <w:spacing w:val="-9"/>
                <w:sz w:val="22"/>
                <w:szCs w:val="22"/>
              </w:rPr>
              <w:t>存放于室内，或存放于设置有雨棚，</w:t>
            </w:r>
            <w:r>
              <w:rPr>
                <w:spacing w:val="1"/>
                <w:sz w:val="22"/>
                <w:szCs w:val="22"/>
              </w:rPr>
              <w:t>遮阳和防渗设施的专用场地。盛装</w:t>
            </w:r>
            <w:r>
              <w:rPr>
                <w:rFonts w:ascii="Times New Roman" w:hAnsi="Times New Roman" w:eastAsia="Times New Roman" w:cs="Times New Roman"/>
                <w:sz w:val="22"/>
                <w:szCs w:val="22"/>
              </w:rPr>
              <w:t>VOCs</w:t>
            </w:r>
            <w:r>
              <w:rPr>
                <w:rFonts w:ascii="Times New Roman" w:hAnsi="Times New Roman" w:eastAsia="Times New Roman" w:cs="Times New Roman"/>
                <w:spacing w:val="22"/>
                <w:w w:val="101"/>
                <w:sz w:val="22"/>
                <w:szCs w:val="22"/>
              </w:rPr>
              <w:t xml:space="preserve"> </w:t>
            </w:r>
            <w:r>
              <w:rPr>
                <w:spacing w:val="5"/>
                <w:sz w:val="22"/>
                <w:szCs w:val="22"/>
              </w:rPr>
              <w:t>物料的容器或包装袋在非取</w:t>
            </w:r>
            <w:r>
              <w:rPr>
                <w:spacing w:val="-5"/>
                <w:sz w:val="22"/>
                <w:szCs w:val="22"/>
              </w:rPr>
              <w:t>用状态时应加盖、封口，保持密闭</w:t>
            </w:r>
          </w:p>
        </w:tc>
        <w:tc>
          <w:tcPr>
            <w:tcW w:w="2804" w:type="dxa"/>
            <w:vAlign w:val="top"/>
          </w:tcPr>
          <w:p w14:paraId="28239DA4">
            <w:pPr>
              <w:spacing w:line="248" w:lineRule="auto"/>
              <w:rPr>
                <w:rFonts w:ascii="Arial"/>
                <w:sz w:val="21"/>
              </w:rPr>
            </w:pPr>
          </w:p>
          <w:p w14:paraId="62770029">
            <w:pPr>
              <w:pStyle w:val="6"/>
              <w:spacing w:before="72" w:line="241" w:lineRule="auto"/>
              <w:ind w:left="65" w:right="44"/>
              <w:jc w:val="both"/>
              <w:rPr>
                <w:sz w:val="22"/>
                <w:szCs w:val="22"/>
              </w:rPr>
            </w:pPr>
            <w:r>
              <w:rPr>
                <w:spacing w:val="-5"/>
                <w:sz w:val="22"/>
                <w:szCs w:val="22"/>
              </w:rPr>
              <w:t>本项目储油罐均为埋地式</w:t>
            </w:r>
            <w:r>
              <w:rPr>
                <w:spacing w:val="-49"/>
                <w:sz w:val="22"/>
                <w:szCs w:val="22"/>
              </w:rPr>
              <w:t xml:space="preserve"> </w:t>
            </w:r>
            <w:r>
              <w:rPr>
                <w:rFonts w:ascii="Times New Roman" w:hAnsi="Times New Roman" w:eastAsia="Times New Roman" w:cs="Times New Roman"/>
                <w:spacing w:val="-5"/>
                <w:sz w:val="22"/>
                <w:szCs w:val="22"/>
              </w:rPr>
              <w:t>FF</w:t>
            </w:r>
            <w:r>
              <w:rPr>
                <w:spacing w:val="4"/>
                <w:sz w:val="22"/>
                <w:szCs w:val="22"/>
              </w:rPr>
              <w:t>双层储罐，可满足遮阳、防</w:t>
            </w:r>
            <w:r>
              <w:rPr>
                <w:spacing w:val="-4"/>
                <w:sz w:val="22"/>
                <w:szCs w:val="22"/>
              </w:rPr>
              <w:t>渗要求，密闭保持</w:t>
            </w:r>
          </w:p>
        </w:tc>
        <w:tc>
          <w:tcPr>
            <w:tcW w:w="589" w:type="dxa"/>
            <w:vAlign w:val="top"/>
          </w:tcPr>
          <w:p w14:paraId="733824AF">
            <w:pPr>
              <w:spacing w:line="266" w:lineRule="auto"/>
              <w:rPr>
                <w:rFonts w:ascii="Arial"/>
                <w:sz w:val="21"/>
              </w:rPr>
            </w:pPr>
          </w:p>
          <w:p w14:paraId="694CE3F3">
            <w:pPr>
              <w:spacing w:line="266" w:lineRule="auto"/>
              <w:rPr>
                <w:rFonts w:ascii="Arial"/>
                <w:sz w:val="21"/>
              </w:rPr>
            </w:pPr>
          </w:p>
          <w:p w14:paraId="2FEC9EED">
            <w:pPr>
              <w:pStyle w:val="6"/>
              <w:spacing w:before="72" w:line="220" w:lineRule="auto"/>
              <w:ind w:left="71"/>
              <w:rPr>
                <w:sz w:val="22"/>
                <w:szCs w:val="22"/>
              </w:rPr>
            </w:pPr>
            <w:r>
              <w:rPr>
                <w:spacing w:val="-5"/>
                <w:sz w:val="22"/>
                <w:szCs w:val="22"/>
              </w:rPr>
              <w:t>符合</w:t>
            </w:r>
          </w:p>
        </w:tc>
        <w:tc>
          <w:tcPr>
            <w:tcW w:w="123" w:type="dxa"/>
            <w:tcBorders>
              <w:top w:val="nil"/>
              <w:bottom w:val="nil"/>
              <w:right w:val="single" w:color="000000" w:sz="6" w:space="0"/>
            </w:tcBorders>
            <w:vAlign w:val="top"/>
          </w:tcPr>
          <w:p w14:paraId="6DB4E1A1">
            <w:pPr>
              <w:rPr>
                <w:rFonts w:ascii="Arial"/>
                <w:sz w:val="21"/>
              </w:rPr>
            </w:pPr>
          </w:p>
        </w:tc>
      </w:tr>
      <w:tr w14:paraId="2C0BA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1400" w:type="dxa"/>
            <w:vMerge w:val="continue"/>
            <w:tcBorders>
              <w:top w:val="nil"/>
              <w:left w:val="single" w:color="000000" w:sz="6" w:space="0"/>
              <w:bottom w:val="nil"/>
            </w:tcBorders>
            <w:vAlign w:val="top"/>
          </w:tcPr>
          <w:p w14:paraId="192E84D3">
            <w:pPr>
              <w:rPr>
                <w:rFonts w:ascii="Arial"/>
                <w:sz w:val="21"/>
              </w:rPr>
            </w:pPr>
          </w:p>
        </w:tc>
        <w:tc>
          <w:tcPr>
            <w:tcW w:w="113" w:type="dxa"/>
            <w:tcBorders>
              <w:top w:val="nil"/>
              <w:bottom w:val="nil"/>
            </w:tcBorders>
            <w:vAlign w:val="top"/>
          </w:tcPr>
          <w:p w14:paraId="7871167E">
            <w:pPr>
              <w:rPr>
                <w:rFonts w:ascii="Arial"/>
                <w:sz w:val="21"/>
              </w:rPr>
            </w:pPr>
          </w:p>
        </w:tc>
        <w:tc>
          <w:tcPr>
            <w:tcW w:w="400" w:type="dxa"/>
            <w:vAlign w:val="top"/>
          </w:tcPr>
          <w:p w14:paraId="0F985054">
            <w:pPr>
              <w:spacing w:line="438" w:lineRule="auto"/>
              <w:rPr>
                <w:rFonts w:ascii="Arial"/>
                <w:sz w:val="21"/>
              </w:rPr>
            </w:pPr>
          </w:p>
          <w:p w14:paraId="068B6828">
            <w:pPr>
              <w:spacing w:before="64" w:line="189" w:lineRule="auto"/>
              <w:ind w:left="59"/>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3445" w:type="dxa"/>
            <w:vAlign w:val="top"/>
          </w:tcPr>
          <w:p w14:paraId="36BC01D3">
            <w:pPr>
              <w:pStyle w:val="6"/>
              <w:spacing w:before="38" w:line="230" w:lineRule="auto"/>
              <w:ind w:left="52" w:right="50" w:firstLine="8"/>
              <w:rPr>
                <w:sz w:val="22"/>
                <w:szCs w:val="22"/>
              </w:rPr>
            </w:pPr>
            <w:r>
              <w:rPr>
                <w:spacing w:val="1"/>
                <w:sz w:val="22"/>
                <w:szCs w:val="22"/>
              </w:rPr>
              <w:t>液态</w:t>
            </w:r>
            <w:r>
              <w:rPr>
                <w:spacing w:val="-42"/>
                <w:sz w:val="22"/>
                <w:szCs w:val="22"/>
              </w:rPr>
              <w:t xml:space="preserve"> </w:t>
            </w:r>
            <w:r>
              <w:rPr>
                <w:rFonts w:ascii="Times New Roman" w:hAnsi="Times New Roman" w:eastAsia="Times New Roman" w:cs="Times New Roman"/>
                <w:sz w:val="22"/>
                <w:szCs w:val="22"/>
              </w:rPr>
              <w:t>VOCs</w:t>
            </w:r>
            <w:r>
              <w:rPr>
                <w:rFonts w:ascii="Times New Roman" w:hAnsi="Times New Roman" w:eastAsia="Times New Roman" w:cs="Times New Roman"/>
                <w:spacing w:val="1"/>
                <w:sz w:val="22"/>
                <w:szCs w:val="22"/>
              </w:rPr>
              <w:t xml:space="preserve"> </w:t>
            </w:r>
            <w:r>
              <w:rPr>
                <w:spacing w:val="1"/>
                <w:sz w:val="22"/>
                <w:szCs w:val="22"/>
              </w:rPr>
              <w:t>物料应采用密闭管道输</w:t>
            </w:r>
            <w:r>
              <w:rPr>
                <w:spacing w:val="-1"/>
                <w:sz w:val="22"/>
                <w:szCs w:val="22"/>
              </w:rPr>
              <w:t>送。采用非管道输送方式转移液态</w:t>
            </w:r>
            <w:r>
              <w:rPr>
                <w:rFonts w:ascii="Times New Roman" w:hAnsi="Times New Roman" w:eastAsia="Times New Roman" w:cs="Times New Roman"/>
                <w:sz w:val="22"/>
                <w:szCs w:val="22"/>
              </w:rPr>
              <w:t>VOCs</w:t>
            </w:r>
            <w:r>
              <w:rPr>
                <w:rFonts w:ascii="Times New Roman" w:hAnsi="Times New Roman" w:eastAsia="Times New Roman" w:cs="Times New Roman"/>
                <w:spacing w:val="7"/>
                <w:sz w:val="22"/>
                <w:szCs w:val="22"/>
              </w:rPr>
              <w:t xml:space="preserve"> </w:t>
            </w:r>
            <w:r>
              <w:rPr>
                <w:spacing w:val="7"/>
                <w:sz w:val="22"/>
                <w:szCs w:val="22"/>
              </w:rPr>
              <w:t>物料时，应采用密闭容器、</w:t>
            </w:r>
            <w:r>
              <w:rPr>
                <w:spacing w:val="-1"/>
                <w:sz w:val="22"/>
                <w:szCs w:val="22"/>
              </w:rPr>
              <w:t>罐车</w:t>
            </w:r>
          </w:p>
        </w:tc>
        <w:tc>
          <w:tcPr>
            <w:tcW w:w="2804" w:type="dxa"/>
            <w:vAlign w:val="top"/>
          </w:tcPr>
          <w:p w14:paraId="42F2FFBE">
            <w:pPr>
              <w:pStyle w:val="6"/>
              <w:spacing w:before="181" w:line="241" w:lineRule="auto"/>
              <w:ind w:left="64" w:right="46" w:firstLine="1"/>
              <w:jc w:val="both"/>
              <w:rPr>
                <w:sz w:val="22"/>
                <w:szCs w:val="22"/>
              </w:rPr>
            </w:pPr>
            <w:r>
              <w:rPr>
                <w:spacing w:val="3"/>
                <w:sz w:val="22"/>
                <w:szCs w:val="22"/>
              </w:rPr>
              <w:t>本项目采用埋地双层输油管道，采用密闭油罐车对储油</w:t>
            </w:r>
            <w:r>
              <w:rPr>
                <w:spacing w:val="-1"/>
                <w:sz w:val="22"/>
                <w:szCs w:val="22"/>
              </w:rPr>
              <w:t>罐进行物料输送</w:t>
            </w:r>
          </w:p>
        </w:tc>
        <w:tc>
          <w:tcPr>
            <w:tcW w:w="589" w:type="dxa"/>
            <w:vAlign w:val="top"/>
          </w:tcPr>
          <w:p w14:paraId="09FCB8C0">
            <w:pPr>
              <w:spacing w:line="393" w:lineRule="auto"/>
              <w:rPr>
                <w:rFonts w:ascii="Arial"/>
                <w:sz w:val="21"/>
              </w:rPr>
            </w:pPr>
          </w:p>
          <w:p w14:paraId="29EBE0CB">
            <w:pPr>
              <w:pStyle w:val="6"/>
              <w:spacing w:before="71" w:line="220" w:lineRule="auto"/>
              <w:ind w:left="71"/>
              <w:rPr>
                <w:sz w:val="22"/>
                <w:szCs w:val="22"/>
              </w:rPr>
            </w:pPr>
            <w:r>
              <w:rPr>
                <w:spacing w:val="-5"/>
                <w:sz w:val="22"/>
                <w:szCs w:val="22"/>
              </w:rPr>
              <w:t>符合</w:t>
            </w:r>
          </w:p>
        </w:tc>
        <w:tc>
          <w:tcPr>
            <w:tcW w:w="123" w:type="dxa"/>
            <w:tcBorders>
              <w:top w:val="nil"/>
              <w:bottom w:val="nil"/>
              <w:right w:val="single" w:color="000000" w:sz="6" w:space="0"/>
            </w:tcBorders>
            <w:vAlign w:val="top"/>
          </w:tcPr>
          <w:p w14:paraId="7F0DA7FD">
            <w:pPr>
              <w:rPr>
                <w:rFonts w:ascii="Arial"/>
                <w:sz w:val="21"/>
              </w:rPr>
            </w:pPr>
          </w:p>
        </w:tc>
      </w:tr>
      <w:tr w14:paraId="73CE2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400" w:type="dxa"/>
            <w:vMerge w:val="continue"/>
            <w:tcBorders>
              <w:top w:val="nil"/>
              <w:left w:val="single" w:color="000000" w:sz="6" w:space="0"/>
              <w:bottom w:val="nil"/>
            </w:tcBorders>
            <w:vAlign w:val="top"/>
          </w:tcPr>
          <w:p w14:paraId="4232367A">
            <w:pPr>
              <w:rPr>
                <w:rFonts w:ascii="Arial"/>
                <w:sz w:val="21"/>
              </w:rPr>
            </w:pPr>
          </w:p>
        </w:tc>
        <w:tc>
          <w:tcPr>
            <w:tcW w:w="113" w:type="dxa"/>
            <w:tcBorders>
              <w:top w:val="nil"/>
              <w:bottom w:val="nil"/>
            </w:tcBorders>
            <w:vAlign w:val="top"/>
          </w:tcPr>
          <w:p w14:paraId="7430120F">
            <w:pPr>
              <w:rPr>
                <w:rFonts w:ascii="Arial"/>
                <w:sz w:val="21"/>
              </w:rPr>
            </w:pPr>
          </w:p>
        </w:tc>
        <w:tc>
          <w:tcPr>
            <w:tcW w:w="400" w:type="dxa"/>
            <w:vAlign w:val="top"/>
          </w:tcPr>
          <w:p w14:paraId="0BA58C6B">
            <w:pPr>
              <w:spacing w:before="221" w:line="189" w:lineRule="auto"/>
              <w:ind w:left="53"/>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3445" w:type="dxa"/>
            <w:vAlign w:val="top"/>
          </w:tcPr>
          <w:p w14:paraId="6025E2D2">
            <w:pPr>
              <w:pStyle w:val="6"/>
              <w:spacing w:before="40" w:line="220" w:lineRule="auto"/>
              <w:ind w:left="76" w:right="52" w:hanging="24"/>
              <w:rPr>
                <w:sz w:val="22"/>
                <w:szCs w:val="22"/>
              </w:rPr>
            </w:pPr>
            <w:r>
              <w:rPr>
                <w:rFonts w:ascii="Times New Roman" w:hAnsi="Times New Roman" w:eastAsia="Times New Roman" w:cs="Times New Roman"/>
                <w:sz w:val="22"/>
                <w:szCs w:val="22"/>
              </w:rPr>
              <w:t>VOCs</w:t>
            </w:r>
            <w:r>
              <w:rPr>
                <w:rFonts w:ascii="Times New Roman" w:hAnsi="Times New Roman" w:eastAsia="Times New Roman" w:cs="Times New Roman"/>
                <w:spacing w:val="6"/>
                <w:sz w:val="22"/>
                <w:szCs w:val="22"/>
              </w:rPr>
              <w:t xml:space="preserve"> </w:t>
            </w:r>
            <w:r>
              <w:rPr>
                <w:spacing w:val="6"/>
                <w:sz w:val="22"/>
                <w:szCs w:val="22"/>
              </w:rPr>
              <w:t>储库、料仓应满足密闭空间</w:t>
            </w:r>
            <w:r>
              <w:rPr>
                <w:spacing w:val="-9"/>
                <w:sz w:val="22"/>
                <w:szCs w:val="22"/>
              </w:rPr>
              <w:t>的要求</w:t>
            </w:r>
          </w:p>
        </w:tc>
        <w:tc>
          <w:tcPr>
            <w:tcW w:w="2804" w:type="dxa"/>
            <w:vAlign w:val="top"/>
          </w:tcPr>
          <w:p w14:paraId="2760CF5E">
            <w:pPr>
              <w:pStyle w:val="6"/>
              <w:spacing w:before="40" w:line="220" w:lineRule="auto"/>
              <w:ind w:left="65" w:right="41"/>
              <w:rPr>
                <w:sz w:val="22"/>
                <w:szCs w:val="22"/>
              </w:rPr>
            </w:pPr>
            <w:r>
              <w:rPr>
                <w:spacing w:val="4"/>
                <w:sz w:val="22"/>
                <w:szCs w:val="22"/>
              </w:rPr>
              <w:t>本项目汽油储存于埋地密闭</w:t>
            </w:r>
            <w:r>
              <w:rPr>
                <w:spacing w:val="-4"/>
                <w:sz w:val="22"/>
                <w:szCs w:val="22"/>
              </w:rPr>
              <w:t>双层储油罐内</w:t>
            </w:r>
          </w:p>
        </w:tc>
        <w:tc>
          <w:tcPr>
            <w:tcW w:w="589" w:type="dxa"/>
            <w:vAlign w:val="top"/>
          </w:tcPr>
          <w:p w14:paraId="48948E07">
            <w:pPr>
              <w:pStyle w:val="6"/>
              <w:spacing w:before="183" w:line="220" w:lineRule="auto"/>
              <w:ind w:left="71"/>
              <w:rPr>
                <w:sz w:val="22"/>
                <w:szCs w:val="22"/>
              </w:rPr>
            </w:pPr>
            <w:r>
              <w:rPr>
                <w:spacing w:val="-5"/>
                <w:sz w:val="22"/>
                <w:szCs w:val="22"/>
              </w:rPr>
              <w:t>符合</w:t>
            </w:r>
          </w:p>
        </w:tc>
        <w:tc>
          <w:tcPr>
            <w:tcW w:w="123" w:type="dxa"/>
            <w:tcBorders>
              <w:top w:val="nil"/>
              <w:bottom w:val="nil"/>
              <w:right w:val="single" w:color="000000" w:sz="6" w:space="0"/>
            </w:tcBorders>
            <w:vAlign w:val="top"/>
          </w:tcPr>
          <w:p w14:paraId="38F45BF0">
            <w:pPr>
              <w:rPr>
                <w:rFonts w:ascii="Arial"/>
                <w:sz w:val="21"/>
              </w:rPr>
            </w:pPr>
          </w:p>
        </w:tc>
      </w:tr>
      <w:tr w14:paraId="6FB7A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5" w:hRule="atLeast"/>
        </w:trPr>
        <w:tc>
          <w:tcPr>
            <w:tcW w:w="1400" w:type="dxa"/>
            <w:vMerge w:val="continue"/>
            <w:tcBorders>
              <w:top w:val="nil"/>
              <w:left w:val="single" w:color="000000" w:sz="6" w:space="0"/>
              <w:bottom w:val="nil"/>
            </w:tcBorders>
            <w:vAlign w:val="top"/>
          </w:tcPr>
          <w:p w14:paraId="231A3260">
            <w:pPr>
              <w:rPr>
                <w:rFonts w:ascii="Arial"/>
                <w:sz w:val="21"/>
              </w:rPr>
            </w:pPr>
          </w:p>
        </w:tc>
        <w:tc>
          <w:tcPr>
            <w:tcW w:w="113" w:type="dxa"/>
            <w:tcBorders>
              <w:top w:val="nil"/>
              <w:bottom w:val="nil"/>
            </w:tcBorders>
            <w:vAlign w:val="top"/>
          </w:tcPr>
          <w:p w14:paraId="0BD7DA12">
            <w:pPr>
              <w:rPr>
                <w:rFonts w:ascii="Arial"/>
                <w:sz w:val="21"/>
              </w:rPr>
            </w:pPr>
          </w:p>
        </w:tc>
        <w:tc>
          <w:tcPr>
            <w:tcW w:w="400" w:type="dxa"/>
            <w:vAlign w:val="top"/>
          </w:tcPr>
          <w:p w14:paraId="7E5FADF5">
            <w:pPr>
              <w:spacing w:line="258" w:lineRule="auto"/>
              <w:rPr>
                <w:rFonts w:ascii="Arial"/>
                <w:sz w:val="21"/>
              </w:rPr>
            </w:pPr>
          </w:p>
          <w:p w14:paraId="17BB0490">
            <w:pPr>
              <w:spacing w:line="258" w:lineRule="auto"/>
              <w:rPr>
                <w:rFonts w:ascii="Arial"/>
                <w:sz w:val="21"/>
              </w:rPr>
            </w:pPr>
          </w:p>
          <w:p w14:paraId="05728E16">
            <w:pPr>
              <w:spacing w:line="259" w:lineRule="auto"/>
              <w:rPr>
                <w:rFonts w:ascii="Arial"/>
                <w:sz w:val="21"/>
              </w:rPr>
            </w:pPr>
          </w:p>
          <w:p w14:paraId="54EA8B69">
            <w:pPr>
              <w:spacing w:line="259" w:lineRule="auto"/>
              <w:rPr>
                <w:rFonts w:ascii="Arial"/>
                <w:sz w:val="21"/>
              </w:rPr>
            </w:pPr>
          </w:p>
          <w:p w14:paraId="293FDC3E">
            <w:pPr>
              <w:spacing w:line="259" w:lineRule="auto"/>
              <w:rPr>
                <w:rFonts w:ascii="Arial"/>
                <w:sz w:val="21"/>
              </w:rPr>
            </w:pPr>
          </w:p>
          <w:p w14:paraId="4584AAEF">
            <w:pPr>
              <w:spacing w:before="64" w:line="186" w:lineRule="auto"/>
              <w:ind w:left="60"/>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3445" w:type="dxa"/>
            <w:vAlign w:val="top"/>
          </w:tcPr>
          <w:p w14:paraId="739ECDAA">
            <w:pPr>
              <w:pStyle w:val="6"/>
              <w:spacing w:before="42" w:line="239" w:lineRule="auto"/>
              <w:ind w:left="57" w:right="52" w:hanging="5"/>
              <w:rPr>
                <w:sz w:val="22"/>
                <w:szCs w:val="22"/>
              </w:rPr>
            </w:pPr>
            <w:r>
              <w:rPr>
                <w:rFonts w:ascii="Times New Roman" w:hAnsi="Times New Roman" w:eastAsia="Times New Roman" w:cs="Times New Roman"/>
                <w:sz w:val="22"/>
                <w:szCs w:val="22"/>
              </w:rPr>
              <w:t>VOCs</w:t>
            </w:r>
            <w:r>
              <w:rPr>
                <w:rFonts w:ascii="Times New Roman" w:hAnsi="Times New Roman" w:eastAsia="Times New Roman" w:cs="Times New Roman"/>
                <w:spacing w:val="6"/>
                <w:sz w:val="22"/>
                <w:szCs w:val="22"/>
              </w:rPr>
              <w:t xml:space="preserve"> </w:t>
            </w:r>
            <w:r>
              <w:rPr>
                <w:spacing w:val="6"/>
                <w:sz w:val="22"/>
                <w:szCs w:val="22"/>
              </w:rPr>
              <w:t>储罐应密封良好，其中挥发</w:t>
            </w:r>
            <w:r>
              <w:rPr>
                <w:spacing w:val="-1"/>
                <w:sz w:val="22"/>
                <w:szCs w:val="22"/>
              </w:rPr>
              <w:t>性有机液体储罐应符合以下规定：储罐运行维护要求：</w:t>
            </w:r>
          </w:p>
          <w:p w14:paraId="736C3DA5">
            <w:pPr>
              <w:pStyle w:val="6"/>
              <w:spacing w:before="1" w:line="239" w:lineRule="auto"/>
              <w:ind w:left="60" w:right="50" w:firstLine="16"/>
              <w:rPr>
                <w:sz w:val="22"/>
                <w:szCs w:val="22"/>
              </w:rPr>
            </w:pPr>
            <w:r>
              <w:rPr>
                <w:rFonts w:ascii="Times New Roman" w:hAnsi="Times New Roman" w:eastAsia="Times New Roman" w:cs="Times New Roman"/>
                <w:spacing w:val="-7"/>
                <w:sz w:val="22"/>
                <w:szCs w:val="22"/>
              </w:rPr>
              <w:t>1</w:t>
            </w:r>
            <w:r>
              <w:rPr>
                <w:spacing w:val="-7"/>
                <w:sz w:val="22"/>
                <w:szCs w:val="22"/>
              </w:rPr>
              <w:t>）固定顶罐应保持完好，不应有孔</w:t>
            </w:r>
            <w:r>
              <w:rPr>
                <w:spacing w:val="-2"/>
                <w:sz w:val="22"/>
                <w:szCs w:val="22"/>
              </w:rPr>
              <w:t>洞、缝隙；</w:t>
            </w:r>
          </w:p>
          <w:p w14:paraId="406BECED">
            <w:pPr>
              <w:pStyle w:val="6"/>
              <w:spacing w:before="2" w:line="239" w:lineRule="auto"/>
              <w:ind w:left="58" w:right="10" w:hanging="3"/>
              <w:rPr>
                <w:sz w:val="22"/>
                <w:szCs w:val="22"/>
              </w:rPr>
            </w:pPr>
            <w:r>
              <w:rPr>
                <w:rFonts w:ascii="Times New Roman" w:hAnsi="Times New Roman" w:eastAsia="Times New Roman" w:cs="Times New Roman"/>
                <w:spacing w:val="-5"/>
                <w:sz w:val="22"/>
                <w:szCs w:val="22"/>
              </w:rPr>
              <w:t>2</w:t>
            </w:r>
            <w:r>
              <w:rPr>
                <w:spacing w:val="-5"/>
                <w:sz w:val="22"/>
                <w:szCs w:val="22"/>
              </w:rPr>
              <w:t>）储罐附件开口（孔</w:t>
            </w:r>
            <w:r>
              <w:rPr>
                <w:spacing w:val="16"/>
                <w:sz w:val="22"/>
                <w:szCs w:val="22"/>
              </w:rPr>
              <w:t>），</w:t>
            </w:r>
            <w:r>
              <w:rPr>
                <w:spacing w:val="-5"/>
                <w:sz w:val="22"/>
                <w:szCs w:val="22"/>
              </w:rPr>
              <w:t>除采样、</w:t>
            </w:r>
            <w:r>
              <w:rPr>
                <w:spacing w:val="1"/>
                <w:sz w:val="22"/>
                <w:szCs w:val="22"/>
              </w:rPr>
              <w:t>计量、例行检查、维护和其它正常</w:t>
            </w:r>
            <w:r>
              <w:rPr>
                <w:spacing w:val="-1"/>
                <w:sz w:val="22"/>
                <w:szCs w:val="22"/>
              </w:rPr>
              <w:t>活动外，应密闭；</w:t>
            </w:r>
          </w:p>
          <w:p w14:paraId="6E0FB794">
            <w:pPr>
              <w:pStyle w:val="6"/>
              <w:spacing w:line="218" w:lineRule="auto"/>
              <w:ind w:left="63" w:right="50" w:hanging="3"/>
              <w:rPr>
                <w:sz w:val="22"/>
                <w:szCs w:val="22"/>
              </w:rPr>
            </w:pPr>
            <w:r>
              <w:rPr>
                <w:rFonts w:ascii="Times New Roman" w:hAnsi="Times New Roman" w:eastAsia="Times New Roman" w:cs="Times New Roman"/>
                <w:spacing w:val="-6"/>
                <w:sz w:val="22"/>
                <w:szCs w:val="22"/>
              </w:rPr>
              <w:t>3</w:t>
            </w:r>
            <w:r>
              <w:rPr>
                <w:spacing w:val="-6"/>
                <w:sz w:val="22"/>
                <w:szCs w:val="22"/>
              </w:rPr>
              <w:t>）定期检查呼吸阀的定压是否符合</w:t>
            </w:r>
            <w:r>
              <w:rPr>
                <w:spacing w:val="-3"/>
                <w:sz w:val="22"/>
                <w:szCs w:val="22"/>
              </w:rPr>
              <w:t>设定要求</w:t>
            </w:r>
          </w:p>
        </w:tc>
        <w:tc>
          <w:tcPr>
            <w:tcW w:w="2804" w:type="dxa"/>
            <w:vAlign w:val="top"/>
          </w:tcPr>
          <w:p w14:paraId="3FEAA447">
            <w:pPr>
              <w:spacing w:line="254" w:lineRule="auto"/>
              <w:rPr>
                <w:rFonts w:ascii="Arial"/>
                <w:sz w:val="21"/>
              </w:rPr>
            </w:pPr>
          </w:p>
          <w:p w14:paraId="1EB44EA8">
            <w:pPr>
              <w:pStyle w:val="6"/>
              <w:spacing w:before="71" w:line="239" w:lineRule="auto"/>
              <w:ind w:left="85" w:right="46" w:hanging="19"/>
              <w:rPr>
                <w:sz w:val="22"/>
                <w:szCs w:val="22"/>
              </w:rPr>
            </w:pPr>
            <w:r>
              <w:rPr>
                <w:spacing w:val="3"/>
                <w:sz w:val="22"/>
                <w:szCs w:val="22"/>
              </w:rPr>
              <w:t>本项目储油罐密封良好，其</w:t>
            </w:r>
            <w:r>
              <w:rPr>
                <w:spacing w:val="-15"/>
                <w:sz w:val="22"/>
                <w:szCs w:val="22"/>
              </w:rPr>
              <w:t>中：</w:t>
            </w:r>
          </w:p>
          <w:p w14:paraId="29E56757">
            <w:pPr>
              <w:pStyle w:val="6"/>
              <w:spacing w:line="220" w:lineRule="auto"/>
              <w:jc w:val="right"/>
              <w:rPr>
                <w:sz w:val="22"/>
                <w:szCs w:val="22"/>
              </w:rPr>
            </w:pPr>
            <w:r>
              <w:rPr>
                <w:rFonts w:ascii="Times New Roman" w:hAnsi="Times New Roman" w:eastAsia="Times New Roman" w:cs="Times New Roman"/>
                <w:spacing w:val="-19"/>
                <w:sz w:val="22"/>
                <w:szCs w:val="22"/>
              </w:rPr>
              <w:t>1</w:t>
            </w:r>
            <w:r>
              <w:rPr>
                <w:spacing w:val="-19"/>
                <w:sz w:val="22"/>
                <w:szCs w:val="22"/>
              </w:rPr>
              <w:t>）储油罐保持完好，无缝隙；</w:t>
            </w:r>
          </w:p>
          <w:p w14:paraId="065937BD">
            <w:pPr>
              <w:pStyle w:val="6"/>
              <w:spacing w:before="22"/>
              <w:ind w:left="64" w:right="46" w:hanging="3"/>
              <w:rPr>
                <w:sz w:val="22"/>
                <w:szCs w:val="22"/>
              </w:rPr>
            </w:pPr>
            <w:r>
              <w:rPr>
                <w:rFonts w:ascii="Times New Roman" w:hAnsi="Times New Roman" w:eastAsia="Times New Roman" w:cs="Times New Roman"/>
                <w:spacing w:val="-5"/>
                <w:sz w:val="22"/>
                <w:szCs w:val="22"/>
              </w:rPr>
              <w:t>2</w:t>
            </w:r>
            <w:r>
              <w:rPr>
                <w:spacing w:val="-5"/>
                <w:sz w:val="22"/>
                <w:szCs w:val="22"/>
              </w:rPr>
              <w:t>）储油罐阀门仅在采样、计</w:t>
            </w:r>
            <w:r>
              <w:rPr>
                <w:spacing w:val="3"/>
                <w:sz w:val="22"/>
                <w:szCs w:val="22"/>
              </w:rPr>
              <w:t>量、检查、维护等情况下打</w:t>
            </w:r>
            <w:r>
              <w:rPr>
                <w:spacing w:val="-6"/>
                <w:sz w:val="22"/>
                <w:szCs w:val="22"/>
              </w:rPr>
              <w:t>开，</w:t>
            </w:r>
            <w:r>
              <w:rPr>
                <w:spacing w:val="-60"/>
                <w:sz w:val="22"/>
                <w:szCs w:val="22"/>
              </w:rPr>
              <w:t xml:space="preserve"> </w:t>
            </w:r>
            <w:r>
              <w:rPr>
                <w:spacing w:val="-6"/>
                <w:sz w:val="22"/>
                <w:szCs w:val="22"/>
              </w:rPr>
              <w:t>日常状态下关闭；</w:t>
            </w:r>
          </w:p>
          <w:p w14:paraId="5D4CBB82">
            <w:pPr>
              <w:pStyle w:val="6"/>
              <w:spacing w:line="242" w:lineRule="auto"/>
              <w:ind w:left="70" w:right="46" w:hanging="4"/>
              <w:rPr>
                <w:sz w:val="22"/>
                <w:szCs w:val="22"/>
              </w:rPr>
            </w:pPr>
            <w:r>
              <w:rPr>
                <w:rFonts w:ascii="Times New Roman" w:hAnsi="Times New Roman" w:eastAsia="Times New Roman" w:cs="Times New Roman"/>
                <w:spacing w:val="-5"/>
                <w:sz w:val="22"/>
                <w:szCs w:val="22"/>
              </w:rPr>
              <w:t>3</w:t>
            </w:r>
            <w:r>
              <w:rPr>
                <w:spacing w:val="-5"/>
                <w:sz w:val="22"/>
                <w:szCs w:val="22"/>
              </w:rPr>
              <w:t>）每年定期检查油气回收系</w:t>
            </w:r>
            <w:r>
              <w:rPr>
                <w:sz w:val="22"/>
                <w:szCs w:val="22"/>
              </w:rPr>
              <w:t>统</w:t>
            </w:r>
          </w:p>
        </w:tc>
        <w:tc>
          <w:tcPr>
            <w:tcW w:w="589" w:type="dxa"/>
            <w:vAlign w:val="top"/>
          </w:tcPr>
          <w:p w14:paraId="520B1BD3">
            <w:pPr>
              <w:spacing w:line="248" w:lineRule="auto"/>
              <w:rPr>
                <w:rFonts w:ascii="Arial"/>
                <w:sz w:val="21"/>
              </w:rPr>
            </w:pPr>
          </w:p>
          <w:p w14:paraId="10F91C25">
            <w:pPr>
              <w:spacing w:line="249" w:lineRule="auto"/>
              <w:rPr>
                <w:rFonts w:ascii="Arial"/>
                <w:sz w:val="21"/>
              </w:rPr>
            </w:pPr>
          </w:p>
          <w:p w14:paraId="7093DCC2">
            <w:pPr>
              <w:spacing w:line="249" w:lineRule="auto"/>
              <w:rPr>
                <w:rFonts w:ascii="Arial"/>
                <w:sz w:val="21"/>
              </w:rPr>
            </w:pPr>
          </w:p>
          <w:p w14:paraId="2F9B3E30">
            <w:pPr>
              <w:spacing w:line="249" w:lineRule="auto"/>
              <w:rPr>
                <w:rFonts w:ascii="Arial"/>
                <w:sz w:val="21"/>
              </w:rPr>
            </w:pPr>
          </w:p>
          <w:p w14:paraId="2DECD5F1">
            <w:pPr>
              <w:spacing w:line="249" w:lineRule="auto"/>
              <w:rPr>
                <w:rFonts w:ascii="Arial"/>
                <w:sz w:val="21"/>
              </w:rPr>
            </w:pPr>
          </w:p>
          <w:p w14:paraId="0C10A283">
            <w:pPr>
              <w:pStyle w:val="6"/>
              <w:spacing w:before="72" w:line="220" w:lineRule="auto"/>
              <w:ind w:left="71"/>
              <w:rPr>
                <w:sz w:val="22"/>
                <w:szCs w:val="22"/>
              </w:rPr>
            </w:pPr>
            <w:r>
              <w:rPr>
                <w:spacing w:val="-5"/>
                <w:sz w:val="22"/>
                <w:szCs w:val="22"/>
              </w:rPr>
              <w:t>符合</w:t>
            </w:r>
          </w:p>
        </w:tc>
        <w:tc>
          <w:tcPr>
            <w:tcW w:w="123" w:type="dxa"/>
            <w:tcBorders>
              <w:top w:val="nil"/>
              <w:bottom w:val="nil"/>
              <w:right w:val="single" w:color="000000" w:sz="6" w:space="0"/>
            </w:tcBorders>
            <w:vAlign w:val="top"/>
          </w:tcPr>
          <w:p w14:paraId="0B6FD854">
            <w:pPr>
              <w:rPr>
                <w:rFonts w:ascii="Arial"/>
                <w:sz w:val="21"/>
              </w:rPr>
            </w:pPr>
          </w:p>
        </w:tc>
      </w:tr>
      <w:tr w14:paraId="14678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3" w:hRule="atLeast"/>
        </w:trPr>
        <w:tc>
          <w:tcPr>
            <w:tcW w:w="1400" w:type="dxa"/>
            <w:vMerge w:val="continue"/>
            <w:tcBorders>
              <w:top w:val="nil"/>
              <w:left w:val="single" w:color="000000" w:sz="6" w:space="0"/>
              <w:bottom w:val="single" w:color="000000" w:sz="6" w:space="0"/>
            </w:tcBorders>
            <w:vAlign w:val="top"/>
          </w:tcPr>
          <w:p w14:paraId="5A802DC3">
            <w:pPr>
              <w:rPr>
                <w:rFonts w:ascii="Arial"/>
                <w:sz w:val="21"/>
              </w:rPr>
            </w:pPr>
          </w:p>
        </w:tc>
        <w:tc>
          <w:tcPr>
            <w:tcW w:w="113" w:type="dxa"/>
            <w:tcBorders>
              <w:top w:val="nil"/>
              <w:bottom w:val="single" w:color="000000" w:sz="6" w:space="0"/>
            </w:tcBorders>
            <w:vAlign w:val="top"/>
          </w:tcPr>
          <w:p w14:paraId="0DDE44FE">
            <w:pPr>
              <w:rPr>
                <w:rFonts w:ascii="Arial"/>
                <w:sz w:val="21"/>
              </w:rPr>
            </w:pPr>
          </w:p>
        </w:tc>
        <w:tc>
          <w:tcPr>
            <w:tcW w:w="400" w:type="dxa"/>
            <w:tcBorders>
              <w:bottom w:val="single" w:color="000000" w:sz="6" w:space="0"/>
            </w:tcBorders>
            <w:vAlign w:val="top"/>
          </w:tcPr>
          <w:p w14:paraId="2FDF084F">
            <w:pPr>
              <w:spacing w:line="288" w:lineRule="auto"/>
              <w:rPr>
                <w:rFonts w:ascii="Arial"/>
                <w:sz w:val="21"/>
              </w:rPr>
            </w:pPr>
          </w:p>
          <w:p w14:paraId="4FC08E87">
            <w:pPr>
              <w:spacing w:line="288" w:lineRule="auto"/>
              <w:rPr>
                <w:rFonts w:ascii="Arial"/>
                <w:sz w:val="21"/>
              </w:rPr>
            </w:pPr>
          </w:p>
          <w:p w14:paraId="50EC1ABC">
            <w:pPr>
              <w:spacing w:line="288" w:lineRule="auto"/>
              <w:rPr>
                <w:rFonts w:ascii="Arial"/>
                <w:sz w:val="21"/>
              </w:rPr>
            </w:pPr>
          </w:p>
          <w:p w14:paraId="5AAFFB53">
            <w:pPr>
              <w:spacing w:line="289" w:lineRule="auto"/>
              <w:rPr>
                <w:rFonts w:ascii="Arial"/>
                <w:sz w:val="21"/>
              </w:rPr>
            </w:pPr>
          </w:p>
          <w:p w14:paraId="04D5B170">
            <w:pPr>
              <w:spacing w:before="63" w:line="189" w:lineRule="auto"/>
              <w:ind w:left="59"/>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3445" w:type="dxa"/>
            <w:tcBorders>
              <w:bottom w:val="single" w:color="000000" w:sz="6" w:space="0"/>
            </w:tcBorders>
            <w:vAlign w:val="top"/>
          </w:tcPr>
          <w:p w14:paraId="630899B6">
            <w:pPr>
              <w:pStyle w:val="6"/>
              <w:spacing w:before="45" w:line="239" w:lineRule="auto"/>
              <w:ind w:left="58" w:right="45"/>
              <w:rPr>
                <w:sz w:val="22"/>
                <w:szCs w:val="22"/>
              </w:rPr>
            </w:pPr>
            <w:r>
              <w:rPr>
                <w:spacing w:val="2"/>
                <w:sz w:val="22"/>
                <w:szCs w:val="22"/>
              </w:rPr>
              <w:t>在油类（燃油、溶剂等）的储存、</w:t>
            </w:r>
            <w:r>
              <w:rPr>
                <w:spacing w:val="1"/>
                <w:sz w:val="22"/>
                <w:szCs w:val="22"/>
              </w:rPr>
              <w:t>运输和销售过程中的</w:t>
            </w:r>
            <w:r>
              <w:rPr>
                <w:spacing w:val="-50"/>
                <w:sz w:val="22"/>
                <w:szCs w:val="22"/>
              </w:rPr>
              <w:t xml:space="preserve"> </w:t>
            </w:r>
            <w:r>
              <w:rPr>
                <w:rFonts w:ascii="Times New Roman" w:hAnsi="Times New Roman" w:eastAsia="Times New Roman" w:cs="Times New Roman"/>
                <w:sz w:val="22"/>
                <w:szCs w:val="22"/>
              </w:rPr>
              <w:t>VOCs</w:t>
            </w:r>
            <w:r>
              <w:rPr>
                <w:rFonts w:ascii="Times New Roman" w:hAnsi="Times New Roman" w:eastAsia="Times New Roman" w:cs="Times New Roman"/>
                <w:spacing w:val="16"/>
                <w:w w:val="101"/>
                <w:sz w:val="22"/>
                <w:szCs w:val="22"/>
              </w:rPr>
              <w:t xml:space="preserve"> </w:t>
            </w:r>
            <w:r>
              <w:rPr>
                <w:spacing w:val="1"/>
                <w:sz w:val="22"/>
                <w:szCs w:val="22"/>
              </w:rPr>
              <w:t>污染防</w:t>
            </w:r>
            <w:r>
              <w:rPr>
                <w:spacing w:val="-4"/>
                <w:sz w:val="22"/>
                <w:szCs w:val="22"/>
              </w:rPr>
              <w:t>治技术措施包括：</w:t>
            </w:r>
          </w:p>
          <w:p w14:paraId="5DCD7B5D">
            <w:pPr>
              <w:pStyle w:val="6"/>
              <w:spacing w:before="2" w:line="239" w:lineRule="auto"/>
              <w:ind w:left="59" w:right="48" w:firstLine="17"/>
              <w:rPr>
                <w:sz w:val="22"/>
                <w:szCs w:val="22"/>
              </w:rPr>
            </w:pPr>
            <w:r>
              <w:rPr>
                <w:rFonts w:ascii="Times New Roman" w:hAnsi="Times New Roman" w:eastAsia="Times New Roman" w:cs="Times New Roman"/>
                <w:spacing w:val="-9"/>
                <w:sz w:val="22"/>
                <w:szCs w:val="22"/>
              </w:rPr>
              <w:t>1.</w:t>
            </w:r>
            <w:r>
              <w:rPr>
                <w:spacing w:val="-9"/>
                <w:sz w:val="22"/>
                <w:szCs w:val="22"/>
              </w:rPr>
              <w:t>储油库、加油站和油罐车宜配备相</w:t>
            </w:r>
            <w:r>
              <w:rPr>
                <w:spacing w:val="2"/>
                <w:sz w:val="22"/>
                <w:szCs w:val="22"/>
              </w:rPr>
              <w:t>应的油气收集系统，储油库、加油</w:t>
            </w:r>
            <w:r>
              <w:rPr>
                <w:spacing w:val="-4"/>
                <w:sz w:val="22"/>
                <w:szCs w:val="22"/>
              </w:rPr>
              <w:t>站宜配备相应的油气回收系统；</w:t>
            </w:r>
          </w:p>
          <w:p w14:paraId="658EBC04">
            <w:pPr>
              <w:pStyle w:val="6"/>
              <w:spacing w:before="3" w:line="233" w:lineRule="auto"/>
              <w:ind w:left="60" w:right="48" w:hanging="5"/>
              <w:rPr>
                <w:sz w:val="22"/>
                <w:szCs w:val="22"/>
              </w:rPr>
            </w:pPr>
            <w:r>
              <w:rPr>
                <w:rFonts w:ascii="Times New Roman" w:hAnsi="Times New Roman" w:eastAsia="Times New Roman" w:cs="Times New Roman"/>
                <w:spacing w:val="-8"/>
                <w:sz w:val="22"/>
                <w:szCs w:val="22"/>
              </w:rPr>
              <w:t>2.</w:t>
            </w:r>
            <w:r>
              <w:rPr>
                <w:spacing w:val="-8"/>
                <w:sz w:val="22"/>
                <w:szCs w:val="22"/>
              </w:rPr>
              <w:t>油类（燃油、溶剂等）储罐宜采用</w:t>
            </w:r>
            <w:r>
              <w:rPr>
                <w:spacing w:val="2"/>
                <w:sz w:val="22"/>
                <w:szCs w:val="22"/>
              </w:rPr>
              <w:t>高效密封的内（外）浮顶罐，当采用固定顶罐时，通过密闭排气系统</w:t>
            </w:r>
          </w:p>
        </w:tc>
        <w:tc>
          <w:tcPr>
            <w:tcW w:w="2804" w:type="dxa"/>
            <w:tcBorders>
              <w:bottom w:val="single" w:color="000000" w:sz="6" w:space="0"/>
            </w:tcBorders>
            <w:vAlign w:val="top"/>
          </w:tcPr>
          <w:p w14:paraId="2FAEF1D2">
            <w:pPr>
              <w:spacing w:line="254" w:lineRule="auto"/>
              <w:rPr>
                <w:rFonts w:ascii="Arial"/>
                <w:sz w:val="21"/>
              </w:rPr>
            </w:pPr>
          </w:p>
          <w:p w14:paraId="668F5F79">
            <w:pPr>
              <w:pStyle w:val="6"/>
              <w:spacing w:before="72"/>
              <w:ind w:left="65"/>
              <w:jc w:val="both"/>
              <w:rPr>
                <w:sz w:val="22"/>
                <w:szCs w:val="22"/>
              </w:rPr>
            </w:pPr>
            <w:r>
              <w:rPr>
                <w:spacing w:val="-7"/>
                <w:sz w:val="22"/>
                <w:szCs w:val="22"/>
              </w:rPr>
              <w:t>本项目储油罐均为埋地式</w:t>
            </w:r>
            <w:r>
              <w:rPr>
                <w:spacing w:val="-56"/>
                <w:sz w:val="22"/>
                <w:szCs w:val="22"/>
              </w:rPr>
              <w:t xml:space="preserve"> </w:t>
            </w:r>
            <w:r>
              <w:rPr>
                <w:rFonts w:ascii="Times New Roman" w:hAnsi="Times New Roman" w:eastAsia="Times New Roman" w:cs="Times New Roman"/>
                <w:spacing w:val="-7"/>
                <w:sz w:val="22"/>
                <w:szCs w:val="22"/>
              </w:rPr>
              <w:t>FF</w:t>
            </w:r>
            <w:r>
              <w:rPr>
                <w:spacing w:val="1"/>
                <w:sz w:val="22"/>
                <w:szCs w:val="22"/>
              </w:rPr>
              <w:t>双层储罐，项目设置有一次卸油油气回收系统、二次加油油气回收系统及三次储油</w:t>
            </w:r>
            <w:r>
              <w:rPr>
                <w:spacing w:val="-10"/>
                <w:sz w:val="22"/>
                <w:szCs w:val="22"/>
              </w:rPr>
              <w:t>油罐油气回收系统，对卸油、</w:t>
            </w:r>
            <w:r>
              <w:rPr>
                <w:spacing w:val="1"/>
                <w:sz w:val="22"/>
                <w:szCs w:val="22"/>
              </w:rPr>
              <w:t>加油、储油过程产生的油气</w:t>
            </w:r>
            <w:r>
              <w:rPr>
                <w:spacing w:val="-6"/>
                <w:sz w:val="22"/>
                <w:szCs w:val="22"/>
              </w:rPr>
              <w:t>（</w:t>
            </w:r>
            <w:r>
              <w:rPr>
                <w:rFonts w:ascii="Times New Roman" w:hAnsi="Times New Roman" w:eastAsia="Times New Roman" w:cs="Times New Roman"/>
                <w:spacing w:val="-6"/>
                <w:sz w:val="22"/>
                <w:szCs w:val="22"/>
              </w:rPr>
              <w:t>VOCs</w:t>
            </w:r>
            <w:r>
              <w:rPr>
                <w:spacing w:val="-6"/>
                <w:sz w:val="22"/>
                <w:szCs w:val="22"/>
              </w:rPr>
              <w:t>）进行回收利用</w:t>
            </w:r>
          </w:p>
        </w:tc>
        <w:tc>
          <w:tcPr>
            <w:tcW w:w="589" w:type="dxa"/>
            <w:tcBorders>
              <w:bottom w:val="single" w:color="000000" w:sz="6" w:space="0"/>
            </w:tcBorders>
            <w:vAlign w:val="top"/>
          </w:tcPr>
          <w:p w14:paraId="5D8B6828">
            <w:pPr>
              <w:spacing w:line="276" w:lineRule="auto"/>
              <w:rPr>
                <w:rFonts w:ascii="Arial"/>
                <w:sz w:val="21"/>
              </w:rPr>
            </w:pPr>
          </w:p>
          <w:p w14:paraId="35788EBE">
            <w:pPr>
              <w:spacing w:line="277" w:lineRule="auto"/>
              <w:rPr>
                <w:rFonts w:ascii="Arial"/>
                <w:sz w:val="21"/>
              </w:rPr>
            </w:pPr>
          </w:p>
          <w:p w14:paraId="3669AEB1">
            <w:pPr>
              <w:spacing w:line="277" w:lineRule="auto"/>
              <w:rPr>
                <w:rFonts w:ascii="Arial"/>
                <w:sz w:val="21"/>
              </w:rPr>
            </w:pPr>
          </w:p>
          <w:p w14:paraId="1A47E38B">
            <w:pPr>
              <w:spacing w:line="277" w:lineRule="auto"/>
              <w:rPr>
                <w:rFonts w:ascii="Arial"/>
                <w:sz w:val="21"/>
              </w:rPr>
            </w:pPr>
          </w:p>
          <w:p w14:paraId="3BAF3C90">
            <w:pPr>
              <w:pStyle w:val="6"/>
              <w:spacing w:before="71" w:line="220" w:lineRule="auto"/>
              <w:ind w:left="71"/>
              <w:rPr>
                <w:sz w:val="22"/>
                <w:szCs w:val="22"/>
              </w:rPr>
            </w:pPr>
            <w:r>
              <w:rPr>
                <w:spacing w:val="-5"/>
                <w:sz w:val="22"/>
                <w:szCs w:val="22"/>
              </w:rPr>
              <w:t>符合</w:t>
            </w:r>
          </w:p>
        </w:tc>
        <w:tc>
          <w:tcPr>
            <w:tcW w:w="123" w:type="dxa"/>
            <w:tcBorders>
              <w:top w:val="nil"/>
              <w:bottom w:val="single" w:color="000000" w:sz="6" w:space="0"/>
              <w:right w:val="single" w:color="000000" w:sz="6" w:space="0"/>
            </w:tcBorders>
            <w:vAlign w:val="top"/>
          </w:tcPr>
          <w:p w14:paraId="0D532A67">
            <w:pPr>
              <w:rPr>
                <w:rFonts w:ascii="Arial"/>
                <w:sz w:val="21"/>
              </w:rPr>
            </w:pPr>
          </w:p>
        </w:tc>
      </w:tr>
    </w:tbl>
    <w:p w14:paraId="63BE700F">
      <w:pPr>
        <w:pStyle w:val="2"/>
        <w:rPr>
          <w:sz w:val="21"/>
        </w:rPr>
      </w:pPr>
    </w:p>
    <w:p w14:paraId="0A3E4BE8">
      <w:pPr>
        <w:rPr>
          <w:sz w:val="21"/>
          <w:szCs w:val="21"/>
        </w:rPr>
        <w:sectPr>
          <w:footerReference r:id="rId11" w:type="default"/>
          <w:pgSz w:w="11906" w:h="16839"/>
          <w:pgMar w:top="400" w:right="1508" w:bottom="1231" w:left="1508" w:header="0" w:footer="1003" w:gutter="0"/>
          <w:cols w:space="720" w:num="1"/>
        </w:sectPr>
      </w:pPr>
    </w:p>
    <w:p w14:paraId="0E48456F">
      <w:pPr>
        <w:spacing w:before="19"/>
      </w:pPr>
    </w:p>
    <w:p w14:paraId="56747D41">
      <w:pPr>
        <w:spacing w:before="19"/>
      </w:pPr>
    </w:p>
    <w:p w14:paraId="7DA48EDE">
      <w:pPr>
        <w:spacing w:before="19"/>
      </w:pPr>
    </w:p>
    <w:p w14:paraId="65891B5A">
      <w:pPr>
        <w:spacing w:before="18"/>
      </w:pPr>
    </w:p>
    <w:p w14:paraId="3873B0AD">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113"/>
        <w:gridCol w:w="400"/>
        <w:gridCol w:w="3445"/>
        <w:gridCol w:w="2804"/>
        <w:gridCol w:w="589"/>
        <w:gridCol w:w="123"/>
      </w:tblGrid>
      <w:tr w14:paraId="15454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0" w:hRule="atLeast"/>
        </w:trPr>
        <w:tc>
          <w:tcPr>
            <w:tcW w:w="1400" w:type="dxa"/>
            <w:vMerge w:val="restart"/>
            <w:tcBorders>
              <w:top w:val="single" w:color="000000" w:sz="6" w:space="0"/>
              <w:left w:val="single" w:color="000000" w:sz="6" w:space="0"/>
              <w:bottom w:val="nil"/>
            </w:tcBorders>
            <w:vAlign w:val="top"/>
          </w:tcPr>
          <w:p w14:paraId="714223CE">
            <w:pPr>
              <w:rPr>
                <w:rFonts w:ascii="Arial"/>
                <w:sz w:val="21"/>
              </w:rPr>
            </w:pPr>
          </w:p>
        </w:tc>
        <w:tc>
          <w:tcPr>
            <w:tcW w:w="113" w:type="dxa"/>
            <w:tcBorders>
              <w:top w:val="single" w:color="000000" w:sz="6" w:space="0"/>
              <w:bottom w:val="nil"/>
            </w:tcBorders>
            <w:vAlign w:val="top"/>
          </w:tcPr>
          <w:p w14:paraId="22E75377">
            <w:pPr>
              <w:rPr>
                <w:rFonts w:ascii="Arial"/>
                <w:sz w:val="21"/>
              </w:rPr>
            </w:pPr>
          </w:p>
        </w:tc>
        <w:tc>
          <w:tcPr>
            <w:tcW w:w="400" w:type="dxa"/>
            <w:tcBorders>
              <w:top w:val="single" w:color="000000" w:sz="6" w:space="0"/>
            </w:tcBorders>
            <w:vAlign w:val="top"/>
          </w:tcPr>
          <w:p w14:paraId="792F92A3">
            <w:pPr>
              <w:rPr>
                <w:rFonts w:ascii="Arial"/>
                <w:sz w:val="21"/>
              </w:rPr>
            </w:pPr>
          </w:p>
        </w:tc>
        <w:tc>
          <w:tcPr>
            <w:tcW w:w="3445" w:type="dxa"/>
            <w:tcBorders>
              <w:top w:val="single" w:color="000000" w:sz="6" w:space="0"/>
            </w:tcBorders>
            <w:vAlign w:val="top"/>
          </w:tcPr>
          <w:p w14:paraId="54D42851">
            <w:pPr>
              <w:pStyle w:val="6"/>
              <w:spacing w:before="46" w:line="220" w:lineRule="auto"/>
              <w:ind w:left="57"/>
              <w:rPr>
                <w:sz w:val="22"/>
                <w:szCs w:val="22"/>
              </w:rPr>
            </w:pPr>
            <w:r>
              <w:rPr>
                <w:sz w:val="22"/>
                <w:szCs w:val="22"/>
              </w:rPr>
              <w:t>将含</w:t>
            </w:r>
            <w:r>
              <w:rPr>
                <w:spacing w:val="-57"/>
                <w:sz w:val="22"/>
                <w:szCs w:val="22"/>
              </w:rPr>
              <w:t xml:space="preserve"> </w:t>
            </w:r>
            <w:r>
              <w:rPr>
                <w:rFonts w:ascii="Times New Roman" w:hAnsi="Times New Roman" w:eastAsia="Times New Roman" w:cs="Times New Roman"/>
                <w:sz w:val="22"/>
                <w:szCs w:val="22"/>
              </w:rPr>
              <w:t>VOCs</w:t>
            </w:r>
            <w:r>
              <w:rPr>
                <w:sz w:val="22"/>
                <w:szCs w:val="22"/>
              </w:rPr>
              <w:t>气体输送至回收设备；</w:t>
            </w:r>
          </w:p>
          <w:p w14:paraId="722F8A45">
            <w:pPr>
              <w:pStyle w:val="6"/>
              <w:spacing w:before="22" w:line="233" w:lineRule="auto"/>
              <w:ind w:left="58" w:right="45" w:firstLine="1"/>
              <w:jc w:val="both"/>
              <w:rPr>
                <w:sz w:val="22"/>
                <w:szCs w:val="22"/>
              </w:rPr>
            </w:pPr>
            <w:r>
              <w:rPr>
                <w:rFonts w:ascii="Times New Roman" w:hAnsi="Times New Roman" w:eastAsia="Times New Roman" w:cs="Times New Roman"/>
                <w:spacing w:val="-20"/>
                <w:sz w:val="22"/>
                <w:szCs w:val="22"/>
              </w:rPr>
              <w:t>3.</w:t>
            </w:r>
            <w:r>
              <w:rPr>
                <w:spacing w:val="-20"/>
                <w:sz w:val="22"/>
                <w:szCs w:val="22"/>
              </w:rPr>
              <w:t>油类（燃油、溶剂等）运载工具（汽</w:t>
            </w:r>
            <w:r>
              <w:rPr>
                <w:spacing w:val="1"/>
                <w:sz w:val="22"/>
                <w:szCs w:val="22"/>
              </w:rPr>
              <w:t>车油罐车、铁路油槽车、油轮等）在装载过程中排放的</w:t>
            </w:r>
            <w:r>
              <w:rPr>
                <w:spacing w:val="-48"/>
                <w:sz w:val="22"/>
                <w:szCs w:val="22"/>
              </w:rPr>
              <w:t xml:space="preserve"> </w:t>
            </w:r>
            <w:r>
              <w:rPr>
                <w:rFonts w:ascii="Times New Roman" w:hAnsi="Times New Roman" w:eastAsia="Times New Roman" w:cs="Times New Roman"/>
                <w:sz w:val="22"/>
                <w:szCs w:val="22"/>
              </w:rPr>
              <w:t>VOCs</w:t>
            </w:r>
            <w:r>
              <w:rPr>
                <w:rFonts w:ascii="Times New Roman" w:hAnsi="Times New Roman" w:eastAsia="Times New Roman" w:cs="Times New Roman"/>
                <w:spacing w:val="15"/>
                <w:sz w:val="22"/>
                <w:szCs w:val="22"/>
              </w:rPr>
              <w:t xml:space="preserve"> </w:t>
            </w:r>
            <w:r>
              <w:rPr>
                <w:spacing w:val="1"/>
                <w:sz w:val="22"/>
                <w:szCs w:val="22"/>
              </w:rPr>
              <w:t>密闭收</w:t>
            </w:r>
            <w:r>
              <w:rPr>
                <w:spacing w:val="2"/>
                <w:sz w:val="22"/>
                <w:szCs w:val="22"/>
              </w:rPr>
              <w:t>集输送至回收设备，也可返回储罐</w:t>
            </w:r>
            <w:r>
              <w:rPr>
                <w:spacing w:val="-4"/>
                <w:sz w:val="22"/>
                <w:szCs w:val="22"/>
              </w:rPr>
              <w:t>或送入气体管网</w:t>
            </w:r>
          </w:p>
        </w:tc>
        <w:tc>
          <w:tcPr>
            <w:tcW w:w="2804" w:type="dxa"/>
            <w:tcBorders>
              <w:top w:val="single" w:color="000000" w:sz="6" w:space="0"/>
            </w:tcBorders>
            <w:vAlign w:val="top"/>
          </w:tcPr>
          <w:p w14:paraId="4E65F875">
            <w:pPr>
              <w:rPr>
                <w:rFonts w:ascii="Arial"/>
                <w:sz w:val="21"/>
              </w:rPr>
            </w:pPr>
          </w:p>
        </w:tc>
        <w:tc>
          <w:tcPr>
            <w:tcW w:w="589" w:type="dxa"/>
            <w:tcBorders>
              <w:top w:val="single" w:color="000000" w:sz="6" w:space="0"/>
            </w:tcBorders>
            <w:vAlign w:val="top"/>
          </w:tcPr>
          <w:p w14:paraId="3A3A143F">
            <w:pPr>
              <w:rPr>
                <w:rFonts w:ascii="Arial"/>
                <w:sz w:val="21"/>
              </w:rPr>
            </w:pPr>
          </w:p>
        </w:tc>
        <w:tc>
          <w:tcPr>
            <w:tcW w:w="123" w:type="dxa"/>
            <w:tcBorders>
              <w:top w:val="single" w:color="000000" w:sz="6" w:space="0"/>
              <w:bottom w:val="nil"/>
              <w:right w:val="single" w:color="000000" w:sz="6" w:space="0"/>
            </w:tcBorders>
            <w:vAlign w:val="top"/>
          </w:tcPr>
          <w:p w14:paraId="721B8AF9">
            <w:pPr>
              <w:rPr>
                <w:rFonts w:ascii="Arial"/>
                <w:sz w:val="21"/>
              </w:rPr>
            </w:pPr>
          </w:p>
        </w:tc>
      </w:tr>
      <w:tr w14:paraId="7B55E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400" w:type="dxa"/>
            <w:vMerge w:val="continue"/>
            <w:tcBorders>
              <w:top w:val="nil"/>
              <w:left w:val="single" w:color="000000" w:sz="6" w:space="0"/>
              <w:bottom w:val="nil"/>
            </w:tcBorders>
            <w:vAlign w:val="top"/>
          </w:tcPr>
          <w:p w14:paraId="4BBC44AC">
            <w:pPr>
              <w:rPr>
                <w:rFonts w:ascii="Arial"/>
                <w:sz w:val="21"/>
              </w:rPr>
            </w:pPr>
          </w:p>
        </w:tc>
        <w:tc>
          <w:tcPr>
            <w:tcW w:w="113" w:type="dxa"/>
            <w:tcBorders>
              <w:top w:val="nil"/>
              <w:bottom w:val="nil"/>
            </w:tcBorders>
            <w:vAlign w:val="top"/>
          </w:tcPr>
          <w:p w14:paraId="10154C9D">
            <w:pPr>
              <w:rPr>
                <w:rFonts w:ascii="Arial"/>
                <w:sz w:val="21"/>
              </w:rPr>
            </w:pPr>
          </w:p>
        </w:tc>
        <w:tc>
          <w:tcPr>
            <w:tcW w:w="400" w:type="dxa"/>
            <w:vMerge w:val="restart"/>
            <w:tcBorders>
              <w:bottom w:val="nil"/>
            </w:tcBorders>
            <w:vAlign w:val="top"/>
          </w:tcPr>
          <w:p w14:paraId="639B1D76">
            <w:pPr>
              <w:spacing w:line="286" w:lineRule="auto"/>
              <w:rPr>
                <w:rFonts w:ascii="Arial"/>
                <w:sz w:val="21"/>
              </w:rPr>
            </w:pPr>
          </w:p>
          <w:p w14:paraId="106AE184">
            <w:pPr>
              <w:spacing w:line="287" w:lineRule="auto"/>
              <w:rPr>
                <w:rFonts w:ascii="Arial"/>
                <w:sz w:val="21"/>
              </w:rPr>
            </w:pPr>
          </w:p>
          <w:p w14:paraId="3A28682C">
            <w:pPr>
              <w:spacing w:line="287" w:lineRule="auto"/>
              <w:rPr>
                <w:rFonts w:ascii="Arial"/>
                <w:sz w:val="21"/>
              </w:rPr>
            </w:pPr>
          </w:p>
          <w:p w14:paraId="53CF9D1C">
            <w:pPr>
              <w:spacing w:line="287" w:lineRule="auto"/>
              <w:rPr>
                <w:rFonts w:ascii="Arial"/>
                <w:sz w:val="21"/>
              </w:rPr>
            </w:pPr>
          </w:p>
          <w:p w14:paraId="7AC479DB">
            <w:pPr>
              <w:spacing w:before="64" w:line="186" w:lineRule="auto"/>
              <w:ind w:left="58"/>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3445" w:type="dxa"/>
            <w:vAlign w:val="top"/>
          </w:tcPr>
          <w:p w14:paraId="323A7C95">
            <w:pPr>
              <w:pStyle w:val="6"/>
              <w:spacing w:before="32" w:line="194" w:lineRule="auto"/>
              <w:ind w:left="58" w:right="48" w:firstLine="2"/>
              <w:rPr>
                <w:sz w:val="22"/>
                <w:szCs w:val="22"/>
              </w:rPr>
            </w:pPr>
            <w:r>
              <w:rPr>
                <w:spacing w:val="-1"/>
                <w:sz w:val="22"/>
                <w:szCs w:val="22"/>
              </w:rPr>
              <w:t>鼓励</w:t>
            </w:r>
            <w:r>
              <w:rPr>
                <w:spacing w:val="-40"/>
                <w:sz w:val="22"/>
                <w:szCs w:val="22"/>
              </w:rPr>
              <w:t xml:space="preserve"> </w:t>
            </w:r>
            <w:r>
              <w:rPr>
                <w:rFonts w:ascii="Times New Roman" w:hAnsi="Times New Roman" w:eastAsia="Times New Roman" w:cs="Times New Roman"/>
                <w:spacing w:val="-1"/>
                <w:sz w:val="22"/>
                <w:szCs w:val="22"/>
              </w:rPr>
              <w:t>VOCs</w:t>
            </w:r>
            <w:r>
              <w:rPr>
                <w:rFonts w:ascii="Times New Roman" w:hAnsi="Times New Roman" w:eastAsia="Times New Roman" w:cs="Times New Roman"/>
                <w:spacing w:val="30"/>
                <w:sz w:val="22"/>
                <w:szCs w:val="22"/>
              </w:rPr>
              <w:t xml:space="preserve"> </w:t>
            </w:r>
            <w:r>
              <w:rPr>
                <w:spacing w:val="-1"/>
                <w:sz w:val="22"/>
                <w:szCs w:val="22"/>
              </w:rPr>
              <w:t>的回收利用，并优先鼓</w:t>
            </w:r>
            <w:r>
              <w:rPr>
                <w:spacing w:val="-4"/>
                <w:sz w:val="22"/>
                <w:szCs w:val="22"/>
              </w:rPr>
              <w:t>励在生产系统内回用</w:t>
            </w:r>
          </w:p>
        </w:tc>
        <w:tc>
          <w:tcPr>
            <w:tcW w:w="2804" w:type="dxa"/>
            <w:vMerge w:val="restart"/>
            <w:tcBorders>
              <w:bottom w:val="nil"/>
            </w:tcBorders>
            <w:vAlign w:val="top"/>
          </w:tcPr>
          <w:p w14:paraId="2EC1195D">
            <w:pPr>
              <w:spacing w:line="387" w:lineRule="auto"/>
              <w:rPr>
                <w:rFonts w:ascii="Arial"/>
                <w:sz w:val="21"/>
              </w:rPr>
            </w:pPr>
          </w:p>
          <w:p w14:paraId="57AB59D3">
            <w:pPr>
              <w:pStyle w:val="6"/>
              <w:spacing w:before="71" w:line="241" w:lineRule="auto"/>
              <w:ind w:left="65" w:right="46"/>
              <w:jc w:val="both"/>
              <w:rPr>
                <w:sz w:val="22"/>
                <w:szCs w:val="22"/>
              </w:rPr>
            </w:pPr>
            <w:r>
              <w:rPr>
                <w:spacing w:val="3"/>
                <w:sz w:val="22"/>
                <w:szCs w:val="22"/>
              </w:rPr>
              <w:t>汽油卸油、加油及储油过程中分别设置一次、二次和三次油气回收系统，其中三次</w:t>
            </w:r>
            <w:r>
              <w:rPr>
                <w:spacing w:val="9"/>
                <w:sz w:val="22"/>
                <w:szCs w:val="22"/>
              </w:rPr>
              <w:t>油气回收系统采用冷凝</w:t>
            </w:r>
            <w:r>
              <w:rPr>
                <w:rFonts w:ascii="Times New Roman" w:hAnsi="Times New Roman" w:eastAsia="Times New Roman" w:cs="Times New Roman"/>
                <w:spacing w:val="9"/>
                <w:sz w:val="22"/>
                <w:szCs w:val="22"/>
              </w:rPr>
              <w:t>+</w:t>
            </w:r>
            <w:r>
              <w:rPr>
                <w:rFonts w:ascii="Times New Roman" w:hAnsi="Times New Roman" w:eastAsia="Times New Roman" w:cs="Times New Roman"/>
                <w:spacing w:val="-23"/>
                <w:sz w:val="22"/>
                <w:szCs w:val="22"/>
              </w:rPr>
              <w:t xml:space="preserve"> </w:t>
            </w:r>
            <w:r>
              <w:rPr>
                <w:spacing w:val="9"/>
                <w:sz w:val="22"/>
                <w:szCs w:val="22"/>
              </w:rPr>
              <w:t>膜</w:t>
            </w:r>
            <w:r>
              <w:rPr>
                <w:spacing w:val="3"/>
                <w:sz w:val="22"/>
                <w:szCs w:val="22"/>
              </w:rPr>
              <w:t>分离等技术，均实现了回收</w:t>
            </w:r>
            <w:r>
              <w:rPr>
                <w:spacing w:val="-4"/>
                <w:sz w:val="22"/>
                <w:szCs w:val="22"/>
              </w:rPr>
              <w:t>利用</w:t>
            </w:r>
          </w:p>
        </w:tc>
        <w:tc>
          <w:tcPr>
            <w:tcW w:w="589" w:type="dxa"/>
            <w:vMerge w:val="restart"/>
            <w:tcBorders>
              <w:bottom w:val="nil"/>
            </w:tcBorders>
            <w:vAlign w:val="top"/>
          </w:tcPr>
          <w:p w14:paraId="18FC268C">
            <w:pPr>
              <w:spacing w:line="274" w:lineRule="auto"/>
              <w:rPr>
                <w:rFonts w:ascii="Arial"/>
                <w:sz w:val="21"/>
              </w:rPr>
            </w:pPr>
          </w:p>
          <w:p w14:paraId="663D2199">
            <w:pPr>
              <w:spacing w:line="274" w:lineRule="auto"/>
              <w:rPr>
                <w:rFonts w:ascii="Arial"/>
                <w:sz w:val="21"/>
              </w:rPr>
            </w:pPr>
          </w:p>
          <w:p w14:paraId="264BF5E4">
            <w:pPr>
              <w:spacing w:line="275" w:lineRule="auto"/>
              <w:rPr>
                <w:rFonts w:ascii="Arial"/>
                <w:sz w:val="21"/>
              </w:rPr>
            </w:pPr>
          </w:p>
          <w:p w14:paraId="41FB7710">
            <w:pPr>
              <w:spacing w:line="275" w:lineRule="auto"/>
              <w:rPr>
                <w:rFonts w:ascii="Arial"/>
                <w:sz w:val="21"/>
              </w:rPr>
            </w:pPr>
          </w:p>
          <w:p w14:paraId="6D0A94EF">
            <w:pPr>
              <w:pStyle w:val="6"/>
              <w:spacing w:before="72" w:line="220" w:lineRule="auto"/>
              <w:ind w:left="71"/>
              <w:rPr>
                <w:sz w:val="22"/>
                <w:szCs w:val="22"/>
              </w:rPr>
            </w:pPr>
            <w:r>
              <w:rPr>
                <w:spacing w:val="-5"/>
                <w:sz w:val="22"/>
                <w:szCs w:val="22"/>
              </w:rPr>
              <w:t>符合</w:t>
            </w:r>
          </w:p>
        </w:tc>
        <w:tc>
          <w:tcPr>
            <w:tcW w:w="123" w:type="dxa"/>
            <w:tcBorders>
              <w:top w:val="nil"/>
              <w:bottom w:val="nil"/>
              <w:right w:val="single" w:color="000000" w:sz="6" w:space="0"/>
            </w:tcBorders>
            <w:vAlign w:val="top"/>
          </w:tcPr>
          <w:p w14:paraId="574C03D8">
            <w:pPr>
              <w:rPr>
                <w:rFonts w:ascii="Arial"/>
                <w:sz w:val="21"/>
              </w:rPr>
            </w:pPr>
          </w:p>
        </w:tc>
      </w:tr>
      <w:tr w14:paraId="1D67E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0" w:hRule="atLeast"/>
        </w:trPr>
        <w:tc>
          <w:tcPr>
            <w:tcW w:w="1400" w:type="dxa"/>
            <w:vMerge w:val="continue"/>
            <w:tcBorders>
              <w:top w:val="nil"/>
              <w:left w:val="single" w:color="000000" w:sz="6" w:space="0"/>
              <w:bottom w:val="nil"/>
            </w:tcBorders>
            <w:vAlign w:val="top"/>
          </w:tcPr>
          <w:p w14:paraId="50BC41D7">
            <w:pPr>
              <w:rPr>
                <w:rFonts w:ascii="Arial"/>
                <w:sz w:val="21"/>
              </w:rPr>
            </w:pPr>
          </w:p>
        </w:tc>
        <w:tc>
          <w:tcPr>
            <w:tcW w:w="113" w:type="dxa"/>
            <w:tcBorders>
              <w:top w:val="nil"/>
              <w:bottom w:val="nil"/>
            </w:tcBorders>
            <w:vAlign w:val="top"/>
          </w:tcPr>
          <w:p w14:paraId="012450B0">
            <w:pPr>
              <w:rPr>
                <w:rFonts w:ascii="Arial"/>
                <w:sz w:val="21"/>
              </w:rPr>
            </w:pPr>
          </w:p>
        </w:tc>
        <w:tc>
          <w:tcPr>
            <w:tcW w:w="400" w:type="dxa"/>
            <w:vMerge w:val="continue"/>
            <w:tcBorders>
              <w:top w:val="nil"/>
            </w:tcBorders>
            <w:vAlign w:val="top"/>
          </w:tcPr>
          <w:p w14:paraId="48641761">
            <w:pPr>
              <w:rPr>
                <w:rFonts w:ascii="Arial"/>
                <w:sz w:val="21"/>
              </w:rPr>
            </w:pPr>
          </w:p>
        </w:tc>
        <w:tc>
          <w:tcPr>
            <w:tcW w:w="3445" w:type="dxa"/>
            <w:vAlign w:val="top"/>
          </w:tcPr>
          <w:p w14:paraId="62B95C71">
            <w:pPr>
              <w:pStyle w:val="6"/>
              <w:spacing w:before="99" w:line="235" w:lineRule="auto"/>
              <w:ind w:left="58" w:right="48"/>
              <w:jc w:val="both"/>
              <w:rPr>
                <w:sz w:val="22"/>
                <w:szCs w:val="22"/>
              </w:rPr>
            </w:pPr>
            <w:r>
              <w:rPr>
                <w:spacing w:val="-1"/>
                <w:sz w:val="22"/>
                <w:szCs w:val="22"/>
              </w:rPr>
              <w:t>对于含低浓度</w:t>
            </w:r>
            <w:r>
              <w:rPr>
                <w:spacing w:val="-40"/>
                <w:sz w:val="22"/>
                <w:szCs w:val="22"/>
              </w:rPr>
              <w:t xml:space="preserve"> </w:t>
            </w:r>
            <w:r>
              <w:rPr>
                <w:rFonts w:ascii="Times New Roman" w:hAnsi="Times New Roman" w:eastAsia="Times New Roman" w:cs="Times New Roman"/>
                <w:spacing w:val="-1"/>
                <w:sz w:val="22"/>
                <w:szCs w:val="22"/>
              </w:rPr>
              <w:t>VOCs</w:t>
            </w:r>
            <w:r>
              <w:rPr>
                <w:rFonts w:ascii="Times New Roman" w:hAnsi="Times New Roman" w:eastAsia="Times New Roman" w:cs="Times New Roman"/>
                <w:spacing w:val="33"/>
                <w:sz w:val="22"/>
                <w:szCs w:val="22"/>
              </w:rPr>
              <w:t xml:space="preserve"> </w:t>
            </w:r>
            <w:r>
              <w:rPr>
                <w:spacing w:val="-1"/>
                <w:sz w:val="22"/>
                <w:szCs w:val="22"/>
              </w:rPr>
              <w:t>的废气，有回</w:t>
            </w:r>
            <w:r>
              <w:rPr>
                <w:spacing w:val="2"/>
                <w:sz w:val="22"/>
                <w:szCs w:val="22"/>
              </w:rPr>
              <w:t>收价值时可采用吸附技术、吸收技术对有机溶剂回收后达标排放；不宜回收时，可采用吸附浓缩燃烧技术、生物技术、吸收技术、等离子体技术或紫外光高级氧化技术等净</w:t>
            </w:r>
            <w:r>
              <w:rPr>
                <w:spacing w:val="-4"/>
                <w:sz w:val="22"/>
                <w:szCs w:val="22"/>
              </w:rPr>
              <w:t>化后达标排放</w:t>
            </w:r>
          </w:p>
        </w:tc>
        <w:tc>
          <w:tcPr>
            <w:tcW w:w="2804" w:type="dxa"/>
            <w:vMerge w:val="continue"/>
            <w:tcBorders>
              <w:top w:val="nil"/>
            </w:tcBorders>
            <w:vAlign w:val="top"/>
          </w:tcPr>
          <w:p w14:paraId="67B76D77">
            <w:pPr>
              <w:rPr>
                <w:rFonts w:ascii="Arial"/>
                <w:sz w:val="21"/>
              </w:rPr>
            </w:pPr>
          </w:p>
        </w:tc>
        <w:tc>
          <w:tcPr>
            <w:tcW w:w="589" w:type="dxa"/>
            <w:vMerge w:val="continue"/>
            <w:tcBorders>
              <w:top w:val="nil"/>
            </w:tcBorders>
            <w:vAlign w:val="top"/>
          </w:tcPr>
          <w:p w14:paraId="76E06536">
            <w:pPr>
              <w:rPr>
                <w:rFonts w:ascii="Arial"/>
                <w:sz w:val="21"/>
              </w:rPr>
            </w:pPr>
          </w:p>
        </w:tc>
        <w:tc>
          <w:tcPr>
            <w:tcW w:w="123" w:type="dxa"/>
            <w:tcBorders>
              <w:top w:val="nil"/>
              <w:bottom w:val="nil"/>
              <w:right w:val="single" w:color="000000" w:sz="6" w:space="0"/>
            </w:tcBorders>
            <w:vAlign w:val="top"/>
          </w:tcPr>
          <w:p w14:paraId="29A1407F">
            <w:pPr>
              <w:rPr>
                <w:rFonts w:ascii="Arial"/>
                <w:sz w:val="21"/>
              </w:rPr>
            </w:pPr>
          </w:p>
        </w:tc>
      </w:tr>
      <w:tr w14:paraId="5D47F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67" w:hRule="atLeast"/>
        </w:trPr>
        <w:tc>
          <w:tcPr>
            <w:tcW w:w="1400" w:type="dxa"/>
            <w:vMerge w:val="continue"/>
            <w:tcBorders>
              <w:top w:val="nil"/>
              <w:left w:val="single" w:color="000000" w:sz="6" w:space="0"/>
              <w:bottom w:val="single" w:color="000000" w:sz="6" w:space="0"/>
            </w:tcBorders>
            <w:vAlign w:val="top"/>
          </w:tcPr>
          <w:p w14:paraId="6BB1D387">
            <w:pPr>
              <w:rPr>
                <w:rFonts w:ascii="Arial"/>
                <w:sz w:val="21"/>
              </w:rPr>
            </w:pPr>
          </w:p>
        </w:tc>
        <w:tc>
          <w:tcPr>
            <w:tcW w:w="7474" w:type="dxa"/>
            <w:gridSpan w:val="6"/>
            <w:tcBorders>
              <w:bottom w:val="single" w:color="000000" w:sz="6" w:space="0"/>
              <w:right w:val="single" w:color="000000" w:sz="6" w:space="0"/>
            </w:tcBorders>
            <w:vAlign w:val="top"/>
          </w:tcPr>
          <w:p w14:paraId="4C2D4A71">
            <w:pPr>
              <w:spacing w:line="262" w:lineRule="auto"/>
              <w:rPr>
                <w:rFonts w:ascii="Arial"/>
                <w:sz w:val="21"/>
              </w:rPr>
            </w:pPr>
          </w:p>
          <w:p w14:paraId="6B6FAA26">
            <w:pPr>
              <w:spacing w:line="263" w:lineRule="auto"/>
              <w:rPr>
                <w:rFonts w:ascii="Arial"/>
                <w:sz w:val="21"/>
              </w:rPr>
            </w:pPr>
          </w:p>
          <w:p w14:paraId="735159A5">
            <w:pPr>
              <w:pStyle w:val="6"/>
              <w:spacing w:before="81" w:line="340" w:lineRule="auto"/>
              <w:ind w:left="127" w:firstLine="535"/>
            </w:pPr>
            <w:r>
              <w:rPr>
                <w:spacing w:val="7"/>
              </w:rPr>
              <w:t>由上表分析可知，本项目符合《挥发性有机污染物（</w:t>
            </w:r>
            <w:r>
              <w:rPr>
                <w:rFonts w:ascii="Times New Roman" w:hAnsi="Times New Roman" w:eastAsia="Times New Roman" w:cs="Times New Roman"/>
              </w:rPr>
              <w:t>VOCs</w:t>
            </w:r>
            <w:r>
              <w:rPr>
                <w:spacing w:val="7"/>
              </w:rPr>
              <w:t>）</w:t>
            </w:r>
            <w:r>
              <w:rPr>
                <w:spacing w:val="5"/>
              </w:rPr>
              <w:t>防治技术政策》（公告</w:t>
            </w:r>
            <w:r>
              <w:rPr>
                <w:spacing w:val="-50"/>
              </w:rPr>
              <w:t xml:space="preserve"> </w:t>
            </w:r>
            <w:r>
              <w:rPr>
                <w:rFonts w:ascii="Times New Roman" w:hAnsi="Times New Roman" w:eastAsia="Times New Roman" w:cs="Times New Roman"/>
                <w:spacing w:val="5"/>
              </w:rPr>
              <w:t xml:space="preserve">2013 </w:t>
            </w:r>
            <w:r>
              <w:rPr>
                <w:spacing w:val="5"/>
              </w:rPr>
              <w:t>年第</w:t>
            </w:r>
            <w:r>
              <w:rPr>
                <w:spacing w:val="-47"/>
              </w:rPr>
              <w:t xml:space="preserve"> </w:t>
            </w:r>
            <w:r>
              <w:rPr>
                <w:rFonts w:ascii="Times New Roman" w:hAnsi="Times New Roman" w:eastAsia="Times New Roman" w:cs="Times New Roman"/>
                <w:spacing w:val="5"/>
              </w:rPr>
              <w:t>31</w:t>
            </w:r>
            <w:r>
              <w:rPr>
                <w:rFonts w:ascii="Times New Roman" w:hAnsi="Times New Roman" w:eastAsia="Times New Roman" w:cs="Times New Roman"/>
                <w:spacing w:val="19"/>
              </w:rPr>
              <w:t xml:space="preserve"> </w:t>
            </w:r>
            <w:r>
              <w:rPr>
                <w:spacing w:val="5"/>
              </w:rPr>
              <w:t>号）要求。</w:t>
            </w:r>
          </w:p>
          <w:p w14:paraId="0633EFD4">
            <w:pPr>
              <w:pStyle w:val="6"/>
              <w:spacing w:before="1" w:line="339" w:lineRule="auto"/>
              <w:ind w:left="121" w:right="153" w:hanging="4"/>
            </w:pPr>
            <w:r>
              <w:rPr>
                <w:rFonts w:ascii="Times New Roman" w:hAnsi="Times New Roman" w:eastAsia="Times New Roman" w:cs="Times New Roman"/>
                <w:b/>
                <w:bCs/>
                <w:spacing w:val="7"/>
              </w:rPr>
              <w:t xml:space="preserve">1.4 </w:t>
            </w:r>
            <w:r>
              <w:rPr>
                <w:b/>
                <w:bCs/>
                <w:spacing w:val="7"/>
              </w:rPr>
              <w:t>与《关于印发</w:t>
            </w:r>
            <w:r>
              <w:rPr>
                <w:rFonts w:ascii="Times New Roman" w:hAnsi="Times New Roman" w:eastAsia="Times New Roman" w:cs="Times New Roman"/>
                <w:b/>
                <w:bCs/>
                <w:spacing w:val="7"/>
              </w:rPr>
              <w:t>&lt;</w:t>
            </w:r>
            <w:r>
              <w:rPr>
                <w:b/>
                <w:bCs/>
                <w:spacing w:val="7"/>
              </w:rPr>
              <w:t>重点行业挥发性有机物综合治理方案</w:t>
            </w:r>
            <w:r>
              <w:rPr>
                <w:rFonts w:ascii="Times New Roman" w:hAnsi="Times New Roman" w:eastAsia="Times New Roman" w:cs="Times New Roman"/>
                <w:b/>
                <w:bCs/>
                <w:spacing w:val="7"/>
              </w:rPr>
              <w:t>&gt;</w:t>
            </w:r>
            <w:r>
              <w:rPr>
                <w:b/>
                <w:bCs/>
                <w:spacing w:val="7"/>
              </w:rPr>
              <w:t>的</w:t>
            </w:r>
            <w:r>
              <w:rPr>
                <w:b/>
                <w:bCs/>
                <w:spacing w:val="6"/>
              </w:rPr>
              <w:t>通知</w:t>
            </w:r>
            <w:r>
              <w:rPr>
                <w:b/>
                <w:bCs/>
                <w:spacing w:val="5"/>
              </w:rPr>
              <w:t>（环大气〔</w:t>
            </w:r>
            <w:r>
              <w:rPr>
                <w:rFonts w:ascii="Times New Roman" w:hAnsi="Times New Roman" w:eastAsia="Times New Roman" w:cs="Times New Roman"/>
                <w:b/>
                <w:bCs/>
                <w:spacing w:val="5"/>
              </w:rPr>
              <w:t>2019</w:t>
            </w:r>
            <w:r>
              <w:rPr>
                <w:b/>
                <w:bCs/>
                <w:spacing w:val="5"/>
              </w:rPr>
              <w:t>〕</w:t>
            </w:r>
            <w:r>
              <w:rPr>
                <w:rFonts w:ascii="Times New Roman" w:hAnsi="Times New Roman" w:eastAsia="Times New Roman" w:cs="Times New Roman"/>
                <w:b/>
                <w:bCs/>
                <w:spacing w:val="5"/>
              </w:rPr>
              <w:t>53</w:t>
            </w:r>
            <w:r>
              <w:rPr>
                <w:rFonts w:ascii="Times New Roman" w:hAnsi="Times New Roman" w:eastAsia="Times New Roman" w:cs="Times New Roman"/>
                <w:b/>
                <w:bCs/>
                <w:spacing w:val="25"/>
              </w:rPr>
              <w:t xml:space="preserve"> </w:t>
            </w:r>
            <w:r>
              <w:rPr>
                <w:b/>
                <w:bCs/>
                <w:spacing w:val="5"/>
              </w:rPr>
              <w:t>号）》符合性分析</w:t>
            </w:r>
          </w:p>
          <w:p w14:paraId="51DF3405">
            <w:pPr>
              <w:pStyle w:val="6"/>
              <w:spacing w:before="5" w:line="339" w:lineRule="auto"/>
              <w:ind w:left="110" w:right="36" w:firstLine="520"/>
              <w:jc w:val="both"/>
            </w:pPr>
            <w:r>
              <w:rPr>
                <w:spacing w:val="5"/>
              </w:rPr>
              <w:t>根据《重点行业挥发性有机物综合治理方案》：到</w:t>
            </w:r>
            <w:r>
              <w:rPr>
                <w:spacing w:val="-38"/>
              </w:rPr>
              <w:t xml:space="preserve"> </w:t>
            </w:r>
            <w:r>
              <w:rPr>
                <w:rFonts w:ascii="Times New Roman" w:hAnsi="Times New Roman" w:eastAsia="Times New Roman" w:cs="Times New Roman"/>
                <w:spacing w:val="5"/>
              </w:rPr>
              <w:t xml:space="preserve">2020 </w:t>
            </w:r>
            <w:r>
              <w:rPr>
                <w:spacing w:val="5"/>
              </w:rPr>
              <w:t>年，</w:t>
            </w:r>
            <w:r>
              <w:rPr>
                <w:spacing w:val="11"/>
              </w:rPr>
              <w:t>建立健全</w:t>
            </w:r>
            <w:r>
              <w:rPr>
                <w:spacing w:val="-55"/>
              </w:rPr>
              <w:t xml:space="preserve"> </w:t>
            </w:r>
            <w:r>
              <w:rPr>
                <w:rFonts w:ascii="Times New Roman" w:hAnsi="Times New Roman" w:eastAsia="Times New Roman" w:cs="Times New Roman"/>
              </w:rPr>
              <w:t>VOCs</w:t>
            </w:r>
            <w:r>
              <w:rPr>
                <w:rFonts w:ascii="Times New Roman" w:hAnsi="Times New Roman" w:eastAsia="Times New Roman" w:cs="Times New Roman"/>
                <w:spacing w:val="11"/>
              </w:rPr>
              <w:t xml:space="preserve"> </w:t>
            </w:r>
            <w:r>
              <w:rPr>
                <w:spacing w:val="11"/>
              </w:rPr>
              <w:t>污染防治管理体系，重点区域、重点行业</w:t>
            </w:r>
            <w:r>
              <w:rPr>
                <w:spacing w:val="-58"/>
              </w:rPr>
              <w:t xml:space="preserve"> </w:t>
            </w:r>
            <w:r>
              <w:rPr>
                <w:rFonts w:ascii="Times New Roman" w:hAnsi="Times New Roman" w:eastAsia="Times New Roman" w:cs="Times New Roman"/>
              </w:rPr>
              <w:t>VOCs</w:t>
            </w:r>
            <w:r>
              <w:rPr>
                <w:spacing w:val="11"/>
              </w:rPr>
              <w:t>治理取得明显成效，完成“十三五</w:t>
            </w:r>
            <w:r>
              <w:rPr>
                <w:spacing w:val="-91"/>
              </w:rPr>
              <w:t xml:space="preserve"> </w:t>
            </w:r>
            <w:r>
              <w:rPr>
                <w:spacing w:val="11"/>
              </w:rPr>
              <w:t>”规划确</w:t>
            </w:r>
            <w:r>
              <w:rPr>
                <w:spacing w:val="10"/>
              </w:rPr>
              <w:t>定的</w:t>
            </w:r>
            <w:r>
              <w:rPr>
                <w:spacing w:val="-55"/>
              </w:rPr>
              <w:t xml:space="preserve"> </w:t>
            </w:r>
            <w:r>
              <w:rPr>
                <w:rFonts w:ascii="Times New Roman" w:hAnsi="Times New Roman" w:eastAsia="Times New Roman" w:cs="Times New Roman"/>
              </w:rPr>
              <w:t>VOCs</w:t>
            </w:r>
            <w:r>
              <w:rPr>
                <w:spacing w:val="10"/>
              </w:rPr>
              <w:t>排放量下</w:t>
            </w:r>
            <w:r>
              <w:rPr>
                <w:spacing w:val="7"/>
              </w:rPr>
              <w:t>降</w:t>
            </w:r>
            <w:r>
              <w:rPr>
                <w:spacing w:val="-30"/>
              </w:rPr>
              <w:t xml:space="preserve"> </w:t>
            </w:r>
            <w:r>
              <w:rPr>
                <w:rFonts w:ascii="Times New Roman" w:hAnsi="Times New Roman" w:eastAsia="Times New Roman" w:cs="Times New Roman"/>
                <w:spacing w:val="7"/>
              </w:rPr>
              <w:t>10%</w:t>
            </w:r>
            <w:r>
              <w:rPr>
                <w:spacing w:val="7"/>
              </w:rPr>
              <w:t>的目标任务，协同控制温室气体排放，</w:t>
            </w:r>
            <w:r>
              <w:rPr>
                <w:spacing w:val="6"/>
              </w:rPr>
              <w:t>推动环境空气质量</w:t>
            </w:r>
            <w:r>
              <w:rPr>
                <w:spacing w:val="12"/>
              </w:rPr>
              <w:t>持续改善。控制思路与要求</w:t>
            </w:r>
            <w:r>
              <w:rPr>
                <w:spacing w:val="-10"/>
              </w:rPr>
              <w:t>：（</w:t>
            </w:r>
            <w:r>
              <w:rPr>
                <w:spacing w:val="12"/>
              </w:rPr>
              <w:t>一）大力推进源头</w:t>
            </w:r>
            <w:r>
              <w:rPr>
                <w:spacing w:val="11"/>
              </w:rPr>
              <w:t>替代</w:t>
            </w:r>
            <w:r>
              <w:rPr>
                <w:spacing w:val="-10"/>
              </w:rPr>
              <w:t>；（</w:t>
            </w:r>
            <w:r>
              <w:rPr>
                <w:spacing w:val="11"/>
              </w:rPr>
              <w:t>二）</w:t>
            </w:r>
            <w:r>
              <w:rPr>
                <w:spacing w:val="6"/>
              </w:rPr>
              <w:t>全面加强无组织排放控制</w:t>
            </w:r>
            <w:r>
              <w:rPr>
                <w:spacing w:val="-50"/>
              </w:rPr>
              <w:t>；（</w:t>
            </w:r>
            <w:r>
              <w:rPr>
                <w:spacing w:val="6"/>
              </w:rPr>
              <w:t>三）推进建设适宜高效的治污设施；</w:t>
            </w:r>
          </w:p>
          <w:p w14:paraId="2082C037">
            <w:pPr>
              <w:pStyle w:val="6"/>
              <w:spacing w:line="225" w:lineRule="auto"/>
              <w:ind w:left="122"/>
            </w:pPr>
            <w:r>
              <w:rPr>
                <w:spacing w:val="7"/>
              </w:rPr>
              <w:t>（四）深入实施精细化管控。</w:t>
            </w:r>
          </w:p>
          <w:p w14:paraId="269385C4">
            <w:pPr>
              <w:pStyle w:val="6"/>
              <w:spacing w:before="157" w:line="339" w:lineRule="auto"/>
              <w:ind w:left="110" w:firstLine="521"/>
              <w:jc w:val="both"/>
            </w:pPr>
            <w:r>
              <w:rPr>
                <w:spacing w:val="10"/>
              </w:rPr>
              <w:t>重点行业治理任务</w:t>
            </w:r>
            <w:r>
              <w:rPr>
                <w:spacing w:val="-34"/>
              </w:rPr>
              <w:t>：（</w:t>
            </w:r>
            <w:r>
              <w:rPr>
                <w:spacing w:val="10"/>
              </w:rPr>
              <w:t>一）石化行业</w:t>
            </w:r>
            <w:r>
              <w:rPr>
                <w:spacing w:val="-57"/>
              </w:rPr>
              <w:t xml:space="preserve"> </w:t>
            </w:r>
            <w:r>
              <w:rPr>
                <w:rFonts w:ascii="Times New Roman" w:hAnsi="Times New Roman" w:eastAsia="Times New Roman" w:cs="Times New Roman"/>
              </w:rPr>
              <w:t>VOCs</w:t>
            </w:r>
            <w:r>
              <w:rPr>
                <w:rFonts w:ascii="Times New Roman" w:hAnsi="Times New Roman" w:eastAsia="Times New Roman" w:cs="Times New Roman"/>
                <w:spacing w:val="10"/>
              </w:rPr>
              <w:t xml:space="preserve"> </w:t>
            </w:r>
            <w:r>
              <w:rPr>
                <w:spacing w:val="10"/>
              </w:rPr>
              <w:t>综合治理</w:t>
            </w:r>
            <w:r>
              <w:rPr>
                <w:spacing w:val="-34"/>
              </w:rPr>
              <w:t>；（</w:t>
            </w:r>
            <w:r>
              <w:rPr>
                <w:spacing w:val="10"/>
              </w:rPr>
              <w:t>二）</w:t>
            </w:r>
            <w:r>
              <w:rPr>
                <w:spacing w:val="8"/>
              </w:rPr>
              <w:t>化工行业</w:t>
            </w:r>
            <w:r>
              <w:rPr>
                <w:spacing w:val="-50"/>
              </w:rPr>
              <w:t xml:space="preserve"> </w:t>
            </w:r>
            <w:r>
              <w:rPr>
                <w:rFonts w:ascii="Times New Roman" w:hAnsi="Times New Roman" w:eastAsia="Times New Roman" w:cs="Times New Roman"/>
              </w:rPr>
              <w:t>VOCs</w:t>
            </w:r>
            <w:r>
              <w:rPr>
                <w:rFonts w:ascii="Times New Roman" w:hAnsi="Times New Roman" w:eastAsia="Times New Roman" w:cs="Times New Roman"/>
                <w:spacing w:val="18"/>
                <w:w w:val="101"/>
              </w:rPr>
              <w:t xml:space="preserve"> </w:t>
            </w:r>
            <w:r>
              <w:rPr>
                <w:spacing w:val="8"/>
              </w:rPr>
              <w:t>综合治理</w:t>
            </w:r>
            <w:r>
              <w:rPr>
                <w:spacing w:val="-58"/>
                <w:w w:val="87"/>
              </w:rPr>
              <w:t>；（</w:t>
            </w:r>
            <w:r>
              <w:rPr>
                <w:spacing w:val="8"/>
              </w:rPr>
              <w:t>三）工业涂装</w:t>
            </w:r>
            <w:r>
              <w:rPr>
                <w:spacing w:val="-58"/>
              </w:rPr>
              <w:t xml:space="preserve"> </w:t>
            </w:r>
            <w:r>
              <w:rPr>
                <w:rFonts w:ascii="Times New Roman" w:hAnsi="Times New Roman" w:eastAsia="Times New Roman" w:cs="Times New Roman"/>
              </w:rPr>
              <w:t>VOCs</w:t>
            </w:r>
            <w:r>
              <w:rPr>
                <w:rFonts w:ascii="Times New Roman" w:hAnsi="Times New Roman" w:eastAsia="Times New Roman" w:cs="Times New Roman"/>
                <w:spacing w:val="18"/>
              </w:rPr>
              <w:t xml:space="preserve"> </w:t>
            </w:r>
            <w:r>
              <w:rPr>
                <w:spacing w:val="8"/>
              </w:rPr>
              <w:t>综合治理</w:t>
            </w:r>
            <w:r>
              <w:rPr>
                <w:spacing w:val="-58"/>
                <w:w w:val="87"/>
              </w:rPr>
              <w:t>；（</w:t>
            </w:r>
            <w:r>
              <w:rPr>
                <w:spacing w:val="8"/>
              </w:rPr>
              <w:t>四）</w:t>
            </w:r>
            <w:r>
              <w:rPr>
                <w:spacing w:val="12"/>
              </w:rPr>
              <w:t>包装印刷行业</w:t>
            </w:r>
            <w:r>
              <w:rPr>
                <w:spacing w:val="-58"/>
              </w:rPr>
              <w:t xml:space="preserve"> </w:t>
            </w:r>
            <w:r>
              <w:rPr>
                <w:rFonts w:ascii="Times New Roman" w:hAnsi="Times New Roman" w:eastAsia="Times New Roman" w:cs="Times New Roman"/>
              </w:rPr>
              <w:t>VOCs</w:t>
            </w:r>
            <w:r>
              <w:rPr>
                <w:rFonts w:ascii="Times New Roman" w:hAnsi="Times New Roman" w:eastAsia="Times New Roman" w:cs="Times New Roman"/>
                <w:spacing w:val="12"/>
              </w:rPr>
              <w:t xml:space="preserve"> </w:t>
            </w:r>
            <w:r>
              <w:rPr>
                <w:spacing w:val="12"/>
              </w:rPr>
              <w:t>综合治理</w:t>
            </w:r>
            <w:r>
              <w:rPr>
                <w:spacing w:val="-16"/>
              </w:rPr>
              <w:t>；（</w:t>
            </w:r>
            <w:r>
              <w:rPr>
                <w:spacing w:val="12"/>
              </w:rPr>
              <w:t>五）油品储运销</w:t>
            </w:r>
            <w:r>
              <w:rPr>
                <w:spacing w:val="-56"/>
              </w:rPr>
              <w:t xml:space="preserve"> </w:t>
            </w:r>
            <w:r>
              <w:rPr>
                <w:rFonts w:ascii="Times New Roman" w:hAnsi="Times New Roman" w:eastAsia="Times New Roman" w:cs="Times New Roman"/>
              </w:rPr>
              <w:t>VOCs</w:t>
            </w:r>
            <w:r>
              <w:rPr>
                <w:rFonts w:ascii="Times New Roman" w:hAnsi="Times New Roman" w:eastAsia="Times New Roman" w:cs="Times New Roman"/>
                <w:spacing w:val="12"/>
              </w:rPr>
              <w:t xml:space="preserve"> </w:t>
            </w:r>
            <w:r>
              <w:rPr>
                <w:spacing w:val="12"/>
              </w:rPr>
              <w:t>综合治</w:t>
            </w:r>
            <w:r>
              <w:rPr>
                <w:spacing w:val="11"/>
              </w:rPr>
              <w:t>理</w:t>
            </w:r>
            <w:r>
              <w:rPr>
                <w:spacing w:val="-6"/>
              </w:rPr>
              <w:t>；（</w:t>
            </w:r>
            <w:r>
              <w:rPr>
                <w:spacing w:val="11"/>
              </w:rPr>
              <w:t>六）工业园区和产业集群</w:t>
            </w:r>
            <w:r>
              <w:rPr>
                <w:spacing w:val="-54"/>
              </w:rPr>
              <w:t xml:space="preserve"> </w:t>
            </w:r>
            <w:r>
              <w:rPr>
                <w:rFonts w:ascii="Times New Roman" w:hAnsi="Times New Roman" w:eastAsia="Times New Roman" w:cs="Times New Roman"/>
              </w:rPr>
              <w:t>VOCs</w:t>
            </w:r>
            <w:r>
              <w:rPr>
                <w:rFonts w:ascii="Times New Roman" w:hAnsi="Times New Roman" w:eastAsia="Times New Roman" w:cs="Times New Roman"/>
                <w:spacing w:val="11"/>
              </w:rPr>
              <w:t xml:space="preserve"> </w:t>
            </w:r>
            <w:r>
              <w:rPr>
                <w:spacing w:val="11"/>
              </w:rPr>
              <w:t>综合治理。</w:t>
            </w:r>
          </w:p>
          <w:p w14:paraId="2A01ACAC">
            <w:pPr>
              <w:pStyle w:val="6"/>
              <w:spacing w:before="1" w:line="307" w:lineRule="auto"/>
              <w:ind w:left="113" w:right="103" w:firstLine="518"/>
              <w:jc w:val="both"/>
            </w:pPr>
            <w:r>
              <w:rPr>
                <w:spacing w:val="12"/>
              </w:rPr>
              <w:t>本项目为机动车燃料零售，属于</w:t>
            </w:r>
            <w:r>
              <w:rPr>
                <w:spacing w:val="-50"/>
              </w:rPr>
              <w:t xml:space="preserve"> </w:t>
            </w:r>
            <w:r>
              <w:rPr>
                <w:rFonts w:ascii="Times New Roman" w:hAnsi="Times New Roman" w:eastAsia="Times New Roman" w:cs="Times New Roman"/>
              </w:rPr>
              <w:t>VOCs</w:t>
            </w:r>
            <w:r>
              <w:rPr>
                <w:spacing w:val="12"/>
              </w:rPr>
              <w:t>排放的重点行业（油</w:t>
            </w:r>
            <w:r>
              <w:rPr>
                <w:spacing w:val="9"/>
              </w:rPr>
              <w:t>品储运销</w:t>
            </w:r>
            <w:r>
              <w:rPr>
                <w:spacing w:val="-58"/>
              </w:rPr>
              <w:t xml:space="preserve"> </w:t>
            </w:r>
            <w:r>
              <w:rPr>
                <w:rFonts w:ascii="Times New Roman" w:hAnsi="Times New Roman" w:eastAsia="Times New Roman" w:cs="Times New Roman"/>
              </w:rPr>
              <w:t>VOCs</w:t>
            </w:r>
            <w:r>
              <w:rPr>
                <w:rFonts w:ascii="Times New Roman" w:hAnsi="Times New Roman" w:eastAsia="Times New Roman" w:cs="Times New Roman"/>
                <w:spacing w:val="9"/>
              </w:rPr>
              <w:t xml:space="preserve"> </w:t>
            </w:r>
            <w:r>
              <w:rPr>
                <w:spacing w:val="9"/>
              </w:rPr>
              <w:t>综合治理</w:t>
            </w:r>
            <w:r>
              <w:rPr>
                <w:spacing w:val="12"/>
              </w:rPr>
              <w:t>），</w:t>
            </w:r>
            <w:r>
              <w:rPr>
                <w:spacing w:val="9"/>
              </w:rPr>
              <w:t>与挥发性有机物综合治理方案符合</w:t>
            </w:r>
            <w:r>
              <w:rPr>
                <w:spacing w:val="6"/>
              </w:rPr>
              <w:t>性分析见下表。</w:t>
            </w:r>
          </w:p>
        </w:tc>
      </w:tr>
    </w:tbl>
    <w:p w14:paraId="2871841F">
      <w:pPr>
        <w:pStyle w:val="2"/>
        <w:rPr>
          <w:sz w:val="21"/>
        </w:rPr>
      </w:pPr>
    </w:p>
    <w:p w14:paraId="30A2F788">
      <w:pPr>
        <w:rPr>
          <w:sz w:val="21"/>
          <w:szCs w:val="21"/>
        </w:rPr>
        <w:sectPr>
          <w:footerReference r:id="rId12" w:type="default"/>
          <w:pgSz w:w="11906" w:h="16839"/>
          <w:pgMar w:top="400" w:right="1508" w:bottom="1234" w:left="1508" w:header="0" w:footer="996" w:gutter="0"/>
          <w:cols w:space="720" w:num="1"/>
        </w:sectPr>
      </w:pPr>
    </w:p>
    <w:p w14:paraId="1FC6B46A">
      <w:pPr>
        <w:spacing w:before="19"/>
      </w:pPr>
    </w:p>
    <w:p w14:paraId="3AB5D6C4">
      <w:pPr>
        <w:spacing w:before="19"/>
      </w:pPr>
    </w:p>
    <w:p w14:paraId="680F3445">
      <w:pPr>
        <w:spacing w:before="19"/>
      </w:pPr>
    </w:p>
    <w:p w14:paraId="13BAEDF3">
      <w:pPr>
        <w:spacing w:before="18"/>
      </w:pPr>
    </w:p>
    <w:p w14:paraId="427DAF60">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00"/>
        <w:gridCol w:w="7474"/>
      </w:tblGrid>
      <w:tr w14:paraId="6C33A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8" w:hRule="atLeast"/>
        </w:trPr>
        <w:tc>
          <w:tcPr>
            <w:tcW w:w="1400" w:type="dxa"/>
            <w:tcBorders>
              <w:right w:val="single" w:color="000000" w:sz="2" w:space="0"/>
            </w:tcBorders>
            <w:vAlign w:val="top"/>
          </w:tcPr>
          <w:p w14:paraId="219A60A8">
            <w:pPr>
              <w:rPr>
                <w:rFonts w:ascii="Arial"/>
                <w:sz w:val="21"/>
              </w:rPr>
            </w:pPr>
          </w:p>
        </w:tc>
        <w:tc>
          <w:tcPr>
            <w:tcW w:w="7474" w:type="dxa"/>
            <w:tcBorders>
              <w:left w:val="single" w:color="000000" w:sz="2" w:space="0"/>
            </w:tcBorders>
            <w:vAlign w:val="top"/>
          </w:tcPr>
          <w:p w14:paraId="07845065">
            <w:pPr>
              <w:pStyle w:val="6"/>
              <w:spacing w:before="150" w:line="225" w:lineRule="auto"/>
              <w:ind w:left="707"/>
            </w:pPr>
            <w:r>
              <w:rPr>
                <w:spacing w:val="5"/>
              </w:rPr>
              <w:t>表</w:t>
            </w:r>
            <w:r>
              <w:rPr>
                <w:spacing w:val="-27"/>
              </w:rPr>
              <w:t xml:space="preserve"> </w:t>
            </w:r>
            <w:r>
              <w:rPr>
                <w:rFonts w:ascii="Times New Roman" w:hAnsi="Times New Roman" w:eastAsia="Times New Roman" w:cs="Times New Roman"/>
                <w:spacing w:val="5"/>
              </w:rPr>
              <w:t>1.4-</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 xml:space="preserve">1    </w:t>
            </w:r>
            <w:r>
              <w:rPr>
                <w:spacing w:val="5"/>
              </w:rPr>
              <w:t>与《重点行业挥发性有机物综合治理方案》</w:t>
            </w:r>
          </w:p>
          <w:p w14:paraId="4D23289F">
            <w:pPr>
              <w:pStyle w:val="6"/>
              <w:spacing w:before="155" w:line="226" w:lineRule="auto"/>
              <w:ind w:left="2961"/>
            </w:pPr>
            <w:r>
              <w:rPr>
                <w:spacing w:val="7"/>
              </w:rPr>
              <w:t>符合性分析表</w:t>
            </w:r>
          </w:p>
          <w:p w14:paraId="797FB039">
            <w:pPr>
              <w:spacing w:line="80" w:lineRule="auto"/>
              <w:rPr>
                <w:rFonts w:ascii="Arial"/>
                <w:sz w:val="2"/>
              </w:rPr>
            </w:pPr>
          </w:p>
          <w:tbl>
            <w:tblPr>
              <w:tblStyle w:val="5"/>
              <w:tblW w:w="7254"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0"/>
              <w:gridCol w:w="4126"/>
              <w:gridCol w:w="1863"/>
              <w:gridCol w:w="675"/>
            </w:tblGrid>
            <w:tr w14:paraId="51346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590" w:type="dxa"/>
                  <w:vAlign w:val="top"/>
                </w:tcPr>
                <w:p w14:paraId="222674A6">
                  <w:pPr>
                    <w:pStyle w:val="6"/>
                    <w:spacing w:before="179" w:line="222" w:lineRule="auto"/>
                    <w:ind w:left="84"/>
                    <w:rPr>
                      <w:sz w:val="22"/>
                      <w:szCs w:val="22"/>
                    </w:rPr>
                  </w:pPr>
                  <w:r>
                    <w:rPr>
                      <w:spacing w:val="-4"/>
                      <w:sz w:val="22"/>
                      <w:szCs w:val="22"/>
                    </w:rPr>
                    <w:t>序号</w:t>
                  </w:r>
                </w:p>
              </w:tc>
              <w:tc>
                <w:tcPr>
                  <w:tcW w:w="4126" w:type="dxa"/>
                  <w:vAlign w:val="top"/>
                </w:tcPr>
                <w:p w14:paraId="163DABC5">
                  <w:pPr>
                    <w:pStyle w:val="6"/>
                    <w:spacing w:before="180" w:line="219" w:lineRule="auto"/>
                    <w:ind w:left="89"/>
                    <w:rPr>
                      <w:sz w:val="22"/>
                      <w:szCs w:val="22"/>
                    </w:rPr>
                  </w:pPr>
                  <w:r>
                    <w:rPr>
                      <w:spacing w:val="-1"/>
                      <w:sz w:val="22"/>
                      <w:szCs w:val="22"/>
                    </w:rPr>
                    <w:t>《重点行业挥发性有机物综合治理方案》</w:t>
                  </w:r>
                </w:p>
              </w:tc>
              <w:tc>
                <w:tcPr>
                  <w:tcW w:w="1863" w:type="dxa"/>
                  <w:vAlign w:val="top"/>
                </w:tcPr>
                <w:p w14:paraId="5235C51C">
                  <w:pPr>
                    <w:pStyle w:val="6"/>
                    <w:spacing w:before="179" w:line="221" w:lineRule="auto"/>
                    <w:ind w:left="511"/>
                    <w:rPr>
                      <w:sz w:val="22"/>
                      <w:szCs w:val="22"/>
                    </w:rPr>
                  </w:pPr>
                  <w:r>
                    <w:rPr>
                      <w:spacing w:val="-5"/>
                      <w:sz w:val="22"/>
                      <w:szCs w:val="22"/>
                    </w:rPr>
                    <w:t>项目情况</w:t>
                  </w:r>
                </w:p>
              </w:tc>
              <w:tc>
                <w:tcPr>
                  <w:tcW w:w="675" w:type="dxa"/>
                  <w:vAlign w:val="top"/>
                </w:tcPr>
                <w:p w14:paraId="7CE497F4">
                  <w:pPr>
                    <w:pStyle w:val="6"/>
                    <w:spacing w:before="38" w:line="223" w:lineRule="auto"/>
                    <w:ind w:left="237" w:right="113" w:hanging="108"/>
                    <w:rPr>
                      <w:sz w:val="22"/>
                      <w:szCs w:val="22"/>
                    </w:rPr>
                  </w:pPr>
                  <w:r>
                    <w:rPr>
                      <w:spacing w:val="-7"/>
                      <w:sz w:val="22"/>
                      <w:szCs w:val="22"/>
                    </w:rPr>
                    <w:t>符合</w:t>
                  </w:r>
                  <w:r>
                    <w:rPr>
                      <w:sz w:val="22"/>
                      <w:szCs w:val="22"/>
                    </w:rPr>
                    <w:t>性</w:t>
                  </w:r>
                </w:p>
              </w:tc>
            </w:tr>
            <w:tr w14:paraId="5671B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1" w:hRule="atLeast"/>
              </w:trPr>
              <w:tc>
                <w:tcPr>
                  <w:tcW w:w="590" w:type="dxa"/>
                  <w:vAlign w:val="top"/>
                </w:tcPr>
                <w:p w14:paraId="50874880">
                  <w:pPr>
                    <w:spacing w:line="284" w:lineRule="auto"/>
                    <w:rPr>
                      <w:rFonts w:ascii="Arial"/>
                      <w:sz w:val="21"/>
                    </w:rPr>
                  </w:pPr>
                </w:p>
                <w:p w14:paraId="7818A7B2">
                  <w:pPr>
                    <w:spacing w:line="285" w:lineRule="auto"/>
                    <w:rPr>
                      <w:rFonts w:ascii="Arial"/>
                      <w:sz w:val="21"/>
                    </w:rPr>
                  </w:pPr>
                </w:p>
                <w:p w14:paraId="2F45A50B">
                  <w:pPr>
                    <w:spacing w:line="285" w:lineRule="auto"/>
                    <w:rPr>
                      <w:rFonts w:ascii="Arial"/>
                      <w:sz w:val="21"/>
                    </w:rPr>
                  </w:pPr>
                </w:p>
                <w:p w14:paraId="36AFA946">
                  <w:pPr>
                    <w:spacing w:line="285" w:lineRule="auto"/>
                    <w:rPr>
                      <w:rFonts w:ascii="Arial"/>
                      <w:sz w:val="21"/>
                    </w:rPr>
                  </w:pPr>
                </w:p>
                <w:p w14:paraId="4F531075">
                  <w:pPr>
                    <w:spacing w:before="63" w:line="189" w:lineRule="auto"/>
                    <w:ind w:left="26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4126" w:type="dxa"/>
                  <w:vAlign w:val="top"/>
                </w:tcPr>
                <w:p w14:paraId="2AD6DE24">
                  <w:pPr>
                    <w:spacing w:line="264" w:lineRule="auto"/>
                    <w:rPr>
                      <w:rFonts w:ascii="Arial"/>
                      <w:sz w:val="21"/>
                    </w:rPr>
                  </w:pPr>
                </w:p>
                <w:p w14:paraId="0DE5E249">
                  <w:pPr>
                    <w:spacing w:line="264" w:lineRule="auto"/>
                    <w:rPr>
                      <w:rFonts w:ascii="Arial"/>
                      <w:sz w:val="21"/>
                    </w:rPr>
                  </w:pPr>
                </w:p>
                <w:p w14:paraId="532AE959">
                  <w:pPr>
                    <w:pStyle w:val="6"/>
                    <w:spacing w:before="71"/>
                    <w:ind w:left="61" w:right="47"/>
                    <w:jc w:val="both"/>
                    <w:rPr>
                      <w:sz w:val="22"/>
                      <w:szCs w:val="22"/>
                    </w:rPr>
                  </w:pPr>
                  <w:r>
                    <w:rPr>
                      <w:spacing w:val="-20"/>
                      <w:sz w:val="22"/>
                      <w:szCs w:val="22"/>
                    </w:rPr>
                    <w:t>加大汽油（含乙醇汽油）、石脑油、煤油（含</w:t>
                  </w:r>
                  <w:r>
                    <w:rPr>
                      <w:spacing w:val="-6"/>
                      <w:sz w:val="22"/>
                      <w:szCs w:val="22"/>
                    </w:rPr>
                    <w:t>航空煤油）以及原油等</w:t>
                  </w:r>
                  <w:r>
                    <w:rPr>
                      <w:spacing w:val="-50"/>
                      <w:sz w:val="22"/>
                      <w:szCs w:val="22"/>
                    </w:rPr>
                    <w:t xml:space="preserve"> </w:t>
                  </w:r>
                  <w:r>
                    <w:rPr>
                      <w:rFonts w:ascii="Times New Roman" w:hAnsi="Times New Roman" w:eastAsia="Times New Roman" w:cs="Times New Roman"/>
                      <w:spacing w:val="-6"/>
                      <w:sz w:val="22"/>
                      <w:szCs w:val="22"/>
                    </w:rPr>
                    <w:t>VOCs</w:t>
                  </w:r>
                  <w:r>
                    <w:rPr>
                      <w:spacing w:val="-6"/>
                      <w:sz w:val="22"/>
                      <w:szCs w:val="22"/>
                    </w:rPr>
                    <w:t>排放控制，重</w:t>
                  </w:r>
                  <w:r>
                    <w:rPr>
                      <w:spacing w:val="-9"/>
                      <w:sz w:val="22"/>
                      <w:szCs w:val="22"/>
                    </w:rPr>
                    <w:t>点推进加油站、油罐车、储油库油气回收治理。重点区域还应推进油船油气回收治理工</w:t>
                  </w:r>
                  <w:r>
                    <w:rPr>
                      <w:sz w:val="22"/>
                      <w:szCs w:val="22"/>
                    </w:rPr>
                    <w:t>作</w:t>
                  </w:r>
                </w:p>
              </w:tc>
              <w:tc>
                <w:tcPr>
                  <w:tcW w:w="1863" w:type="dxa"/>
                  <w:vAlign w:val="top"/>
                </w:tcPr>
                <w:p w14:paraId="2C577001">
                  <w:pPr>
                    <w:pStyle w:val="6"/>
                    <w:spacing w:before="31" w:line="219" w:lineRule="auto"/>
                    <w:ind w:left="76"/>
                    <w:rPr>
                      <w:sz w:val="22"/>
                      <w:szCs w:val="22"/>
                    </w:rPr>
                  </w:pPr>
                  <w:r>
                    <w:rPr>
                      <w:spacing w:val="-5"/>
                      <w:sz w:val="22"/>
                      <w:szCs w:val="22"/>
                    </w:rPr>
                    <w:t>本项目设置有一次</w:t>
                  </w:r>
                </w:p>
                <w:p w14:paraId="03E3E9E4">
                  <w:pPr>
                    <w:pStyle w:val="6"/>
                    <w:spacing w:before="24" w:line="220" w:lineRule="auto"/>
                    <w:ind w:left="188"/>
                    <w:rPr>
                      <w:sz w:val="22"/>
                      <w:szCs w:val="22"/>
                    </w:rPr>
                  </w:pPr>
                  <w:r>
                    <w:rPr>
                      <w:spacing w:val="-5"/>
                      <w:sz w:val="22"/>
                      <w:szCs w:val="22"/>
                    </w:rPr>
                    <w:t>卸油油气回收系</w:t>
                  </w:r>
                </w:p>
                <w:p w14:paraId="0375883B">
                  <w:pPr>
                    <w:pStyle w:val="6"/>
                    <w:spacing w:before="23" w:line="220" w:lineRule="auto"/>
                    <w:ind w:left="80"/>
                    <w:rPr>
                      <w:sz w:val="22"/>
                      <w:szCs w:val="22"/>
                    </w:rPr>
                  </w:pPr>
                  <w:r>
                    <w:rPr>
                      <w:spacing w:val="-5"/>
                      <w:sz w:val="22"/>
                      <w:szCs w:val="22"/>
                    </w:rPr>
                    <w:t>统、二次加油油气</w:t>
                  </w:r>
                </w:p>
                <w:p w14:paraId="70F3BCBA">
                  <w:pPr>
                    <w:pStyle w:val="6"/>
                    <w:spacing w:before="23" w:line="220" w:lineRule="auto"/>
                    <w:ind w:left="97"/>
                    <w:rPr>
                      <w:sz w:val="22"/>
                      <w:szCs w:val="22"/>
                    </w:rPr>
                  </w:pPr>
                  <w:r>
                    <w:rPr>
                      <w:spacing w:val="-7"/>
                      <w:sz w:val="22"/>
                      <w:szCs w:val="22"/>
                    </w:rPr>
                    <w:t>回收系统及三次储</w:t>
                  </w:r>
                </w:p>
                <w:p w14:paraId="278CAB35">
                  <w:pPr>
                    <w:pStyle w:val="6"/>
                    <w:spacing w:before="23" w:line="220" w:lineRule="auto"/>
                    <w:ind w:left="79"/>
                    <w:rPr>
                      <w:sz w:val="22"/>
                      <w:szCs w:val="22"/>
                    </w:rPr>
                  </w:pPr>
                  <w:r>
                    <w:rPr>
                      <w:spacing w:val="-5"/>
                      <w:sz w:val="22"/>
                      <w:szCs w:val="22"/>
                    </w:rPr>
                    <w:t>油油罐油气回收系</w:t>
                  </w:r>
                </w:p>
                <w:p w14:paraId="2A205629">
                  <w:pPr>
                    <w:pStyle w:val="6"/>
                    <w:spacing w:before="20" w:line="222" w:lineRule="auto"/>
                    <w:jc w:val="right"/>
                    <w:rPr>
                      <w:sz w:val="22"/>
                      <w:szCs w:val="22"/>
                    </w:rPr>
                  </w:pPr>
                  <w:r>
                    <w:rPr>
                      <w:spacing w:val="-22"/>
                      <w:sz w:val="22"/>
                      <w:szCs w:val="22"/>
                    </w:rPr>
                    <w:t>统，对卸油、加油、</w:t>
                  </w:r>
                </w:p>
                <w:p w14:paraId="36650258">
                  <w:pPr>
                    <w:pStyle w:val="6"/>
                    <w:spacing w:before="22" w:line="220" w:lineRule="auto"/>
                    <w:ind w:left="74"/>
                    <w:rPr>
                      <w:sz w:val="22"/>
                      <w:szCs w:val="22"/>
                    </w:rPr>
                  </w:pPr>
                  <w:r>
                    <w:rPr>
                      <w:spacing w:val="-4"/>
                      <w:sz w:val="22"/>
                      <w:szCs w:val="22"/>
                    </w:rPr>
                    <w:t>储油过程产生的油</w:t>
                  </w:r>
                </w:p>
                <w:p w14:paraId="25229A17">
                  <w:pPr>
                    <w:pStyle w:val="6"/>
                    <w:spacing w:before="23" w:line="221" w:lineRule="auto"/>
                    <w:ind w:left="64"/>
                    <w:rPr>
                      <w:sz w:val="22"/>
                      <w:szCs w:val="22"/>
                    </w:rPr>
                  </w:pPr>
                  <w:r>
                    <w:rPr>
                      <w:spacing w:val="-13"/>
                      <w:sz w:val="22"/>
                      <w:szCs w:val="22"/>
                    </w:rPr>
                    <w:t>气（</w:t>
                  </w:r>
                  <w:r>
                    <w:rPr>
                      <w:rFonts w:ascii="Times New Roman" w:hAnsi="Times New Roman" w:eastAsia="Times New Roman" w:cs="Times New Roman"/>
                      <w:spacing w:val="-13"/>
                      <w:sz w:val="22"/>
                      <w:szCs w:val="22"/>
                    </w:rPr>
                    <w:t>VOCs</w:t>
                  </w:r>
                  <w:r>
                    <w:rPr>
                      <w:spacing w:val="-13"/>
                      <w:sz w:val="22"/>
                      <w:szCs w:val="22"/>
                    </w:rPr>
                    <w:t>）进行回</w:t>
                  </w:r>
                </w:p>
                <w:p w14:paraId="7F76AF68">
                  <w:pPr>
                    <w:pStyle w:val="6"/>
                    <w:spacing w:before="23" w:line="207" w:lineRule="auto"/>
                    <w:ind w:left="623"/>
                    <w:rPr>
                      <w:sz w:val="22"/>
                      <w:szCs w:val="22"/>
                    </w:rPr>
                  </w:pPr>
                  <w:r>
                    <w:rPr>
                      <w:spacing w:val="-7"/>
                      <w:sz w:val="22"/>
                      <w:szCs w:val="22"/>
                    </w:rPr>
                    <w:t>收利用</w:t>
                  </w:r>
                </w:p>
              </w:tc>
              <w:tc>
                <w:tcPr>
                  <w:tcW w:w="675" w:type="dxa"/>
                  <w:vAlign w:val="top"/>
                </w:tcPr>
                <w:p w14:paraId="41117690">
                  <w:pPr>
                    <w:spacing w:line="273" w:lineRule="auto"/>
                    <w:rPr>
                      <w:rFonts w:ascii="Arial"/>
                      <w:sz w:val="21"/>
                    </w:rPr>
                  </w:pPr>
                </w:p>
                <w:p w14:paraId="1567B4D9">
                  <w:pPr>
                    <w:spacing w:line="273" w:lineRule="auto"/>
                    <w:rPr>
                      <w:rFonts w:ascii="Arial"/>
                      <w:sz w:val="21"/>
                    </w:rPr>
                  </w:pPr>
                </w:p>
                <w:p w14:paraId="7FC29C4A">
                  <w:pPr>
                    <w:spacing w:line="273" w:lineRule="auto"/>
                    <w:rPr>
                      <w:rFonts w:ascii="Arial"/>
                      <w:sz w:val="21"/>
                    </w:rPr>
                  </w:pPr>
                </w:p>
                <w:p w14:paraId="5C183D22">
                  <w:pPr>
                    <w:spacing w:line="274" w:lineRule="auto"/>
                    <w:rPr>
                      <w:rFonts w:ascii="Arial"/>
                      <w:sz w:val="21"/>
                    </w:rPr>
                  </w:pPr>
                </w:p>
                <w:p w14:paraId="79EDB317">
                  <w:pPr>
                    <w:pStyle w:val="6"/>
                    <w:spacing w:before="71" w:line="220" w:lineRule="auto"/>
                    <w:ind w:left="129"/>
                    <w:rPr>
                      <w:sz w:val="22"/>
                      <w:szCs w:val="22"/>
                    </w:rPr>
                  </w:pPr>
                  <w:r>
                    <w:rPr>
                      <w:spacing w:val="-5"/>
                      <w:sz w:val="22"/>
                      <w:szCs w:val="22"/>
                    </w:rPr>
                    <w:t>符合</w:t>
                  </w:r>
                </w:p>
              </w:tc>
            </w:tr>
            <w:tr w14:paraId="1093F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7" w:hRule="atLeast"/>
              </w:trPr>
              <w:tc>
                <w:tcPr>
                  <w:tcW w:w="590" w:type="dxa"/>
                  <w:vAlign w:val="top"/>
                </w:tcPr>
                <w:p w14:paraId="3B377AF7">
                  <w:pPr>
                    <w:spacing w:line="261" w:lineRule="auto"/>
                    <w:rPr>
                      <w:rFonts w:ascii="Arial"/>
                      <w:sz w:val="21"/>
                    </w:rPr>
                  </w:pPr>
                </w:p>
                <w:p w14:paraId="453F67E7">
                  <w:pPr>
                    <w:spacing w:line="261" w:lineRule="auto"/>
                    <w:rPr>
                      <w:rFonts w:ascii="Arial"/>
                      <w:sz w:val="21"/>
                    </w:rPr>
                  </w:pPr>
                </w:p>
                <w:p w14:paraId="6D029DE2">
                  <w:pPr>
                    <w:spacing w:line="261" w:lineRule="auto"/>
                    <w:rPr>
                      <w:rFonts w:ascii="Arial"/>
                      <w:sz w:val="21"/>
                    </w:rPr>
                  </w:pPr>
                </w:p>
                <w:p w14:paraId="2C614CAB">
                  <w:pPr>
                    <w:spacing w:line="261" w:lineRule="auto"/>
                    <w:rPr>
                      <w:rFonts w:ascii="Arial"/>
                      <w:sz w:val="21"/>
                    </w:rPr>
                  </w:pPr>
                </w:p>
                <w:p w14:paraId="67AAC48E">
                  <w:pPr>
                    <w:spacing w:line="261" w:lineRule="auto"/>
                    <w:rPr>
                      <w:rFonts w:ascii="Arial"/>
                      <w:sz w:val="21"/>
                    </w:rPr>
                  </w:pPr>
                </w:p>
                <w:p w14:paraId="2A261859">
                  <w:pPr>
                    <w:spacing w:line="262" w:lineRule="auto"/>
                    <w:rPr>
                      <w:rFonts w:ascii="Arial"/>
                      <w:sz w:val="21"/>
                    </w:rPr>
                  </w:pPr>
                </w:p>
                <w:p w14:paraId="7CA17352">
                  <w:pPr>
                    <w:spacing w:before="64" w:line="189" w:lineRule="auto"/>
                    <w:ind w:left="244"/>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4126" w:type="dxa"/>
                  <w:vAlign w:val="top"/>
                </w:tcPr>
                <w:p w14:paraId="11363713">
                  <w:pPr>
                    <w:pStyle w:val="6"/>
                    <w:spacing w:before="27" w:line="237" w:lineRule="auto"/>
                    <w:ind w:left="60"/>
                    <w:jc w:val="both"/>
                    <w:rPr>
                      <w:sz w:val="22"/>
                      <w:szCs w:val="22"/>
                    </w:rPr>
                  </w:pPr>
                  <w:r>
                    <w:rPr>
                      <w:spacing w:val="-2"/>
                      <w:sz w:val="22"/>
                      <w:szCs w:val="22"/>
                    </w:rPr>
                    <w:t>深化加油站油气回收工作。</w:t>
                  </w:r>
                  <w:r>
                    <w:rPr>
                      <w:rFonts w:ascii="Times New Roman" w:hAnsi="Times New Roman" w:eastAsia="Times New Roman" w:cs="Times New Roman"/>
                      <w:spacing w:val="-2"/>
                      <w:sz w:val="22"/>
                      <w:szCs w:val="22"/>
                    </w:rPr>
                    <w:t>O</w:t>
                  </w:r>
                  <w:r>
                    <w:rPr>
                      <w:rFonts w:ascii="Times New Roman" w:hAnsi="Times New Roman" w:eastAsia="Times New Roman" w:cs="Times New Roman"/>
                      <w:spacing w:val="-2"/>
                      <w:position w:val="-1"/>
                      <w:sz w:val="14"/>
                      <w:szCs w:val="14"/>
                    </w:rPr>
                    <w:t>3</w:t>
                  </w:r>
                  <w:r>
                    <w:rPr>
                      <w:rFonts w:ascii="Times New Roman" w:hAnsi="Times New Roman" w:eastAsia="Times New Roman" w:cs="Times New Roman"/>
                      <w:spacing w:val="-2"/>
                      <w:sz w:val="22"/>
                      <w:szCs w:val="22"/>
                    </w:rPr>
                    <w:t>-</w:t>
                  </w:r>
                  <w:r>
                    <w:rPr>
                      <w:spacing w:val="-2"/>
                      <w:sz w:val="22"/>
                      <w:szCs w:val="22"/>
                    </w:rPr>
                    <w:t>污染较重的</w:t>
                  </w:r>
                  <w:r>
                    <w:rPr>
                      <w:spacing w:val="-10"/>
                      <w:sz w:val="22"/>
                      <w:szCs w:val="22"/>
                    </w:rPr>
                    <w:t>地区，行政区域内大力推进加油站储油、加</w:t>
                  </w:r>
                  <w:r>
                    <w:rPr>
                      <w:spacing w:val="-4"/>
                      <w:sz w:val="22"/>
                      <w:szCs w:val="22"/>
                    </w:rPr>
                    <w:t>油油气回收治理工作，重点区域</w:t>
                  </w:r>
                  <w:r>
                    <w:rPr>
                      <w:spacing w:val="-41"/>
                      <w:sz w:val="22"/>
                      <w:szCs w:val="22"/>
                    </w:rPr>
                    <w:t xml:space="preserve"> </w:t>
                  </w:r>
                  <w:r>
                    <w:rPr>
                      <w:rFonts w:ascii="Times New Roman" w:hAnsi="Times New Roman" w:eastAsia="Times New Roman" w:cs="Times New Roman"/>
                      <w:spacing w:val="-4"/>
                      <w:sz w:val="22"/>
                      <w:szCs w:val="22"/>
                    </w:rPr>
                    <w:t xml:space="preserve">2019 </w:t>
                  </w:r>
                  <w:r>
                    <w:rPr>
                      <w:spacing w:val="-4"/>
                      <w:sz w:val="22"/>
                      <w:szCs w:val="22"/>
                    </w:rPr>
                    <w:t>年年</w:t>
                  </w:r>
                  <w:r>
                    <w:rPr>
                      <w:spacing w:val="-10"/>
                      <w:sz w:val="22"/>
                      <w:szCs w:val="22"/>
                    </w:rPr>
                    <w:t>底前基本完成。埋地油罐全面采用电子液位仪进行汽油密闭测量。规范油气回收设施运</w:t>
                  </w:r>
                  <w:r>
                    <w:rPr>
                      <w:spacing w:val="-7"/>
                      <w:sz w:val="22"/>
                      <w:szCs w:val="22"/>
                    </w:rPr>
                    <w:t>行，自行或聘请第三方加强加油枪气液比、</w:t>
                  </w:r>
                  <w:r>
                    <w:rPr>
                      <w:spacing w:val="-10"/>
                      <w:sz w:val="22"/>
                      <w:szCs w:val="22"/>
                    </w:rPr>
                    <w:t>系统密闭性及管线液阻等检查，提高检测频次，重点区域原则上每半年开展一次，确保油气回收系统正常运行。重点区域加快推进</w:t>
                  </w:r>
                  <w:r>
                    <w:rPr>
                      <w:spacing w:val="-5"/>
                      <w:sz w:val="22"/>
                      <w:szCs w:val="22"/>
                    </w:rPr>
                    <w:t>年销售汽油量大于</w:t>
                  </w:r>
                  <w:r>
                    <w:rPr>
                      <w:spacing w:val="-41"/>
                      <w:sz w:val="22"/>
                      <w:szCs w:val="22"/>
                    </w:rPr>
                    <w:t xml:space="preserve"> </w:t>
                  </w:r>
                  <w:r>
                    <w:rPr>
                      <w:rFonts w:ascii="Times New Roman" w:hAnsi="Times New Roman" w:eastAsia="Times New Roman" w:cs="Times New Roman"/>
                      <w:spacing w:val="-5"/>
                      <w:sz w:val="22"/>
                      <w:szCs w:val="22"/>
                    </w:rPr>
                    <w:t>5000</w:t>
                  </w:r>
                  <w:r>
                    <w:rPr>
                      <w:rFonts w:ascii="Times New Roman" w:hAnsi="Times New Roman" w:eastAsia="Times New Roman" w:cs="Times New Roman"/>
                      <w:spacing w:val="16"/>
                      <w:w w:val="101"/>
                      <w:sz w:val="22"/>
                      <w:szCs w:val="22"/>
                    </w:rPr>
                    <w:t xml:space="preserve"> </w:t>
                  </w:r>
                  <w:r>
                    <w:rPr>
                      <w:spacing w:val="-5"/>
                      <w:sz w:val="22"/>
                      <w:szCs w:val="22"/>
                    </w:rPr>
                    <w:t>吨的加油站安装油</w:t>
                  </w:r>
                  <w:r>
                    <w:rPr>
                      <w:spacing w:val="-10"/>
                      <w:sz w:val="22"/>
                      <w:szCs w:val="22"/>
                    </w:rPr>
                    <w:t>气回收自动监控设备，并与生态环境部门联</w:t>
                  </w:r>
                  <w:r>
                    <w:rPr>
                      <w:spacing w:val="-4"/>
                      <w:sz w:val="22"/>
                      <w:szCs w:val="22"/>
                    </w:rPr>
                    <w:t>网，</w:t>
                  </w:r>
                  <w:r>
                    <w:rPr>
                      <w:rFonts w:ascii="Times New Roman" w:hAnsi="Times New Roman" w:eastAsia="Times New Roman" w:cs="Times New Roman"/>
                      <w:spacing w:val="-4"/>
                      <w:sz w:val="22"/>
                      <w:szCs w:val="22"/>
                    </w:rPr>
                    <w:t xml:space="preserve">2020 </w:t>
                  </w:r>
                  <w:r>
                    <w:rPr>
                      <w:spacing w:val="-4"/>
                      <w:sz w:val="22"/>
                      <w:szCs w:val="22"/>
                    </w:rPr>
                    <w:t>年年底前基本完成</w:t>
                  </w:r>
                </w:p>
              </w:tc>
              <w:tc>
                <w:tcPr>
                  <w:tcW w:w="1863" w:type="dxa"/>
                  <w:vAlign w:val="top"/>
                </w:tcPr>
                <w:p w14:paraId="332FE9D4">
                  <w:pPr>
                    <w:spacing w:line="241" w:lineRule="auto"/>
                    <w:rPr>
                      <w:rFonts w:ascii="Arial"/>
                      <w:sz w:val="21"/>
                    </w:rPr>
                  </w:pPr>
                </w:p>
                <w:p w14:paraId="6B6A28CB">
                  <w:pPr>
                    <w:pStyle w:val="6"/>
                    <w:spacing w:before="71"/>
                    <w:ind w:left="74" w:right="58" w:firstLine="1"/>
                    <w:jc w:val="both"/>
                    <w:rPr>
                      <w:sz w:val="22"/>
                      <w:szCs w:val="22"/>
                    </w:rPr>
                  </w:pPr>
                  <w:r>
                    <w:rPr>
                      <w:spacing w:val="-5"/>
                      <w:sz w:val="22"/>
                      <w:szCs w:val="22"/>
                    </w:rPr>
                    <w:t>本项目输油管线均为双层防渗漏密闭管线，卸油、加油及储油系统均安装油气回收系统；同时，每年聘请第三方针对油气回收系统进行加油枪气液比、系统密闭性及</w:t>
                  </w:r>
                  <w:r>
                    <w:rPr>
                      <w:spacing w:val="11"/>
                      <w:sz w:val="22"/>
                      <w:szCs w:val="22"/>
                    </w:rPr>
                    <w:t>管线液阻等检查</w:t>
                  </w:r>
                </w:p>
              </w:tc>
              <w:tc>
                <w:tcPr>
                  <w:tcW w:w="675" w:type="dxa"/>
                  <w:vAlign w:val="top"/>
                </w:tcPr>
                <w:p w14:paraId="75D7BDF5">
                  <w:pPr>
                    <w:spacing w:line="253" w:lineRule="auto"/>
                    <w:rPr>
                      <w:rFonts w:ascii="Arial"/>
                      <w:sz w:val="21"/>
                    </w:rPr>
                  </w:pPr>
                </w:p>
                <w:p w14:paraId="476638E0">
                  <w:pPr>
                    <w:spacing w:line="253" w:lineRule="auto"/>
                    <w:rPr>
                      <w:rFonts w:ascii="Arial"/>
                      <w:sz w:val="21"/>
                    </w:rPr>
                  </w:pPr>
                </w:p>
                <w:p w14:paraId="45DE10CD">
                  <w:pPr>
                    <w:spacing w:line="253" w:lineRule="auto"/>
                    <w:rPr>
                      <w:rFonts w:ascii="Arial"/>
                      <w:sz w:val="21"/>
                    </w:rPr>
                  </w:pPr>
                </w:p>
                <w:p w14:paraId="19FEC635">
                  <w:pPr>
                    <w:spacing w:line="254" w:lineRule="auto"/>
                    <w:rPr>
                      <w:rFonts w:ascii="Arial"/>
                      <w:sz w:val="21"/>
                    </w:rPr>
                  </w:pPr>
                </w:p>
                <w:p w14:paraId="266E76B9">
                  <w:pPr>
                    <w:spacing w:line="254" w:lineRule="auto"/>
                    <w:rPr>
                      <w:rFonts w:ascii="Arial"/>
                      <w:sz w:val="21"/>
                    </w:rPr>
                  </w:pPr>
                </w:p>
                <w:p w14:paraId="029B84FB">
                  <w:pPr>
                    <w:spacing w:line="254" w:lineRule="auto"/>
                    <w:rPr>
                      <w:rFonts w:ascii="Arial"/>
                      <w:sz w:val="21"/>
                    </w:rPr>
                  </w:pPr>
                </w:p>
                <w:p w14:paraId="791F4892">
                  <w:pPr>
                    <w:pStyle w:val="6"/>
                    <w:spacing w:before="72" w:line="220" w:lineRule="auto"/>
                    <w:ind w:left="129"/>
                    <w:rPr>
                      <w:sz w:val="22"/>
                      <w:szCs w:val="22"/>
                    </w:rPr>
                  </w:pPr>
                  <w:r>
                    <w:rPr>
                      <w:spacing w:val="-5"/>
                      <w:sz w:val="22"/>
                      <w:szCs w:val="22"/>
                    </w:rPr>
                    <w:t>符合</w:t>
                  </w:r>
                </w:p>
              </w:tc>
            </w:tr>
            <w:tr w14:paraId="162A3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7" w:hRule="atLeast"/>
              </w:trPr>
              <w:tc>
                <w:tcPr>
                  <w:tcW w:w="590" w:type="dxa"/>
                  <w:vAlign w:val="top"/>
                </w:tcPr>
                <w:p w14:paraId="475B50A3">
                  <w:pPr>
                    <w:spacing w:line="244" w:lineRule="auto"/>
                    <w:rPr>
                      <w:rFonts w:ascii="Arial"/>
                      <w:sz w:val="21"/>
                    </w:rPr>
                  </w:pPr>
                </w:p>
                <w:p w14:paraId="3AE8D06E">
                  <w:pPr>
                    <w:spacing w:line="244" w:lineRule="auto"/>
                    <w:rPr>
                      <w:rFonts w:ascii="Arial"/>
                      <w:sz w:val="21"/>
                    </w:rPr>
                  </w:pPr>
                </w:p>
                <w:p w14:paraId="245E5902">
                  <w:pPr>
                    <w:spacing w:line="244" w:lineRule="auto"/>
                    <w:rPr>
                      <w:rFonts w:ascii="Arial"/>
                      <w:sz w:val="21"/>
                    </w:rPr>
                  </w:pPr>
                </w:p>
                <w:p w14:paraId="77635BF7">
                  <w:pPr>
                    <w:spacing w:line="244" w:lineRule="auto"/>
                    <w:rPr>
                      <w:rFonts w:ascii="Arial"/>
                      <w:sz w:val="21"/>
                    </w:rPr>
                  </w:pPr>
                </w:p>
                <w:p w14:paraId="5C631987">
                  <w:pPr>
                    <w:spacing w:line="244" w:lineRule="auto"/>
                    <w:rPr>
                      <w:rFonts w:ascii="Arial"/>
                      <w:sz w:val="21"/>
                    </w:rPr>
                  </w:pPr>
                </w:p>
                <w:p w14:paraId="4C5D122E">
                  <w:pPr>
                    <w:spacing w:line="245" w:lineRule="auto"/>
                    <w:rPr>
                      <w:rFonts w:ascii="Arial"/>
                      <w:sz w:val="21"/>
                    </w:rPr>
                  </w:pPr>
                </w:p>
                <w:p w14:paraId="6BA02B8B">
                  <w:pPr>
                    <w:spacing w:line="245" w:lineRule="auto"/>
                    <w:rPr>
                      <w:rFonts w:ascii="Arial"/>
                      <w:sz w:val="21"/>
                    </w:rPr>
                  </w:pPr>
                </w:p>
                <w:p w14:paraId="55115128">
                  <w:pPr>
                    <w:spacing w:before="64" w:line="189" w:lineRule="auto"/>
                    <w:ind w:left="248"/>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4126" w:type="dxa"/>
                  <w:vAlign w:val="top"/>
                </w:tcPr>
                <w:p w14:paraId="35A44F14">
                  <w:pPr>
                    <w:pStyle w:val="6"/>
                    <w:spacing w:before="35" w:line="237" w:lineRule="auto"/>
                    <w:ind w:left="60"/>
                    <w:jc w:val="both"/>
                    <w:rPr>
                      <w:sz w:val="22"/>
                      <w:szCs w:val="22"/>
                    </w:rPr>
                  </w:pPr>
                  <w:r>
                    <w:rPr>
                      <w:spacing w:val="-18"/>
                      <w:sz w:val="22"/>
                      <w:szCs w:val="22"/>
                    </w:rPr>
                    <w:t>推进储油库油气回收治理。汽油、航空煤油、</w:t>
                  </w:r>
                  <w:r>
                    <w:rPr>
                      <w:spacing w:val="-4"/>
                      <w:sz w:val="22"/>
                      <w:szCs w:val="22"/>
                    </w:rPr>
                    <w:t>原油以及真实蒸气压小于</w:t>
                  </w:r>
                  <w:r>
                    <w:rPr>
                      <w:rFonts w:ascii="Times New Roman" w:hAnsi="Times New Roman" w:eastAsia="Times New Roman" w:cs="Times New Roman"/>
                      <w:spacing w:val="-4"/>
                      <w:sz w:val="22"/>
                      <w:szCs w:val="22"/>
                    </w:rPr>
                    <w:t xml:space="preserve">76.6kPa </w:t>
                  </w:r>
                  <w:r>
                    <w:rPr>
                      <w:spacing w:val="-4"/>
                      <w:sz w:val="22"/>
                      <w:szCs w:val="22"/>
                    </w:rPr>
                    <w:t>的石脑油</w:t>
                  </w:r>
                  <w:r>
                    <w:rPr>
                      <w:spacing w:val="-11"/>
                      <w:sz w:val="22"/>
                      <w:szCs w:val="22"/>
                    </w:rPr>
                    <w:t>应采用浮顶罐储存，其中，油品容积小于等于</w:t>
                  </w:r>
                  <w:r>
                    <w:rPr>
                      <w:spacing w:val="-20"/>
                      <w:sz w:val="22"/>
                      <w:szCs w:val="22"/>
                    </w:rPr>
                    <w:t xml:space="preserve"> </w:t>
                  </w:r>
                  <w:r>
                    <w:rPr>
                      <w:rFonts w:ascii="Times New Roman" w:hAnsi="Times New Roman" w:eastAsia="Times New Roman" w:cs="Times New Roman"/>
                      <w:spacing w:val="-11"/>
                      <w:sz w:val="22"/>
                      <w:szCs w:val="22"/>
                    </w:rPr>
                    <w:t xml:space="preserve">100 </w:t>
                  </w:r>
                  <w:r>
                    <w:rPr>
                      <w:spacing w:val="-11"/>
                      <w:sz w:val="22"/>
                      <w:szCs w:val="22"/>
                    </w:rPr>
                    <w:t>立方米的，可采用卧式储罐。真实蒸</w:t>
                  </w:r>
                  <w:r>
                    <w:rPr>
                      <w:spacing w:val="-4"/>
                      <w:sz w:val="22"/>
                      <w:szCs w:val="22"/>
                    </w:rPr>
                    <w:t>气压大于等于</w:t>
                  </w:r>
                  <w:r>
                    <w:rPr>
                      <w:rFonts w:ascii="Times New Roman" w:hAnsi="Times New Roman" w:eastAsia="Times New Roman" w:cs="Times New Roman"/>
                      <w:spacing w:val="-4"/>
                      <w:sz w:val="22"/>
                      <w:szCs w:val="22"/>
                    </w:rPr>
                    <w:t xml:space="preserve">76.6kPa </w:t>
                  </w:r>
                  <w:r>
                    <w:rPr>
                      <w:spacing w:val="-4"/>
                      <w:sz w:val="22"/>
                      <w:szCs w:val="22"/>
                    </w:rPr>
                    <w:t>的石脑油应采用低压</w:t>
                  </w:r>
                  <w:r>
                    <w:rPr>
                      <w:spacing w:val="-11"/>
                      <w:sz w:val="22"/>
                      <w:szCs w:val="22"/>
                    </w:rPr>
                    <w:t>罐、压力罐或其他等效措施储存。加快推进油品收发过程排放的油气收集处理。加强储油库发油油气回收系统接口泄漏检测，提高检测频次，减少油气泄漏，确保油品装卸过程油气回收处理装置正常运行。加强油罐车</w:t>
                  </w:r>
                  <w:r>
                    <w:rPr>
                      <w:spacing w:val="1"/>
                      <w:sz w:val="22"/>
                      <w:szCs w:val="22"/>
                    </w:rPr>
                    <w:t>油气回收系统密闭性和油气回收气动阀门</w:t>
                  </w:r>
                  <w:r>
                    <w:rPr>
                      <w:spacing w:val="-11"/>
                      <w:sz w:val="22"/>
                      <w:szCs w:val="22"/>
                    </w:rPr>
                    <w:t>密闭性检测，每年至少开展一次。推动储油</w:t>
                  </w:r>
                  <w:r>
                    <w:rPr>
                      <w:spacing w:val="-6"/>
                      <w:sz w:val="22"/>
                      <w:szCs w:val="22"/>
                    </w:rPr>
                    <w:t>库安装油气回收自动监控设施</w:t>
                  </w:r>
                </w:p>
              </w:tc>
              <w:tc>
                <w:tcPr>
                  <w:tcW w:w="1863" w:type="dxa"/>
                  <w:vAlign w:val="top"/>
                </w:tcPr>
                <w:p w14:paraId="791A161B">
                  <w:pPr>
                    <w:spacing w:line="336" w:lineRule="auto"/>
                    <w:rPr>
                      <w:rFonts w:ascii="Arial"/>
                      <w:sz w:val="21"/>
                    </w:rPr>
                  </w:pPr>
                </w:p>
                <w:p w14:paraId="017FA771">
                  <w:pPr>
                    <w:spacing w:line="337" w:lineRule="auto"/>
                    <w:rPr>
                      <w:rFonts w:ascii="Arial"/>
                      <w:sz w:val="21"/>
                    </w:rPr>
                  </w:pPr>
                </w:p>
                <w:p w14:paraId="63093C6C">
                  <w:pPr>
                    <w:pStyle w:val="6"/>
                    <w:spacing w:before="71" w:line="219" w:lineRule="auto"/>
                    <w:ind w:left="76"/>
                    <w:rPr>
                      <w:sz w:val="22"/>
                      <w:szCs w:val="22"/>
                    </w:rPr>
                  </w:pPr>
                  <w:r>
                    <w:rPr>
                      <w:spacing w:val="-4"/>
                      <w:sz w:val="22"/>
                      <w:szCs w:val="22"/>
                    </w:rPr>
                    <w:t>本项目改建后，均</w:t>
                  </w:r>
                </w:p>
                <w:p w14:paraId="696A0E15">
                  <w:pPr>
                    <w:pStyle w:val="6"/>
                    <w:spacing w:before="24" w:line="220" w:lineRule="auto"/>
                    <w:ind w:left="78"/>
                    <w:rPr>
                      <w:sz w:val="22"/>
                      <w:szCs w:val="22"/>
                    </w:rPr>
                  </w:pPr>
                  <w:r>
                    <w:rPr>
                      <w:spacing w:val="-5"/>
                      <w:sz w:val="22"/>
                      <w:szCs w:val="22"/>
                    </w:rPr>
                    <w:t>为汽油储罐，汽油</w:t>
                  </w:r>
                </w:p>
                <w:p w14:paraId="125AEB96">
                  <w:pPr>
                    <w:pStyle w:val="6"/>
                    <w:spacing w:before="23" w:line="220" w:lineRule="auto"/>
                    <w:ind w:left="62"/>
                    <w:rPr>
                      <w:sz w:val="22"/>
                      <w:szCs w:val="22"/>
                    </w:rPr>
                  </w:pPr>
                  <w:r>
                    <w:rPr>
                      <w:spacing w:val="-4"/>
                      <w:sz w:val="22"/>
                      <w:szCs w:val="22"/>
                    </w:rPr>
                    <w:t>储存单罐容积均为</w:t>
                  </w:r>
                </w:p>
                <w:p w14:paraId="7CC370F4">
                  <w:pPr>
                    <w:pStyle w:val="6"/>
                    <w:spacing w:before="22" w:line="232" w:lineRule="auto"/>
                    <w:ind w:left="107"/>
                    <w:rPr>
                      <w:sz w:val="22"/>
                      <w:szCs w:val="22"/>
                    </w:rPr>
                  </w:pPr>
                  <w:r>
                    <w:rPr>
                      <w:rFonts w:ascii="Times New Roman" w:hAnsi="Times New Roman" w:eastAsia="Times New Roman" w:cs="Times New Roman"/>
                      <w:sz w:val="22"/>
                      <w:szCs w:val="22"/>
                    </w:rPr>
                    <w:t>30m</w:t>
                  </w:r>
                  <w:r>
                    <w:rPr>
                      <w:rFonts w:ascii="Times New Roman" w:hAnsi="Times New Roman" w:eastAsia="Times New Roman" w:cs="Times New Roman"/>
                      <w:position w:val="6"/>
                      <w:sz w:val="14"/>
                      <w:szCs w:val="14"/>
                    </w:rPr>
                    <w:t>3</w:t>
                  </w:r>
                  <w:r>
                    <w:rPr>
                      <w:rFonts w:ascii="Times New Roman" w:hAnsi="Times New Roman" w:eastAsia="Times New Roman" w:cs="Times New Roman"/>
                      <w:spacing w:val="-11"/>
                      <w:position w:val="6"/>
                      <w:sz w:val="14"/>
                      <w:szCs w:val="14"/>
                    </w:rPr>
                    <w:t xml:space="preserve"> </w:t>
                  </w:r>
                  <w:r>
                    <w:rPr>
                      <w:spacing w:val="-28"/>
                      <w:sz w:val="22"/>
                      <w:szCs w:val="22"/>
                    </w:rPr>
                    <w:t>，＜</w:t>
                  </w:r>
                  <w:r>
                    <w:rPr>
                      <w:rFonts w:ascii="Times New Roman" w:hAnsi="Times New Roman" w:eastAsia="Times New Roman" w:cs="Times New Roman"/>
                      <w:sz w:val="22"/>
                      <w:szCs w:val="22"/>
                    </w:rPr>
                    <w:t>100m</w:t>
                  </w:r>
                  <w:r>
                    <w:rPr>
                      <w:rFonts w:ascii="Times New Roman" w:hAnsi="Times New Roman" w:eastAsia="Times New Roman" w:cs="Times New Roman"/>
                      <w:position w:val="6"/>
                      <w:sz w:val="14"/>
                      <w:szCs w:val="14"/>
                    </w:rPr>
                    <w:t>3</w:t>
                  </w:r>
                  <w:r>
                    <w:rPr>
                      <w:sz w:val="22"/>
                      <w:szCs w:val="22"/>
                    </w:rPr>
                    <w:t>，</w:t>
                  </w:r>
                </w:p>
                <w:p w14:paraId="296DC8F0">
                  <w:pPr>
                    <w:pStyle w:val="6"/>
                    <w:spacing w:before="10" w:line="219" w:lineRule="auto"/>
                    <w:ind w:left="74"/>
                    <w:rPr>
                      <w:sz w:val="22"/>
                      <w:szCs w:val="22"/>
                    </w:rPr>
                  </w:pPr>
                  <w:r>
                    <w:rPr>
                      <w:spacing w:val="-3"/>
                      <w:sz w:val="22"/>
                      <w:szCs w:val="22"/>
                    </w:rPr>
                    <w:t>采用卧式储罐，设</w:t>
                  </w:r>
                </w:p>
                <w:p w14:paraId="30EB37E6">
                  <w:pPr>
                    <w:pStyle w:val="6"/>
                    <w:spacing w:before="24" w:line="220" w:lineRule="auto"/>
                    <w:ind w:left="73"/>
                    <w:rPr>
                      <w:sz w:val="22"/>
                      <w:szCs w:val="22"/>
                    </w:rPr>
                  </w:pPr>
                  <w:r>
                    <w:rPr>
                      <w:spacing w:val="-4"/>
                      <w:sz w:val="22"/>
                      <w:szCs w:val="22"/>
                    </w:rPr>
                    <w:t>置三级油气回收系</w:t>
                  </w:r>
                </w:p>
                <w:p w14:paraId="368C390F">
                  <w:pPr>
                    <w:pStyle w:val="6"/>
                    <w:spacing w:before="21" w:line="220" w:lineRule="auto"/>
                    <w:ind w:left="80"/>
                    <w:rPr>
                      <w:sz w:val="22"/>
                      <w:szCs w:val="22"/>
                    </w:rPr>
                  </w:pPr>
                  <w:r>
                    <w:rPr>
                      <w:spacing w:val="-5"/>
                      <w:sz w:val="22"/>
                      <w:szCs w:val="22"/>
                    </w:rPr>
                    <w:t>统，并设有自动监</w:t>
                  </w:r>
                </w:p>
                <w:p w14:paraId="299A05F7">
                  <w:pPr>
                    <w:pStyle w:val="6"/>
                    <w:spacing w:before="23" w:line="221" w:lineRule="auto"/>
                    <w:ind w:left="614"/>
                    <w:rPr>
                      <w:sz w:val="22"/>
                      <w:szCs w:val="22"/>
                    </w:rPr>
                  </w:pPr>
                  <w:r>
                    <w:rPr>
                      <w:spacing w:val="-4"/>
                      <w:sz w:val="22"/>
                      <w:szCs w:val="22"/>
                    </w:rPr>
                    <w:t>控设施</w:t>
                  </w:r>
                </w:p>
              </w:tc>
              <w:tc>
                <w:tcPr>
                  <w:tcW w:w="675" w:type="dxa"/>
                  <w:vAlign w:val="top"/>
                </w:tcPr>
                <w:p w14:paraId="55477EF7">
                  <w:pPr>
                    <w:spacing w:line="277" w:lineRule="auto"/>
                    <w:rPr>
                      <w:rFonts w:ascii="Arial"/>
                      <w:sz w:val="21"/>
                    </w:rPr>
                  </w:pPr>
                </w:p>
                <w:p w14:paraId="3147BC4B">
                  <w:pPr>
                    <w:spacing w:line="277" w:lineRule="auto"/>
                    <w:rPr>
                      <w:rFonts w:ascii="Arial"/>
                      <w:sz w:val="21"/>
                    </w:rPr>
                  </w:pPr>
                </w:p>
                <w:p w14:paraId="0ABB63BA">
                  <w:pPr>
                    <w:spacing w:line="277" w:lineRule="auto"/>
                    <w:rPr>
                      <w:rFonts w:ascii="Arial"/>
                      <w:sz w:val="21"/>
                    </w:rPr>
                  </w:pPr>
                </w:p>
                <w:p w14:paraId="387A352B">
                  <w:pPr>
                    <w:spacing w:line="277" w:lineRule="auto"/>
                    <w:rPr>
                      <w:rFonts w:ascii="Arial"/>
                      <w:sz w:val="21"/>
                    </w:rPr>
                  </w:pPr>
                </w:p>
                <w:p w14:paraId="7E4A48DC">
                  <w:pPr>
                    <w:spacing w:line="278" w:lineRule="auto"/>
                    <w:rPr>
                      <w:rFonts w:ascii="Arial"/>
                      <w:sz w:val="21"/>
                    </w:rPr>
                  </w:pPr>
                </w:p>
                <w:p w14:paraId="38498000">
                  <w:pPr>
                    <w:spacing w:line="278" w:lineRule="auto"/>
                    <w:rPr>
                      <w:rFonts w:ascii="Arial"/>
                      <w:sz w:val="21"/>
                    </w:rPr>
                  </w:pPr>
                </w:p>
                <w:p w14:paraId="515350FC">
                  <w:pPr>
                    <w:pStyle w:val="6"/>
                    <w:spacing w:before="72" w:line="220" w:lineRule="auto"/>
                    <w:ind w:left="129"/>
                    <w:rPr>
                      <w:sz w:val="22"/>
                      <w:szCs w:val="22"/>
                    </w:rPr>
                  </w:pPr>
                  <w:r>
                    <w:rPr>
                      <w:spacing w:val="-5"/>
                      <w:sz w:val="22"/>
                      <w:szCs w:val="22"/>
                    </w:rPr>
                    <w:t>符合</w:t>
                  </w:r>
                </w:p>
              </w:tc>
            </w:tr>
          </w:tbl>
          <w:p w14:paraId="69F6AECD">
            <w:pPr>
              <w:spacing w:line="260" w:lineRule="auto"/>
              <w:rPr>
                <w:rFonts w:ascii="Arial"/>
                <w:sz w:val="21"/>
              </w:rPr>
            </w:pPr>
          </w:p>
          <w:p w14:paraId="43AA9EF6">
            <w:pPr>
              <w:spacing w:line="260" w:lineRule="auto"/>
              <w:rPr>
                <w:rFonts w:ascii="Arial"/>
                <w:sz w:val="21"/>
              </w:rPr>
            </w:pPr>
          </w:p>
          <w:p w14:paraId="7580CA4F">
            <w:pPr>
              <w:pStyle w:val="6"/>
              <w:spacing w:before="82" w:line="342" w:lineRule="auto"/>
              <w:ind w:left="117" w:right="103" w:firstLine="545"/>
            </w:pPr>
            <w:r>
              <w:rPr>
                <w:spacing w:val="7"/>
              </w:rPr>
              <w:t>由上表分析可知，本项目符合《重点行业挥发性有机物综合治理方案》（环大气〔</w:t>
            </w:r>
            <w:r>
              <w:rPr>
                <w:rFonts w:ascii="Times New Roman" w:hAnsi="Times New Roman" w:eastAsia="Times New Roman" w:cs="Times New Roman"/>
                <w:spacing w:val="7"/>
              </w:rPr>
              <w:t>2022</w:t>
            </w:r>
            <w:r>
              <w:rPr>
                <w:spacing w:val="7"/>
              </w:rPr>
              <w:t>〕</w:t>
            </w:r>
            <w:r>
              <w:rPr>
                <w:rFonts w:ascii="Times New Roman" w:hAnsi="Times New Roman" w:eastAsia="Times New Roman" w:cs="Times New Roman"/>
                <w:spacing w:val="7"/>
              </w:rPr>
              <w:t>53</w:t>
            </w:r>
            <w:r>
              <w:rPr>
                <w:rFonts w:ascii="Times New Roman" w:hAnsi="Times New Roman" w:eastAsia="Times New Roman" w:cs="Times New Roman"/>
                <w:spacing w:val="21"/>
              </w:rPr>
              <w:t xml:space="preserve"> </w:t>
            </w:r>
            <w:r>
              <w:rPr>
                <w:spacing w:val="7"/>
              </w:rPr>
              <w:t>号）相</w:t>
            </w:r>
            <w:r>
              <w:rPr>
                <w:spacing w:val="6"/>
              </w:rPr>
              <w:t>关要求。</w:t>
            </w:r>
          </w:p>
        </w:tc>
      </w:tr>
    </w:tbl>
    <w:p w14:paraId="47CB58B5">
      <w:pPr>
        <w:pStyle w:val="2"/>
        <w:rPr>
          <w:sz w:val="21"/>
        </w:rPr>
      </w:pPr>
    </w:p>
    <w:p w14:paraId="42DB2123">
      <w:pPr>
        <w:rPr>
          <w:sz w:val="21"/>
          <w:szCs w:val="21"/>
        </w:rPr>
        <w:sectPr>
          <w:footerReference r:id="rId13" w:type="default"/>
          <w:pgSz w:w="11906" w:h="16839"/>
          <w:pgMar w:top="400" w:right="1508" w:bottom="1231" w:left="1508" w:header="0" w:footer="1002" w:gutter="0"/>
          <w:cols w:space="720" w:num="1"/>
        </w:sectPr>
      </w:pPr>
    </w:p>
    <w:p w14:paraId="366E88F3">
      <w:pPr>
        <w:spacing w:before="19"/>
      </w:pPr>
    </w:p>
    <w:p w14:paraId="3CA8A41D">
      <w:pPr>
        <w:spacing w:before="19"/>
      </w:pPr>
    </w:p>
    <w:p w14:paraId="7757DF1B">
      <w:pPr>
        <w:spacing w:before="19"/>
      </w:pPr>
    </w:p>
    <w:p w14:paraId="73B24D87">
      <w:pPr>
        <w:spacing w:before="18"/>
      </w:pPr>
    </w:p>
    <w:p w14:paraId="0F8DDE4E">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113"/>
        <w:gridCol w:w="771"/>
        <w:gridCol w:w="3283"/>
        <w:gridCol w:w="2358"/>
        <w:gridCol w:w="827"/>
        <w:gridCol w:w="122"/>
      </w:tblGrid>
      <w:tr w14:paraId="6A6B0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7" w:hRule="atLeast"/>
        </w:trPr>
        <w:tc>
          <w:tcPr>
            <w:tcW w:w="1400" w:type="dxa"/>
            <w:vMerge w:val="restart"/>
            <w:tcBorders>
              <w:top w:val="single" w:color="000000" w:sz="6" w:space="0"/>
              <w:left w:val="single" w:color="000000" w:sz="6" w:space="0"/>
              <w:bottom w:val="nil"/>
            </w:tcBorders>
            <w:vAlign w:val="top"/>
          </w:tcPr>
          <w:p w14:paraId="7F6849ED">
            <w:pPr>
              <w:rPr>
                <w:rFonts w:ascii="Arial"/>
                <w:sz w:val="21"/>
              </w:rPr>
            </w:pPr>
          </w:p>
        </w:tc>
        <w:tc>
          <w:tcPr>
            <w:tcW w:w="7474" w:type="dxa"/>
            <w:gridSpan w:val="6"/>
            <w:tcBorders>
              <w:top w:val="single" w:color="000000" w:sz="6" w:space="0"/>
              <w:right w:val="single" w:color="000000" w:sz="6" w:space="0"/>
            </w:tcBorders>
            <w:vAlign w:val="top"/>
          </w:tcPr>
          <w:p w14:paraId="18F78958">
            <w:pPr>
              <w:pStyle w:val="6"/>
              <w:spacing w:before="151" w:line="339" w:lineRule="auto"/>
              <w:ind w:left="112" w:right="79" w:firstLine="4"/>
            </w:pPr>
            <w:r>
              <w:rPr>
                <w:rFonts w:ascii="Times New Roman" w:hAnsi="Times New Roman" w:eastAsia="Times New Roman" w:cs="Times New Roman"/>
                <w:b/>
                <w:bCs/>
                <w:spacing w:val="6"/>
              </w:rPr>
              <w:t xml:space="preserve">1.5 </w:t>
            </w:r>
            <w:r>
              <w:rPr>
                <w:b/>
                <w:bCs/>
                <w:spacing w:val="6"/>
              </w:rPr>
              <w:t>与《挥发性有机物无组织排放控制标准》（</w:t>
            </w:r>
            <w:r>
              <w:rPr>
                <w:rFonts w:ascii="Times New Roman" w:hAnsi="Times New Roman" w:eastAsia="Times New Roman" w:cs="Times New Roman"/>
                <w:b/>
                <w:bCs/>
              </w:rPr>
              <w:t>GB</w:t>
            </w:r>
            <w:r>
              <w:rPr>
                <w:rFonts w:ascii="Times New Roman" w:hAnsi="Times New Roman" w:eastAsia="Times New Roman" w:cs="Times New Roman"/>
                <w:b/>
                <w:bCs/>
                <w:spacing w:val="6"/>
              </w:rPr>
              <w:t xml:space="preserve"> 37822-2</w:t>
            </w:r>
            <w:r>
              <w:rPr>
                <w:rFonts w:ascii="Times New Roman" w:hAnsi="Times New Roman" w:eastAsia="Times New Roman" w:cs="Times New Roman"/>
                <w:b/>
                <w:bCs/>
                <w:spacing w:val="5"/>
              </w:rPr>
              <w:t>019</w:t>
            </w:r>
            <w:r>
              <w:rPr>
                <w:b/>
                <w:bCs/>
                <w:spacing w:val="5"/>
              </w:rPr>
              <w:t>）符合性分析</w:t>
            </w:r>
          </w:p>
          <w:p w14:paraId="11A731D8">
            <w:pPr>
              <w:pStyle w:val="6"/>
              <w:spacing w:line="340" w:lineRule="auto"/>
              <w:ind w:left="111" w:right="103" w:firstLine="521"/>
            </w:pPr>
            <w:r>
              <w:rPr>
                <w:spacing w:val="28"/>
              </w:rPr>
              <w:t>本项</w:t>
            </w:r>
            <w:r>
              <w:rPr>
                <w:spacing w:val="-17"/>
              </w:rPr>
              <w:t xml:space="preserve"> </w:t>
            </w:r>
            <w:r>
              <w:rPr>
                <w:spacing w:val="28"/>
              </w:rPr>
              <w:t>目与《挥发性有机物无组织排放控制标准》</w:t>
            </w:r>
            <w:r>
              <w:rPr>
                <w:spacing w:val="-48"/>
              </w:rPr>
              <w:t xml:space="preserve"> </w:t>
            </w:r>
            <w:r>
              <w:rPr>
                <w:spacing w:val="28"/>
              </w:rPr>
              <w:t>（</w:t>
            </w:r>
            <w:r>
              <w:rPr>
                <w:spacing w:val="-47"/>
              </w:rPr>
              <w:t xml:space="preserve"> </w:t>
            </w:r>
            <w:r>
              <w:rPr>
                <w:rFonts w:ascii="Times New Roman" w:hAnsi="Times New Roman" w:eastAsia="Times New Roman" w:cs="Times New Roman"/>
              </w:rPr>
              <w:t xml:space="preserve">GB </w:t>
            </w:r>
            <w:r>
              <w:rPr>
                <w:rFonts w:ascii="Times New Roman" w:hAnsi="Times New Roman" w:eastAsia="Times New Roman" w:cs="Times New Roman"/>
                <w:spacing w:val="6"/>
              </w:rPr>
              <w:t>37822-2019</w:t>
            </w:r>
            <w:r>
              <w:rPr>
                <w:spacing w:val="6"/>
              </w:rPr>
              <w:t>）符合性分析见下表。</w:t>
            </w:r>
          </w:p>
          <w:p w14:paraId="7EBA41B0">
            <w:pPr>
              <w:pStyle w:val="6"/>
              <w:spacing w:line="225" w:lineRule="auto"/>
              <w:ind w:left="109"/>
            </w:pPr>
            <w:r>
              <w:rPr>
                <w:spacing w:val="3"/>
              </w:rPr>
              <w:t>表</w:t>
            </w:r>
            <w:r>
              <w:rPr>
                <w:spacing w:val="-29"/>
              </w:rPr>
              <w:t xml:space="preserve"> </w:t>
            </w:r>
            <w:r>
              <w:rPr>
                <w:rFonts w:ascii="Times New Roman" w:hAnsi="Times New Roman" w:eastAsia="Times New Roman" w:cs="Times New Roman"/>
                <w:spacing w:val="3"/>
              </w:rPr>
              <w:t>1.5-</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 xml:space="preserve">1    </w:t>
            </w:r>
            <w:r>
              <w:rPr>
                <w:spacing w:val="3"/>
              </w:rPr>
              <w:t>与《挥发性有机物无组织排放控制标准》符合性分析表</w:t>
            </w:r>
          </w:p>
        </w:tc>
      </w:tr>
      <w:tr w14:paraId="3A2A1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400" w:type="dxa"/>
            <w:vMerge w:val="continue"/>
            <w:tcBorders>
              <w:top w:val="nil"/>
              <w:left w:val="single" w:color="000000" w:sz="6" w:space="0"/>
              <w:bottom w:val="nil"/>
            </w:tcBorders>
            <w:vAlign w:val="top"/>
          </w:tcPr>
          <w:p w14:paraId="571ED8DE">
            <w:pPr>
              <w:rPr>
                <w:rFonts w:ascii="Arial"/>
                <w:sz w:val="21"/>
              </w:rPr>
            </w:pPr>
          </w:p>
        </w:tc>
        <w:tc>
          <w:tcPr>
            <w:tcW w:w="113" w:type="dxa"/>
            <w:tcBorders>
              <w:top w:val="nil"/>
              <w:bottom w:val="nil"/>
            </w:tcBorders>
            <w:vAlign w:val="top"/>
          </w:tcPr>
          <w:p w14:paraId="5D3D401A">
            <w:pPr>
              <w:rPr>
                <w:rFonts w:ascii="Arial"/>
                <w:sz w:val="21"/>
              </w:rPr>
            </w:pPr>
          </w:p>
        </w:tc>
        <w:tc>
          <w:tcPr>
            <w:tcW w:w="771" w:type="dxa"/>
            <w:vAlign w:val="top"/>
          </w:tcPr>
          <w:p w14:paraId="58A4662C">
            <w:pPr>
              <w:pStyle w:val="6"/>
              <w:spacing w:before="228" w:line="220" w:lineRule="auto"/>
              <w:ind w:left="166"/>
              <w:rPr>
                <w:sz w:val="22"/>
                <w:szCs w:val="22"/>
              </w:rPr>
            </w:pPr>
            <w:r>
              <w:rPr>
                <w:spacing w:val="-4"/>
                <w:sz w:val="22"/>
                <w:szCs w:val="22"/>
              </w:rPr>
              <w:t>类别</w:t>
            </w:r>
          </w:p>
        </w:tc>
        <w:tc>
          <w:tcPr>
            <w:tcW w:w="3283" w:type="dxa"/>
            <w:vAlign w:val="top"/>
          </w:tcPr>
          <w:p w14:paraId="16F50FA6">
            <w:pPr>
              <w:pStyle w:val="6"/>
              <w:spacing w:before="227" w:line="221" w:lineRule="auto"/>
              <w:ind w:left="1206"/>
              <w:rPr>
                <w:sz w:val="22"/>
                <w:szCs w:val="22"/>
              </w:rPr>
            </w:pPr>
            <w:r>
              <w:rPr>
                <w:spacing w:val="-3"/>
                <w:sz w:val="22"/>
                <w:szCs w:val="22"/>
              </w:rPr>
              <w:t>标准要求</w:t>
            </w:r>
          </w:p>
        </w:tc>
        <w:tc>
          <w:tcPr>
            <w:tcW w:w="2358" w:type="dxa"/>
            <w:vAlign w:val="top"/>
          </w:tcPr>
          <w:p w14:paraId="68012A64">
            <w:pPr>
              <w:pStyle w:val="6"/>
              <w:spacing w:before="227" w:line="221" w:lineRule="auto"/>
              <w:ind w:left="753"/>
              <w:rPr>
                <w:sz w:val="22"/>
                <w:szCs w:val="22"/>
              </w:rPr>
            </w:pPr>
            <w:r>
              <w:rPr>
                <w:spacing w:val="-3"/>
                <w:sz w:val="22"/>
                <w:szCs w:val="22"/>
              </w:rPr>
              <w:t>项目情况</w:t>
            </w:r>
          </w:p>
        </w:tc>
        <w:tc>
          <w:tcPr>
            <w:tcW w:w="827" w:type="dxa"/>
            <w:vAlign w:val="top"/>
          </w:tcPr>
          <w:p w14:paraId="4270D4A1">
            <w:pPr>
              <w:pStyle w:val="6"/>
              <w:spacing w:before="79" w:line="226" w:lineRule="auto"/>
              <w:ind w:left="318" w:right="182" w:hanging="111"/>
              <w:rPr>
                <w:sz w:val="22"/>
                <w:szCs w:val="22"/>
              </w:rPr>
            </w:pPr>
            <w:r>
              <w:rPr>
                <w:spacing w:val="-5"/>
                <w:sz w:val="22"/>
                <w:szCs w:val="22"/>
              </w:rPr>
              <w:t>符合</w:t>
            </w:r>
            <w:r>
              <w:rPr>
                <w:sz w:val="22"/>
                <w:szCs w:val="22"/>
              </w:rPr>
              <w:t>性</w:t>
            </w:r>
          </w:p>
        </w:tc>
        <w:tc>
          <w:tcPr>
            <w:tcW w:w="122" w:type="dxa"/>
            <w:tcBorders>
              <w:top w:val="nil"/>
              <w:bottom w:val="nil"/>
              <w:right w:val="single" w:color="000000" w:sz="6" w:space="0"/>
            </w:tcBorders>
            <w:vAlign w:val="top"/>
          </w:tcPr>
          <w:p w14:paraId="2B95F280">
            <w:pPr>
              <w:rPr>
                <w:rFonts w:ascii="Arial"/>
                <w:sz w:val="21"/>
              </w:rPr>
            </w:pPr>
          </w:p>
        </w:tc>
      </w:tr>
      <w:tr w14:paraId="0F8B6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trPr>
        <w:tc>
          <w:tcPr>
            <w:tcW w:w="1400" w:type="dxa"/>
            <w:vMerge w:val="continue"/>
            <w:tcBorders>
              <w:top w:val="nil"/>
              <w:left w:val="single" w:color="000000" w:sz="6" w:space="0"/>
              <w:bottom w:val="nil"/>
            </w:tcBorders>
            <w:vAlign w:val="top"/>
          </w:tcPr>
          <w:p w14:paraId="7F65A951">
            <w:pPr>
              <w:rPr>
                <w:rFonts w:ascii="Arial"/>
                <w:sz w:val="21"/>
              </w:rPr>
            </w:pPr>
          </w:p>
        </w:tc>
        <w:tc>
          <w:tcPr>
            <w:tcW w:w="113" w:type="dxa"/>
            <w:tcBorders>
              <w:top w:val="nil"/>
              <w:bottom w:val="nil"/>
            </w:tcBorders>
            <w:vAlign w:val="top"/>
          </w:tcPr>
          <w:p w14:paraId="61BC88A3">
            <w:pPr>
              <w:rPr>
                <w:rFonts w:ascii="Arial"/>
                <w:sz w:val="21"/>
              </w:rPr>
            </w:pPr>
          </w:p>
        </w:tc>
        <w:tc>
          <w:tcPr>
            <w:tcW w:w="771" w:type="dxa"/>
            <w:vMerge w:val="restart"/>
            <w:tcBorders>
              <w:bottom w:val="nil"/>
            </w:tcBorders>
            <w:vAlign w:val="top"/>
          </w:tcPr>
          <w:p w14:paraId="12597C7A">
            <w:pPr>
              <w:spacing w:line="261" w:lineRule="auto"/>
              <w:rPr>
                <w:rFonts w:ascii="Arial"/>
                <w:sz w:val="21"/>
              </w:rPr>
            </w:pPr>
          </w:p>
          <w:p w14:paraId="08E76071">
            <w:pPr>
              <w:spacing w:line="261" w:lineRule="auto"/>
              <w:rPr>
                <w:rFonts w:ascii="Arial"/>
                <w:sz w:val="21"/>
              </w:rPr>
            </w:pPr>
          </w:p>
          <w:p w14:paraId="14422133">
            <w:pPr>
              <w:spacing w:line="261" w:lineRule="auto"/>
              <w:rPr>
                <w:rFonts w:ascii="Arial"/>
                <w:sz w:val="21"/>
              </w:rPr>
            </w:pPr>
          </w:p>
          <w:p w14:paraId="092D9010">
            <w:pPr>
              <w:spacing w:line="261" w:lineRule="auto"/>
              <w:rPr>
                <w:rFonts w:ascii="Arial"/>
                <w:sz w:val="21"/>
              </w:rPr>
            </w:pPr>
          </w:p>
          <w:p w14:paraId="4385728F">
            <w:pPr>
              <w:spacing w:line="261" w:lineRule="auto"/>
              <w:rPr>
                <w:rFonts w:ascii="Arial"/>
                <w:sz w:val="21"/>
              </w:rPr>
            </w:pPr>
          </w:p>
          <w:p w14:paraId="2CA8B63B">
            <w:pPr>
              <w:spacing w:line="261" w:lineRule="auto"/>
              <w:rPr>
                <w:rFonts w:ascii="Arial"/>
                <w:sz w:val="21"/>
              </w:rPr>
            </w:pPr>
          </w:p>
          <w:p w14:paraId="63DE0ADB">
            <w:pPr>
              <w:spacing w:line="262" w:lineRule="auto"/>
              <w:rPr>
                <w:rFonts w:ascii="Arial"/>
                <w:sz w:val="21"/>
              </w:rPr>
            </w:pPr>
          </w:p>
          <w:p w14:paraId="34C79420">
            <w:pPr>
              <w:pStyle w:val="6"/>
              <w:spacing w:before="71" w:line="253" w:lineRule="auto"/>
              <w:ind w:left="165" w:right="166"/>
              <w:jc w:val="both"/>
              <w:rPr>
                <w:sz w:val="22"/>
                <w:szCs w:val="22"/>
              </w:rPr>
            </w:pPr>
            <w:r>
              <w:rPr>
                <w:spacing w:val="-3"/>
                <w:sz w:val="22"/>
                <w:szCs w:val="22"/>
              </w:rPr>
              <w:t>储存</w:t>
            </w:r>
            <w:r>
              <w:rPr>
                <w:spacing w:val="-4"/>
                <w:sz w:val="22"/>
                <w:szCs w:val="22"/>
              </w:rPr>
              <w:t>无组织排放控制要</w:t>
            </w:r>
            <w:r>
              <w:rPr>
                <w:spacing w:val="41"/>
                <w:w w:val="128"/>
                <w:sz w:val="22"/>
                <w:szCs w:val="22"/>
              </w:rPr>
              <w:t>求</w:t>
            </w:r>
          </w:p>
        </w:tc>
        <w:tc>
          <w:tcPr>
            <w:tcW w:w="3283" w:type="dxa"/>
            <w:vAlign w:val="top"/>
          </w:tcPr>
          <w:p w14:paraId="534886B5">
            <w:pPr>
              <w:pStyle w:val="6"/>
              <w:spacing w:before="79" w:line="220" w:lineRule="auto"/>
              <w:ind w:left="104"/>
              <w:rPr>
                <w:sz w:val="22"/>
                <w:szCs w:val="22"/>
              </w:rPr>
            </w:pPr>
            <w:r>
              <w:rPr>
                <w:rFonts w:ascii="Times New Roman" w:hAnsi="Times New Roman" w:eastAsia="Times New Roman" w:cs="Times New Roman"/>
                <w:spacing w:val="-1"/>
                <w:sz w:val="22"/>
                <w:szCs w:val="22"/>
              </w:rPr>
              <w:t xml:space="preserve">VOCs </w:t>
            </w:r>
            <w:r>
              <w:rPr>
                <w:spacing w:val="-1"/>
                <w:sz w:val="22"/>
                <w:szCs w:val="22"/>
              </w:rPr>
              <w:t>物料应储存于密闭的容</w:t>
            </w:r>
          </w:p>
          <w:p w14:paraId="5DC27BBA">
            <w:pPr>
              <w:pStyle w:val="6"/>
              <w:spacing w:before="36" w:line="224" w:lineRule="auto"/>
              <w:ind w:left="131" w:right="101" w:hanging="20"/>
              <w:rPr>
                <w:sz w:val="22"/>
                <w:szCs w:val="22"/>
              </w:rPr>
            </w:pPr>
            <w:r>
              <w:rPr>
                <w:spacing w:val="-2"/>
                <w:sz w:val="22"/>
                <w:szCs w:val="22"/>
              </w:rPr>
              <w:t>器、包装袋、储罐、储库、料仓</w:t>
            </w:r>
            <w:r>
              <w:rPr>
                <w:sz w:val="22"/>
                <w:szCs w:val="22"/>
              </w:rPr>
              <w:t>中</w:t>
            </w:r>
          </w:p>
        </w:tc>
        <w:tc>
          <w:tcPr>
            <w:tcW w:w="2358" w:type="dxa"/>
            <w:vAlign w:val="top"/>
          </w:tcPr>
          <w:p w14:paraId="060CD828">
            <w:pPr>
              <w:pStyle w:val="6"/>
              <w:spacing w:before="227" w:line="254" w:lineRule="auto"/>
              <w:ind w:left="116" w:right="95"/>
              <w:rPr>
                <w:sz w:val="22"/>
                <w:szCs w:val="22"/>
              </w:rPr>
            </w:pPr>
            <w:r>
              <w:rPr>
                <w:spacing w:val="10"/>
                <w:sz w:val="22"/>
                <w:szCs w:val="22"/>
              </w:rPr>
              <w:t>本项</w:t>
            </w:r>
            <w:r>
              <w:rPr>
                <w:spacing w:val="-40"/>
                <w:sz w:val="22"/>
                <w:szCs w:val="22"/>
              </w:rPr>
              <w:t xml:space="preserve"> </w:t>
            </w:r>
            <w:r>
              <w:rPr>
                <w:spacing w:val="10"/>
                <w:sz w:val="22"/>
                <w:szCs w:val="22"/>
              </w:rPr>
              <w:t>目汽油储存于埋</w:t>
            </w:r>
            <w:r>
              <w:rPr>
                <w:spacing w:val="-4"/>
                <w:sz w:val="22"/>
                <w:szCs w:val="22"/>
              </w:rPr>
              <w:t>地密闭双层储油罐内</w:t>
            </w:r>
          </w:p>
        </w:tc>
        <w:tc>
          <w:tcPr>
            <w:tcW w:w="827" w:type="dxa"/>
            <w:vAlign w:val="top"/>
          </w:tcPr>
          <w:p w14:paraId="3CE05864">
            <w:pPr>
              <w:spacing w:line="306" w:lineRule="auto"/>
              <w:rPr>
                <w:rFonts w:ascii="Arial"/>
                <w:sz w:val="21"/>
              </w:rPr>
            </w:pPr>
          </w:p>
          <w:p w14:paraId="39F4693A">
            <w:pPr>
              <w:pStyle w:val="6"/>
              <w:spacing w:before="72" w:line="220" w:lineRule="auto"/>
              <w:ind w:left="207"/>
              <w:rPr>
                <w:sz w:val="22"/>
                <w:szCs w:val="22"/>
              </w:rPr>
            </w:pPr>
            <w:r>
              <w:rPr>
                <w:spacing w:val="-5"/>
                <w:sz w:val="22"/>
                <w:szCs w:val="22"/>
              </w:rPr>
              <w:t>符合</w:t>
            </w:r>
          </w:p>
        </w:tc>
        <w:tc>
          <w:tcPr>
            <w:tcW w:w="122" w:type="dxa"/>
            <w:tcBorders>
              <w:top w:val="nil"/>
              <w:bottom w:val="nil"/>
              <w:right w:val="single" w:color="000000" w:sz="6" w:space="0"/>
            </w:tcBorders>
            <w:vAlign w:val="top"/>
          </w:tcPr>
          <w:p w14:paraId="4A3CF699">
            <w:pPr>
              <w:rPr>
                <w:rFonts w:ascii="Arial"/>
                <w:sz w:val="21"/>
              </w:rPr>
            </w:pPr>
          </w:p>
        </w:tc>
      </w:tr>
      <w:tr w14:paraId="0FB89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4" w:hRule="atLeast"/>
        </w:trPr>
        <w:tc>
          <w:tcPr>
            <w:tcW w:w="1400" w:type="dxa"/>
            <w:vMerge w:val="continue"/>
            <w:tcBorders>
              <w:top w:val="nil"/>
              <w:left w:val="single" w:color="000000" w:sz="6" w:space="0"/>
              <w:bottom w:val="nil"/>
            </w:tcBorders>
            <w:vAlign w:val="top"/>
          </w:tcPr>
          <w:p w14:paraId="62C10013">
            <w:pPr>
              <w:rPr>
                <w:rFonts w:ascii="Arial"/>
                <w:sz w:val="21"/>
              </w:rPr>
            </w:pPr>
          </w:p>
        </w:tc>
        <w:tc>
          <w:tcPr>
            <w:tcW w:w="113" w:type="dxa"/>
            <w:tcBorders>
              <w:top w:val="nil"/>
              <w:bottom w:val="nil"/>
            </w:tcBorders>
            <w:vAlign w:val="top"/>
          </w:tcPr>
          <w:p w14:paraId="209FB6B8">
            <w:pPr>
              <w:rPr>
                <w:rFonts w:ascii="Arial"/>
                <w:sz w:val="21"/>
              </w:rPr>
            </w:pPr>
          </w:p>
        </w:tc>
        <w:tc>
          <w:tcPr>
            <w:tcW w:w="771" w:type="dxa"/>
            <w:vMerge w:val="continue"/>
            <w:tcBorders>
              <w:top w:val="nil"/>
              <w:bottom w:val="nil"/>
            </w:tcBorders>
            <w:vAlign w:val="top"/>
          </w:tcPr>
          <w:p w14:paraId="2A476E79">
            <w:pPr>
              <w:rPr>
                <w:rFonts w:ascii="Arial"/>
                <w:sz w:val="21"/>
              </w:rPr>
            </w:pPr>
          </w:p>
        </w:tc>
        <w:tc>
          <w:tcPr>
            <w:tcW w:w="3283" w:type="dxa"/>
            <w:vAlign w:val="top"/>
          </w:tcPr>
          <w:p w14:paraId="0D59AA89">
            <w:pPr>
              <w:pStyle w:val="6"/>
              <w:spacing w:before="88"/>
              <w:ind w:left="111" w:right="101" w:firstLine="1"/>
              <w:jc w:val="both"/>
              <w:rPr>
                <w:sz w:val="22"/>
                <w:szCs w:val="22"/>
              </w:rPr>
            </w:pPr>
            <w:r>
              <w:rPr>
                <w:spacing w:val="3"/>
                <w:sz w:val="22"/>
                <w:szCs w:val="22"/>
              </w:rPr>
              <w:t>盛装</w:t>
            </w:r>
            <w:r>
              <w:rPr>
                <w:spacing w:val="-53"/>
                <w:sz w:val="22"/>
                <w:szCs w:val="22"/>
              </w:rPr>
              <w:t xml:space="preserve"> </w:t>
            </w:r>
            <w:r>
              <w:rPr>
                <w:rFonts w:ascii="Times New Roman" w:hAnsi="Times New Roman" w:eastAsia="Times New Roman" w:cs="Times New Roman"/>
                <w:sz w:val="22"/>
                <w:szCs w:val="22"/>
              </w:rPr>
              <w:t>VOCs</w:t>
            </w:r>
            <w:r>
              <w:rPr>
                <w:spacing w:val="3"/>
                <w:sz w:val="22"/>
                <w:szCs w:val="22"/>
              </w:rPr>
              <w:t>物料的容器或包装袋</w:t>
            </w:r>
            <w:r>
              <w:rPr>
                <w:spacing w:val="-2"/>
                <w:sz w:val="22"/>
                <w:szCs w:val="22"/>
              </w:rPr>
              <w:t>应存放于室内，或存放于设置有雨棚、遮阳和防渗设施的专用场</w:t>
            </w:r>
            <w:r>
              <w:rPr>
                <w:spacing w:val="3"/>
                <w:sz w:val="22"/>
                <w:szCs w:val="22"/>
              </w:rPr>
              <w:t>地。盛装</w:t>
            </w:r>
            <w:r>
              <w:rPr>
                <w:spacing w:val="-51"/>
                <w:sz w:val="22"/>
                <w:szCs w:val="22"/>
              </w:rPr>
              <w:t xml:space="preserve"> </w:t>
            </w:r>
            <w:r>
              <w:rPr>
                <w:rFonts w:ascii="Times New Roman" w:hAnsi="Times New Roman" w:eastAsia="Times New Roman" w:cs="Times New Roman"/>
                <w:sz w:val="22"/>
                <w:szCs w:val="22"/>
              </w:rPr>
              <w:t>VOCs</w:t>
            </w:r>
            <w:r>
              <w:rPr>
                <w:spacing w:val="3"/>
                <w:sz w:val="22"/>
                <w:szCs w:val="22"/>
              </w:rPr>
              <w:t>物料的容器或包</w:t>
            </w:r>
            <w:r>
              <w:rPr>
                <w:spacing w:val="-2"/>
                <w:sz w:val="22"/>
                <w:szCs w:val="22"/>
              </w:rPr>
              <w:t>装袋在非取用状态时应加盖、封口，保持密闭</w:t>
            </w:r>
          </w:p>
        </w:tc>
        <w:tc>
          <w:tcPr>
            <w:tcW w:w="2358" w:type="dxa"/>
            <w:vAlign w:val="top"/>
          </w:tcPr>
          <w:p w14:paraId="5060834D">
            <w:pPr>
              <w:spacing w:line="310" w:lineRule="auto"/>
              <w:rPr>
                <w:rFonts w:ascii="Arial"/>
                <w:sz w:val="21"/>
              </w:rPr>
            </w:pPr>
          </w:p>
          <w:p w14:paraId="45BE0874">
            <w:pPr>
              <w:pStyle w:val="6"/>
              <w:spacing w:before="72" w:line="253" w:lineRule="auto"/>
              <w:ind w:left="116" w:right="95"/>
              <w:jc w:val="both"/>
              <w:rPr>
                <w:sz w:val="22"/>
                <w:szCs w:val="22"/>
              </w:rPr>
            </w:pPr>
            <w:r>
              <w:rPr>
                <w:spacing w:val="10"/>
                <w:sz w:val="22"/>
                <w:szCs w:val="22"/>
              </w:rPr>
              <w:t>本项</w:t>
            </w:r>
            <w:r>
              <w:rPr>
                <w:spacing w:val="-40"/>
                <w:sz w:val="22"/>
                <w:szCs w:val="22"/>
              </w:rPr>
              <w:t xml:space="preserve"> </w:t>
            </w:r>
            <w:r>
              <w:rPr>
                <w:spacing w:val="10"/>
                <w:sz w:val="22"/>
                <w:szCs w:val="22"/>
              </w:rPr>
              <w:t>目储油罐均为埋</w:t>
            </w:r>
            <w:r>
              <w:rPr>
                <w:spacing w:val="2"/>
                <w:sz w:val="22"/>
                <w:szCs w:val="22"/>
              </w:rPr>
              <w:t>地式</w:t>
            </w:r>
            <w:r>
              <w:rPr>
                <w:spacing w:val="-47"/>
                <w:sz w:val="22"/>
                <w:szCs w:val="22"/>
              </w:rPr>
              <w:t xml:space="preserve"> </w:t>
            </w:r>
            <w:r>
              <w:rPr>
                <w:rFonts w:ascii="Times New Roman" w:hAnsi="Times New Roman" w:eastAsia="Times New Roman" w:cs="Times New Roman"/>
                <w:sz w:val="22"/>
                <w:szCs w:val="22"/>
              </w:rPr>
              <w:t>FF</w:t>
            </w:r>
            <w:r>
              <w:rPr>
                <w:rFonts w:ascii="Times New Roman" w:hAnsi="Times New Roman" w:eastAsia="Times New Roman" w:cs="Times New Roman"/>
                <w:spacing w:val="2"/>
                <w:sz w:val="22"/>
                <w:szCs w:val="22"/>
              </w:rPr>
              <w:t xml:space="preserve"> </w:t>
            </w:r>
            <w:r>
              <w:rPr>
                <w:spacing w:val="2"/>
                <w:sz w:val="22"/>
                <w:szCs w:val="22"/>
              </w:rPr>
              <w:t>双层储罐，可</w:t>
            </w:r>
            <w:r>
              <w:rPr>
                <w:spacing w:val="-6"/>
                <w:sz w:val="22"/>
                <w:szCs w:val="22"/>
              </w:rPr>
              <w:t>满足遮阳、防渗要求，</w:t>
            </w:r>
            <w:r>
              <w:rPr>
                <w:spacing w:val="-4"/>
                <w:sz w:val="22"/>
                <w:szCs w:val="22"/>
              </w:rPr>
              <w:t>密闭保持</w:t>
            </w:r>
          </w:p>
        </w:tc>
        <w:tc>
          <w:tcPr>
            <w:tcW w:w="827" w:type="dxa"/>
            <w:vAlign w:val="top"/>
          </w:tcPr>
          <w:p w14:paraId="1388D5DC">
            <w:pPr>
              <w:spacing w:line="252" w:lineRule="auto"/>
              <w:rPr>
                <w:rFonts w:ascii="Arial"/>
                <w:sz w:val="21"/>
              </w:rPr>
            </w:pPr>
          </w:p>
          <w:p w14:paraId="4BDC7C7A">
            <w:pPr>
              <w:spacing w:line="253" w:lineRule="auto"/>
              <w:rPr>
                <w:rFonts w:ascii="Arial"/>
                <w:sz w:val="21"/>
              </w:rPr>
            </w:pPr>
          </w:p>
          <w:p w14:paraId="0FE19FCA">
            <w:pPr>
              <w:spacing w:line="253" w:lineRule="auto"/>
              <w:rPr>
                <w:rFonts w:ascii="Arial"/>
                <w:sz w:val="21"/>
              </w:rPr>
            </w:pPr>
          </w:p>
          <w:p w14:paraId="575E7C50">
            <w:pPr>
              <w:pStyle w:val="6"/>
              <w:spacing w:before="71" w:line="220" w:lineRule="auto"/>
              <w:ind w:left="207"/>
              <w:rPr>
                <w:sz w:val="22"/>
                <w:szCs w:val="22"/>
              </w:rPr>
            </w:pPr>
            <w:r>
              <w:rPr>
                <w:spacing w:val="-5"/>
                <w:sz w:val="22"/>
                <w:szCs w:val="22"/>
              </w:rPr>
              <w:t>符合</w:t>
            </w:r>
          </w:p>
        </w:tc>
        <w:tc>
          <w:tcPr>
            <w:tcW w:w="122" w:type="dxa"/>
            <w:tcBorders>
              <w:top w:val="nil"/>
              <w:bottom w:val="nil"/>
              <w:right w:val="single" w:color="000000" w:sz="6" w:space="0"/>
            </w:tcBorders>
            <w:vAlign w:val="top"/>
          </w:tcPr>
          <w:p w14:paraId="320F5BCD">
            <w:pPr>
              <w:rPr>
                <w:rFonts w:ascii="Arial"/>
                <w:sz w:val="21"/>
              </w:rPr>
            </w:pPr>
          </w:p>
        </w:tc>
      </w:tr>
      <w:tr w14:paraId="595B3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4" w:hRule="atLeast"/>
        </w:trPr>
        <w:tc>
          <w:tcPr>
            <w:tcW w:w="1400" w:type="dxa"/>
            <w:vMerge w:val="continue"/>
            <w:tcBorders>
              <w:top w:val="nil"/>
              <w:left w:val="single" w:color="000000" w:sz="6" w:space="0"/>
              <w:bottom w:val="nil"/>
            </w:tcBorders>
            <w:vAlign w:val="top"/>
          </w:tcPr>
          <w:p w14:paraId="4A9C4D68">
            <w:pPr>
              <w:rPr>
                <w:rFonts w:ascii="Arial"/>
                <w:sz w:val="21"/>
              </w:rPr>
            </w:pPr>
          </w:p>
        </w:tc>
        <w:tc>
          <w:tcPr>
            <w:tcW w:w="113" w:type="dxa"/>
            <w:tcBorders>
              <w:top w:val="nil"/>
              <w:bottom w:val="nil"/>
            </w:tcBorders>
            <w:vAlign w:val="top"/>
          </w:tcPr>
          <w:p w14:paraId="286EE18F">
            <w:pPr>
              <w:rPr>
                <w:rFonts w:ascii="Arial"/>
                <w:sz w:val="21"/>
              </w:rPr>
            </w:pPr>
          </w:p>
        </w:tc>
        <w:tc>
          <w:tcPr>
            <w:tcW w:w="771" w:type="dxa"/>
            <w:vMerge w:val="continue"/>
            <w:tcBorders>
              <w:top w:val="nil"/>
            </w:tcBorders>
            <w:vAlign w:val="top"/>
          </w:tcPr>
          <w:p w14:paraId="1D8A1A5B">
            <w:pPr>
              <w:rPr>
                <w:rFonts w:ascii="Arial"/>
                <w:sz w:val="21"/>
              </w:rPr>
            </w:pPr>
          </w:p>
        </w:tc>
        <w:tc>
          <w:tcPr>
            <w:tcW w:w="3283" w:type="dxa"/>
            <w:vAlign w:val="top"/>
          </w:tcPr>
          <w:p w14:paraId="0497A98F">
            <w:pPr>
              <w:pStyle w:val="6"/>
              <w:spacing w:before="95" w:line="246" w:lineRule="auto"/>
              <w:ind w:left="110" w:right="101" w:hanging="6"/>
              <w:rPr>
                <w:sz w:val="22"/>
                <w:szCs w:val="22"/>
              </w:rPr>
            </w:pPr>
            <w:r>
              <w:rPr>
                <w:rFonts w:ascii="Times New Roman" w:hAnsi="Times New Roman" w:eastAsia="Times New Roman" w:cs="Times New Roman"/>
                <w:spacing w:val="-4"/>
                <w:sz w:val="22"/>
                <w:szCs w:val="22"/>
              </w:rPr>
              <w:t xml:space="preserve">VOCs </w:t>
            </w:r>
            <w:r>
              <w:rPr>
                <w:spacing w:val="-4"/>
                <w:sz w:val="22"/>
                <w:szCs w:val="22"/>
              </w:rPr>
              <w:t>物料储库、料仓应满足</w:t>
            </w:r>
            <w:r>
              <w:rPr>
                <w:rFonts w:ascii="Times New Roman" w:hAnsi="Times New Roman" w:eastAsia="Times New Roman" w:cs="Times New Roman"/>
                <w:spacing w:val="-4"/>
                <w:sz w:val="22"/>
                <w:szCs w:val="22"/>
              </w:rPr>
              <w:t>“</w:t>
            </w:r>
            <w:r>
              <w:rPr>
                <w:spacing w:val="-4"/>
                <w:sz w:val="22"/>
                <w:szCs w:val="22"/>
              </w:rPr>
              <w:t>利</w:t>
            </w:r>
            <w:r>
              <w:rPr>
                <w:spacing w:val="-2"/>
                <w:sz w:val="22"/>
                <w:szCs w:val="22"/>
              </w:rPr>
              <w:t>用完整的围护结构将污染物质、</w:t>
            </w:r>
            <w:r>
              <w:rPr>
                <w:spacing w:val="15"/>
                <w:sz w:val="22"/>
                <w:szCs w:val="22"/>
              </w:rPr>
              <w:t>作业场所等与周围空间阻隔所形成的封闭区域或封闭式建筑</w:t>
            </w:r>
            <w:r>
              <w:rPr>
                <w:spacing w:val="-2"/>
                <w:sz w:val="22"/>
                <w:szCs w:val="22"/>
              </w:rPr>
              <w:t>物。该封闭区域或封闭式建筑物除人员、车辆、设备、物料进出时，以及依法设立的排气筒、通</w:t>
            </w:r>
            <w:r>
              <w:rPr>
                <w:spacing w:val="3"/>
                <w:sz w:val="22"/>
                <w:szCs w:val="22"/>
              </w:rPr>
              <w:t>风口外，门窗及其他开口</w:t>
            </w:r>
            <w:r>
              <w:rPr>
                <w:rFonts w:ascii="Times New Roman" w:hAnsi="Times New Roman" w:eastAsia="Times New Roman" w:cs="Times New Roman"/>
                <w:spacing w:val="3"/>
                <w:sz w:val="22"/>
                <w:szCs w:val="22"/>
              </w:rPr>
              <w:t>(</w:t>
            </w:r>
            <w:r>
              <w:rPr>
                <w:spacing w:val="3"/>
                <w:sz w:val="22"/>
                <w:szCs w:val="22"/>
              </w:rPr>
              <w:t>孔</w:t>
            </w:r>
            <w:r>
              <w:rPr>
                <w:rFonts w:ascii="Times New Roman" w:hAnsi="Times New Roman" w:eastAsia="Times New Roman" w:cs="Times New Roman"/>
                <w:spacing w:val="3"/>
                <w:sz w:val="22"/>
                <w:szCs w:val="22"/>
              </w:rPr>
              <w:t>)</w:t>
            </w:r>
            <w:r>
              <w:rPr>
                <w:spacing w:val="3"/>
                <w:sz w:val="22"/>
                <w:szCs w:val="22"/>
              </w:rPr>
              <w:t>部</w:t>
            </w:r>
            <w:r>
              <w:rPr>
                <w:spacing w:val="-3"/>
                <w:sz w:val="22"/>
                <w:szCs w:val="22"/>
              </w:rPr>
              <w:t>位应随时保持关闭状态</w:t>
            </w:r>
            <w:r>
              <w:rPr>
                <w:rFonts w:ascii="Times New Roman" w:hAnsi="Times New Roman" w:eastAsia="Times New Roman" w:cs="Times New Roman"/>
                <w:spacing w:val="-3"/>
                <w:sz w:val="22"/>
                <w:szCs w:val="22"/>
              </w:rPr>
              <w:t>”</w:t>
            </w:r>
            <w:r>
              <w:rPr>
                <w:rFonts w:ascii="Times New Roman" w:hAnsi="Times New Roman" w:eastAsia="Times New Roman" w:cs="Times New Roman"/>
                <w:spacing w:val="-22"/>
                <w:sz w:val="22"/>
                <w:szCs w:val="22"/>
              </w:rPr>
              <w:t xml:space="preserve"> </w:t>
            </w:r>
            <w:r>
              <w:rPr>
                <w:spacing w:val="-3"/>
                <w:sz w:val="22"/>
                <w:szCs w:val="22"/>
              </w:rPr>
              <w:t>的要求</w:t>
            </w:r>
          </w:p>
        </w:tc>
        <w:tc>
          <w:tcPr>
            <w:tcW w:w="2358" w:type="dxa"/>
            <w:vAlign w:val="top"/>
          </w:tcPr>
          <w:p w14:paraId="62E1728E">
            <w:pPr>
              <w:spacing w:line="257" w:lineRule="auto"/>
              <w:rPr>
                <w:rFonts w:ascii="Arial"/>
                <w:sz w:val="21"/>
              </w:rPr>
            </w:pPr>
          </w:p>
          <w:p w14:paraId="51FFB6F0">
            <w:pPr>
              <w:spacing w:line="258" w:lineRule="auto"/>
              <w:rPr>
                <w:rFonts w:ascii="Arial"/>
                <w:sz w:val="21"/>
              </w:rPr>
            </w:pPr>
          </w:p>
          <w:p w14:paraId="310FC839">
            <w:pPr>
              <w:spacing w:line="258" w:lineRule="auto"/>
              <w:rPr>
                <w:rFonts w:ascii="Arial"/>
                <w:sz w:val="21"/>
              </w:rPr>
            </w:pPr>
          </w:p>
          <w:p w14:paraId="674D05B7">
            <w:pPr>
              <w:pStyle w:val="6"/>
              <w:spacing w:before="72" w:line="253" w:lineRule="auto"/>
              <w:ind w:left="115" w:right="97" w:firstLine="1"/>
              <w:rPr>
                <w:sz w:val="22"/>
                <w:szCs w:val="22"/>
              </w:rPr>
            </w:pPr>
            <w:r>
              <w:rPr>
                <w:spacing w:val="-1"/>
                <w:sz w:val="22"/>
                <w:szCs w:val="22"/>
              </w:rPr>
              <w:t>本项目储油罐均为埋地式</w:t>
            </w:r>
            <w:r>
              <w:rPr>
                <w:spacing w:val="-53"/>
                <w:sz w:val="22"/>
                <w:szCs w:val="22"/>
              </w:rPr>
              <w:t xml:space="preserve"> </w:t>
            </w:r>
            <w:r>
              <w:rPr>
                <w:rFonts w:ascii="Times New Roman" w:hAnsi="Times New Roman" w:eastAsia="Times New Roman" w:cs="Times New Roman"/>
                <w:spacing w:val="-1"/>
                <w:sz w:val="22"/>
                <w:szCs w:val="22"/>
              </w:rPr>
              <w:t xml:space="preserve">FF </w:t>
            </w:r>
            <w:r>
              <w:rPr>
                <w:spacing w:val="-1"/>
                <w:sz w:val="22"/>
                <w:szCs w:val="22"/>
              </w:rPr>
              <w:t>双层储罐，为</w:t>
            </w:r>
            <w:r>
              <w:rPr>
                <w:spacing w:val="-6"/>
                <w:sz w:val="22"/>
                <w:szCs w:val="22"/>
              </w:rPr>
              <w:t>封闭区域，设三级油气</w:t>
            </w:r>
            <w:r>
              <w:rPr>
                <w:spacing w:val="-1"/>
                <w:sz w:val="22"/>
                <w:szCs w:val="22"/>
              </w:rPr>
              <w:t>回收系统及通气管</w:t>
            </w:r>
          </w:p>
        </w:tc>
        <w:tc>
          <w:tcPr>
            <w:tcW w:w="827" w:type="dxa"/>
            <w:vAlign w:val="top"/>
          </w:tcPr>
          <w:p w14:paraId="760C381D">
            <w:pPr>
              <w:spacing w:line="244" w:lineRule="auto"/>
              <w:rPr>
                <w:rFonts w:ascii="Arial"/>
                <w:sz w:val="21"/>
              </w:rPr>
            </w:pPr>
          </w:p>
          <w:p w14:paraId="0D1EC433">
            <w:pPr>
              <w:spacing w:line="244" w:lineRule="auto"/>
              <w:rPr>
                <w:rFonts w:ascii="Arial"/>
                <w:sz w:val="21"/>
              </w:rPr>
            </w:pPr>
          </w:p>
          <w:p w14:paraId="16DDD6F0">
            <w:pPr>
              <w:spacing w:line="244" w:lineRule="auto"/>
              <w:rPr>
                <w:rFonts w:ascii="Arial"/>
                <w:sz w:val="21"/>
              </w:rPr>
            </w:pPr>
          </w:p>
          <w:p w14:paraId="7B96EB24">
            <w:pPr>
              <w:spacing w:line="244" w:lineRule="auto"/>
              <w:rPr>
                <w:rFonts w:ascii="Arial"/>
                <w:sz w:val="21"/>
              </w:rPr>
            </w:pPr>
          </w:p>
          <w:p w14:paraId="4F31FDA3">
            <w:pPr>
              <w:spacing w:line="245" w:lineRule="auto"/>
              <w:rPr>
                <w:rFonts w:ascii="Arial"/>
                <w:sz w:val="21"/>
              </w:rPr>
            </w:pPr>
          </w:p>
          <w:p w14:paraId="489E0B54">
            <w:pPr>
              <w:pStyle w:val="6"/>
              <w:spacing w:before="71" w:line="220" w:lineRule="auto"/>
              <w:ind w:left="207"/>
              <w:rPr>
                <w:sz w:val="22"/>
                <w:szCs w:val="22"/>
              </w:rPr>
            </w:pPr>
            <w:r>
              <w:rPr>
                <w:spacing w:val="-5"/>
                <w:sz w:val="22"/>
                <w:szCs w:val="22"/>
              </w:rPr>
              <w:t>符合</w:t>
            </w:r>
          </w:p>
        </w:tc>
        <w:tc>
          <w:tcPr>
            <w:tcW w:w="122" w:type="dxa"/>
            <w:tcBorders>
              <w:top w:val="nil"/>
              <w:bottom w:val="nil"/>
              <w:right w:val="single" w:color="000000" w:sz="6" w:space="0"/>
            </w:tcBorders>
            <w:vAlign w:val="top"/>
          </w:tcPr>
          <w:p w14:paraId="4C20C608">
            <w:pPr>
              <w:rPr>
                <w:rFonts w:ascii="Arial"/>
                <w:sz w:val="21"/>
              </w:rPr>
            </w:pPr>
          </w:p>
        </w:tc>
      </w:tr>
      <w:tr w14:paraId="4DBC0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1" w:hRule="atLeast"/>
        </w:trPr>
        <w:tc>
          <w:tcPr>
            <w:tcW w:w="1400" w:type="dxa"/>
            <w:vMerge w:val="continue"/>
            <w:tcBorders>
              <w:top w:val="nil"/>
              <w:left w:val="single" w:color="000000" w:sz="6" w:space="0"/>
              <w:bottom w:val="nil"/>
            </w:tcBorders>
            <w:vAlign w:val="top"/>
          </w:tcPr>
          <w:p w14:paraId="5224B27C">
            <w:pPr>
              <w:rPr>
                <w:rFonts w:ascii="Arial"/>
                <w:sz w:val="21"/>
              </w:rPr>
            </w:pPr>
          </w:p>
        </w:tc>
        <w:tc>
          <w:tcPr>
            <w:tcW w:w="113" w:type="dxa"/>
            <w:tcBorders>
              <w:top w:val="nil"/>
              <w:bottom w:val="nil"/>
            </w:tcBorders>
            <w:vAlign w:val="top"/>
          </w:tcPr>
          <w:p w14:paraId="7E6D4768">
            <w:pPr>
              <w:rPr>
                <w:rFonts w:ascii="Arial"/>
                <w:sz w:val="21"/>
              </w:rPr>
            </w:pPr>
          </w:p>
        </w:tc>
        <w:tc>
          <w:tcPr>
            <w:tcW w:w="771" w:type="dxa"/>
            <w:vMerge w:val="restart"/>
            <w:tcBorders>
              <w:bottom w:val="nil"/>
            </w:tcBorders>
            <w:vAlign w:val="top"/>
          </w:tcPr>
          <w:p w14:paraId="0575A76B">
            <w:pPr>
              <w:spacing w:line="248" w:lineRule="auto"/>
              <w:rPr>
                <w:rFonts w:ascii="Arial"/>
                <w:sz w:val="21"/>
              </w:rPr>
            </w:pPr>
          </w:p>
          <w:p w14:paraId="1968E4AA">
            <w:pPr>
              <w:spacing w:line="248" w:lineRule="auto"/>
              <w:rPr>
                <w:rFonts w:ascii="Arial"/>
                <w:sz w:val="21"/>
              </w:rPr>
            </w:pPr>
          </w:p>
          <w:p w14:paraId="78E30055">
            <w:pPr>
              <w:spacing w:line="248" w:lineRule="auto"/>
              <w:rPr>
                <w:rFonts w:ascii="Arial"/>
                <w:sz w:val="21"/>
              </w:rPr>
            </w:pPr>
          </w:p>
          <w:p w14:paraId="17E3FFE7">
            <w:pPr>
              <w:spacing w:line="248" w:lineRule="auto"/>
              <w:rPr>
                <w:rFonts w:ascii="Arial"/>
                <w:sz w:val="21"/>
              </w:rPr>
            </w:pPr>
          </w:p>
          <w:p w14:paraId="304BD706">
            <w:pPr>
              <w:spacing w:line="248" w:lineRule="auto"/>
              <w:rPr>
                <w:rFonts w:ascii="Arial"/>
                <w:sz w:val="21"/>
              </w:rPr>
            </w:pPr>
          </w:p>
          <w:p w14:paraId="49861471">
            <w:pPr>
              <w:pStyle w:val="6"/>
              <w:spacing w:before="72" w:line="258" w:lineRule="auto"/>
              <w:ind w:left="165" w:right="166" w:firstLine="1"/>
              <w:jc w:val="both"/>
              <w:rPr>
                <w:sz w:val="22"/>
                <w:szCs w:val="22"/>
              </w:rPr>
            </w:pPr>
            <w:r>
              <w:rPr>
                <w:spacing w:val="-4"/>
                <w:sz w:val="22"/>
                <w:szCs w:val="22"/>
              </w:rPr>
              <w:t>物料</w:t>
            </w:r>
            <w:r>
              <w:rPr>
                <w:spacing w:val="-3"/>
                <w:sz w:val="22"/>
                <w:szCs w:val="22"/>
              </w:rPr>
              <w:t>转移和输送无组织排放控制要求</w:t>
            </w:r>
          </w:p>
        </w:tc>
        <w:tc>
          <w:tcPr>
            <w:tcW w:w="3283" w:type="dxa"/>
            <w:vAlign w:val="top"/>
          </w:tcPr>
          <w:p w14:paraId="24007B41">
            <w:pPr>
              <w:pStyle w:val="6"/>
              <w:spacing w:before="85" w:line="234" w:lineRule="auto"/>
              <w:ind w:left="110" w:right="101" w:firstLine="2"/>
              <w:jc w:val="both"/>
              <w:rPr>
                <w:sz w:val="22"/>
                <w:szCs w:val="22"/>
              </w:rPr>
            </w:pPr>
            <w:r>
              <w:rPr>
                <w:spacing w:val="3"/>
                <w:sz w:val="22"/>
                <w:szCs w:val="22"/>
              </w:rPr>
              <w:t>液态</w:t>
            </w:r>
            <w:r>
              <w:rPr>
                <w:spacing w:val="-53"/>
                <w:sz w:val="22"/>
                <w:szCs w:val="22"/>
              </w:rPr>
              <w:t xml:space="preserve"> </w:t>
            </w:r>
            <w:r>
              <w:rPr>
                <w:rFonts w:ascii="Times New Roman" w:hAnsi="Times New Roman" w:eastAsia="Times New Roman" w:cs="Times New Roman"/>
                <w:sz w:val="22"/>
                <w:szCs w:val="22"/>
              </w:rPr>
              <w:t>VOCs</w:t>
            </w:r>
            <w:r>
              <w:rPr>
                <w:spacing w:val="3"/>
                <w:sz w:val="22"/>
                <w:szCs w:val="22"/>
              </w:rPr>
              <w:t>物料应采用密闭管道</w:t>
            </w:r>
            <w:r>
              <w:rPr>
                <w:spacing w:val="-1"/>
                <w:sz w:val="22"/>
                <w:szCs w:val="22"/>
              </w:rPr>
              <w:t>输送。采用非管道输送方式转移</w:t>
            </w:r>
            <w:r>
              <w:rPr>
                <w:spacing w:val="3"/>
                <w:sz w:val="22"/>
                <w:szCs w:val="22"/>
              </w:rPr>
              <w:t>液态</w:t>
            </w:r>
            <w:r>
              <w:rPr>
                <w:spacing w:val="-48"/>
                <w:sz w:val="22"/>
                <w:szCs w:val="22"/>
              </w:rPr>
              <w:t xml:space="preserve"> </w:t>
            </w:r>
            <w:r>
              <w:rPr>
                <w:rFonts w:ascii="Times New Roman" w:hAnsi="Times New Roman" w:eastAsia="Times New Roman" w:cs="Times New Roman"/>
                <w:sz w:val="22"/>
                <w:szCs w:val="22"/>
              </w:rPr>
              <w:t>VOCs</w:t>
            </w:r>
            <w:r>
              <w:rPr>
                <w:spacing w:val="3"/>
                <w:sz w:val="22"/>
                <w:szCs w:val="22"/>
              </w:rPr>
              <w:t>物料时，应采用密闭</w:t>
            </w:r>
            <w:r>
              <w:rPr>
                <w:spacing w:val="-2"/>
                <w:sz w:val="22"/>
                <w:szCs w:val="22"/>
              </w:rPr>
              <w:t>容器、罐车</w:t>
            </w:r>
          </w:p>
        </w:tc>
        <w:tc>
          <w:tcPr>
            <w:tcW w:w="2358" w:type="dxa"/>
            <w:vAlign w:val="top"/>
          </w:tcPr>
          <w:p w14:paraId="5DCA3657">
            <w:pPr>
              <w:pStyle w:val="6"/>
              <w:spacing w:before="85" w:line="234" w:lineRule="auto"/>
              <w:ind w:left="115" w:right="95" w:firstLine="1"/>
              <w:jc w:val="both"/>
              <w:rPr>
                <w:sz w:val="22"/>
                <w:szCs w:val="22"/>
              </w:rPr>
            </w:pPr>
            <w:r>
              <w:rPr>
                <w:spacing w:val="10"/>
                <w:sz w:val="22"/>
                <w:szCs w:val="22"/>
              </w:rPr>
              <w:t>本项</w:t>
            </w:r>
            <w:r>
              <w:rPr>
                <w:spacing w:val="-40"/>
                <w:sz w:val="22"/>
                <w:szCs w:val="22"/>
              </w:rPr>
              <w:t xml:space="preserve"> </w:t>
            </w:r>
            <w:r>
              <w:rPr>
                <w:spacing w:val="10"/>
                <w:sz w:val="22"/>
                <w:szCs w:val="22"/>
              </w:rPr>
              <w:t>目采用埋地双层</w:t>
            </w:r>
            <w:r>
              <w:rPr>
                <w:spacing w:val="-6"/>
                <w:sz w:val="22"/>
                <w:szCs w:val="22"/>
              </w:rPr>
              <w:t>输油管道，采用密闭油</w:t>
            </w:r>
            <w:r>
              <w:rPr>
                <w:spacing w:val="18"/>
                <w:sz w:val="22"/>
                <w:szCs w:val="22"/>
              </w:rPr>
              <w:t>罐车对储油罐进行物</w:t>
            </w:r>
            <w:r>
              <w:rPr>
                <w:spacing w:val="-4"/>
                <w:sz w:val="22"/>
                <w:szCs w:val="22"/>
              </w:rPr>
              <w:t>料输送</w:t>
            </w:r>
          </w:p>
        </w:tc>
        <w:tc>
          <w:tcPr>
            <w:tcW w:w="827" w:type="dxa"/>
            <w:vAlign w:val="top"/>
          </w:tcPr>
          <w:p w14:paraId="2000C024">
            <w:pPr>
              <w:spacing w:line="461" w:lineRule="auto"/>
              <w:rPr>
                <w:rFonts w:ascii="Arial"/>
                <w:sz w:val="21"/>
              </w:rPr>
            </w:pPr>
          </w:p>
          <w:p w14:paraId="6A20012A">
            <w:pPr>
              <w:pStyle w:val="6"/>
              <w:spacing w:before="72" w:line="220" w:lineRule="auto"/>
              <w:ind w:left="207"/>
              <w:rPr>
                <w:sz w:val="22"/>
                <w:szCs w:val="22"/>
              </w:rPr>
            </w:pPr>
            <w:r>
              <w:rPr>
                <w:spacing w:val="-5"/>
                <w:sz w:val="22"/>
                <w:szCs w:val="22"/>
              </w:rPr>
              <w:t>符合</w:t>
            </w:r>
          </w:p>
        </w:tc>
        <w:tc>
          <w:tcPr>
            <w:tcW w:w="122" w:type="dxa"/>
            <w:tcBorders>
              <w:top w:val="nil"/>
              <w:bottom w:val="nil"/>
              <w:right w:val="single" w:color="000000" w:sz="6" w:space="0"/>
            </w:tcBorders>
            <w:vAlign w:val="top"/>
          </w:tcPr>
          <w:p w14:paraId="70CDFF5D">
            <w:pPr>
              <w:rPr>
                <w:rFonts w:ascii="Arial"/>
                <w:sz w:val="21"/>
              </w:rPr>
            </w:pPr>
          </w:p>
        </w:tc>
      </w:tr>
      <w:tr w14:paraId="38A55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0" w:hRule="atLeast"/>
        </w:trPr>
        <w:tc>
          <w:tcPr>
            <w:tcW w:w="1400" w:type="dxa"/>
            <w:vMerge w:val="continue"/>
            <w:tcBorders>
              <w:top w:val="nil"/>
              <w:left w:val="single" w:color="000000" w:sz="6" w:space="0"/>
              <w:bottom w:val="nil"/>
            </w:tcBorders>
            <w:vAlign w:val="top"/>
          </w:tcPr>
          <w:p w14:paraId="1F046FF1">
            <w:pPr>
              <w:rPr>
                <w:rFonts w:ascii="Arial"/>
                <w:sz w:val="21"/>
              </w:rPr>
            </w:pPr>
          </w:p>
        </w:tc>
        <w:tc>
          <w:tcPr>
            <w:tcW w:w="113" w:type="dxa"/>
            <w:tcBorders>
              <w:top w:val="nil"/>
              <w:bottom w:val="nil"/>
            </w:tcBorders>
            <w:vAlign w:val="top"/>
          </w:tcPr>
          <w:p w14:paraId="0B39D7B7">
            <w:pPr>
              <w:rPr>
                <w:rFonts w:ascii="Arial"/>
                <w:sz w:val="21"/>
              </w:rPr>
            </w:pPr>
          </w:p>
        </w:tc>
        <w:tc>
          <w:tcPr>
            <w:tcW w:w="771" w:type="dxa"/>
            <w:vMerge w:val="continue"/>
            <w:tcBorders>
              <w:top w:val="nil"/>
              <w:bottom w:val="nil"/>
            </w:tcBorders>
            <w:vAlign w:val="top"/>
          </w:tcPr>
          <w:p w14:paraId="4A23D75B">
            <w:pPr>
              <w:rPr>
                <w:rFonts w:ascii="Arial"/>
                <w:sz w:val="21"/>
              </w:rPr>
            </w:pPr>
          </w:p>
        </w:tc>
        <w:tc>
          <w:tcPr>
            <w:tcW w:w="3283" w:type="dxa"/>
            <w:vAlign w:val="top"/>
          </w:tcPr>
          <w:p w14:paraId="0C2961BB">
            <w:pPr>
              <w:pStyle w:val="6"/>
              <w:spacing w:before="101" w:line="238" w:lineRule="auto"/>
              <w:ind w:left="112" w:right="103" w:hanging="2"/>
              <w:rPr>
                <w:sz w:val="22"/>
                <w:szCs w:val="22"/>
              </w:rPr>
            </w:pPr>
            <w:r>
              <w:rPr>
                <w:spacing w:val="3"/>
                <w:sz w:val="22"/>
                <w:szCs w:val="22"/>
              </w:rPr>
              <w:t>粉状、粒状</w:t>
            </w:r>
            <w:r>
              <w:rPr>
                <w:spacing w:val="-50"/>
                <w:sz w:val="22"/>
                <w:szCs w:val="22"/>
              </w:rPr>
              <w:t xml:space="preserve"> </w:t>
            </w:r>
            <w:r>
              <w:rPr>
                <w:rFonts w:ascii="Times New Roman" w:hAnsi="Times New Roman" w:eastAsia="Times New Roman" w:cs="Times New Roman"/>
                <w:sz w:val="22"/>
                <w:szCs w:val="22"/>
              </w:rPr>
              <w:t>VOCs</w:t>
            </w:r>
            <w:r>
              <w:rPr>
                <w:spacing w:val="3"/>
                <w:sz w:val="22"/>
                <w:szCs w:val="22"/>
              </w:rPr>
              <w:t>物料应采用气</w:t>
            </w:r>
            <w:r>
              <w:rPr>
                <w:spacing w:val="-2"/>
                <w:sz w:val="22"/>
                <w:szCs w:val="22"/>
              </w:rPr>
              <w:t>力输送设备、管状带式输送机、螺旋输送机等密闭输送方式，或者采用密闭的包装袋、容器或罐车进行物料转移</w:t>
            </w:r>
          </w:p>
        </w:tc>
        <w:tc>
          <w:tcPr>
            <w:tcW w:w="2358" w:type="dxa"/>
            <w:vAlign w:val="top"/>
          </w:tcPr>
          <w:p w14:paraId="51E470F0">
            <w:pPr>
              <w:spacing w:line="478" w:lineRule="auto"/>
              <w:rPr>
                <w:rFonts w:ascii="Arial"/>
                <w:sz w:val="21"/>
              </w:rPr>
            </w:pPr>
          </w:p>
          <w:p w14:paraId="4D787BF5">
            <w:pPr>
              <w:pStyle w:val="6"/>
              <w:spacing w:before="71" w:line="254" w:lineRule="auto"/>
              <w:ind w:left="116" w:right="97"/>
              <w:rPr>
                <w:sz w:val="22"/>
                <w:szCs w:val="22"/>
              </w:rPr>
            </w:pPr>
            <w:r>
              <w:rPr>
                <w:spacing w:val="-7"/>
                <w:sz w:val="22"/>
                <w:szCs w:val="22"/>
              </w:rPr>
              <w:t>本项目不涉及粉状、颗</w:t>
            </w:r>
            <w:r>
              <w:rPr>
                <w:spacing w:val="11"/>
                <w:sz w:val="22"/>
                <w:szCs w:val="22"/>
              </w:rPr>
              <w:t>粒状</w:t>
            </w:r>
            <w:r>
              <w:rPr>
                <w:spacing w:val="-53"/>
                <w:sz w:val="22"/>
                <w:szCs w:val="22"/>
              </w:rPr>
              <w:t xml:space="preserve"> </w:t>
            </w:r>
            <w:r>
              <w:rPr>
                <w:rFonts w:ascii="Times New Roman" w:hAnsi="Times New Roman" w:eastAsia="Times New Roman" w:cs="Times New Roman"/>
                <w:sz w:val="22"/>
                <w:szCs w:val="22"/>
              </w:rPr>
              <w:t>VOCs</w:t>
            </w:r>
            <w:r>
              <w:rPr>
                <w:spacing w:val="11"/>
                <w:sz w:val="22"/>
                <w:szCs w:val="22"/>
              </w:rPr>
              <w:t>物料</w:t>
            </w:r>
          </w:p>
        </w:tc>
        <w:tc>
          <w:tcPr>
            <w:tcW w:w="827" w:type="dxa"/>
            <w:vAlign w:val="top"/>
          </w:tcPr>
          <w:p w14:paraId="086DCBE6">
            <w:pPr>
              <w:spacing w:line="313" w:lineRule="auto"/>
              <w:rPr>
                <w:rFonts w:ascii="Arial"/>
                <w:sz w:val="21"/>
              </w:rPr>
            </w:pPr>
          </w:p>
          <w:p w14:paraId="6A1F23B9">
            <w:pPr>
              <w:spacing w:line="314" w:lineRule="auto"/>
              <w:rPr>
                <w:rFonts w:ascii="Arial"/>
                <w:sz w:val="21"/>
              </w:rPr>
            </w:pPr>
          </w:p>
          <w:p w14:paraId="4295D552">
            <w:pPr>
              <w:pStyle w:val="6"/>
              <w:spacing w:before="71" w:line="220" w:lineRule="auto"/>
              <w:ind w:left="207"/>
              <w:rPr>
                <w:sz w:val="22"/>
                <w:szCs w:val="22"/>
              </w:rPr>
            </w:pPr>
            <w:r>
              <w:rPr>
                <w:spacing w:val="-5"/>
                <w:sz w:val="22"/>
                <w:szCs w:val="22"/>
              </w:rPr>
              <w:t>符合</w:t>
            </w:r>
          </w:p>
        </w:tc>
        <w:tc>
          <w:tcPr>
            <w:tcW w:w="122" w:type="dxa"/>
            <w:tcBorders>
              <w:top w:val="nil"/>
              <w:bottom w:val="nil"/>
              <w:right w:val="single" w:color="000000" w:sz="6" w:space="0"/>
            </w:tcBorders>
            <w:vAlign w:val="top"/>
          </w:tcPr>
          <w:p w14:paraId="025B8373">
            <w:pPr>
              <w:rPr>
                <w:rFonts w:ascii="Arial"/>
                <w:sz w:val="21"/>
              </w:rPr>
            </w:pPr>
          </w:p>
        </w:tc>
      </w:tr>
      <w:tr w14:paraId="04785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1" w:hRule="atLeast"/>
        </w:trPr>
        <w:tc>
          <w:tcPr>
            <w:tcW w:w="1400" w:type="dxa"/>
            <w:vMerge w:val="continue"/>
            <w:tcBorders>
              <w:top w:val="nil"/>
              <w:left w:val="single" w:color="000000" w:sz="6" w:space="0"/>
              <w:bottom w:val="single" w:color="000000" w:sz="6" w:space="0"/>
            </w:tcBorders>
            <w:vAlign w:val="top"/>
          </w:tcPr>
          <w:p w14:paraId="4F643232">
            <w:pPr>
              <w:rPr>
                <w:rFonts w:ascii="Arial"/>
                <w:sz w:val="21"/>
              </w:rPr>
            </w:pPr>
          </w:p>
        </w:tc>
        <w:tc>
          <w:tcPr>
            <w:tcW w:w="113" w:type="dxa"/>
            <w:tcBorders>
              <w:top w:val="nil"/>
              <w:bottom w:val="single" w:color="000000" w:sz="6" w:space="0"/>
            </w:tcBorders>
            <w:vAlign w:val="top"/>
          </w:tcPr>
          <w:p w14:paraId="2B0C37E9">
            <w:pPr>
              <w:rPr>
                <w:rFonts w:ascii="Arial"/>
                <w:sz w:val="21"/>
              </w:rPr>
            </w:pPr>
          </w:p>
        </w:tc>
        <w:tc>
          <w:tcPr>
            <w:tcW w:w="771" w:type="dxa"/>
            <w:vMerge w:val="continue"/>
            <w:tcBorders>
              <w:top w:val="nil"/>
              <w:bottom w:val="single" w:color="000000" w:sz="6" w:space="0"/>
            </w:tcBorders>
            <w:vAlign w:val="top"/>
          </w:tcPr>
          <w:p w14:paraId="72610705">
            <w:pPr>
              <w:rPr>
                <w:rFonts w:ascii="Arial"/>
                <w:sz w:val="21"/>
              </w:rPr>
            </w:pPr>
          </w:p>
        </w:tc>
        <w:tc>
          <w:tcPr>
            <w:tcW w:w="3283" w:type="dxa"/>
            <w:tcBorders>
              <w:bottom w:val="single" w:color="000000" w:sz="6" w:space="0"/>
            </w:tcBorders>
            <w:vAlign w:val="top"/>
          </w:tcPr>
          <w:p w14:paraId="0DC19611">
            <w:pPr>
              <w:pStyle w:val="6"/>
              <w:spacing w:before="102" w:line="254" w:lineRule="auto"/>
              <w:ind w:left="110" w:right="146"/>
              <w:rPr>
                <w:sz w:val="22"/>
                <w:szCs w:val="22"/>
              </w:rPr>
            </w:pPr>
            <w:r>
              <w:rPr>
                <w:spacing w:val="-5"/>
                <w:sz w:val="22"/>
                <w:szCs w:val="22"/>
              </w:rPr>
              <w:t>对挥发性有机液体进行装载时，</w:t>
            </w:r>
            <w:r>
              <w:rPr>
                <w:spacing w:val="-1"/>
                <w:sz w:val="22"/>
                <w:szCs w:val="22"/>
              </w:rPr>
              <w:t>应符合以下要求：</w:t>
            </w:r>
          </w:p>
          <w:p w14:paraId="51A53710">
            <w:pPr>
              <w:pStyle w:val="6"/>
              <w:spacing w:before="19" w:line="220" w:lineRule="auto"/>
              <w:ind w:left="111"/>
              <w:rPr>
                <w:sz w:val="22"/>
                <w:szCs w:val="22"/>
              </w:rPr>
            </w:pPr>
            <w:r>
              <w:rPr>
                <w:spacing w:val="-1"/>
                <w:sz w:val="22"/>
                <w:szCs w:val="22"/>
              </w:rPr>
              <w:t>装载特别控制要求：</w:t>
            </w:r>
          </w:p>
          <w:p w14:paraId="0CFE4DBF">
            <w:pPr>
              <w:pStyle w:val="6"/>
              <w:spacing w:before="63" w:line="243" w:lineRule="auto"/>
              <w:ind w:left="105" w:right="101" w:firstLine="5"/>
              <w:rPr>
                <w:sz w:val="22"/>
                <w:szCs w:val="22"/>
              </w:rPr>
            </w:pPr>
            <w:r>
              <w:rPr>
                <w:spacing w:val="17"/>
                <w:sz w:val="22"/>
                <w:szCs w:val="22"/>
              </w:rPr>
              <w:t>装载物料真实蒸气压</w:t>
            </w:r>
            <w:r>
              <w:rPr>
                <w:rFonts w:ascii="Times New Roman" w:hAnsi="Times New Roman" w:eastAsia="Times New Roman" w:cs="Times New Roman"/>
                <w:spacing w:val="17"/>
                <w:sz w:val="22"/>
                <w:szCs w:val="22"/>
              </w:rPr>
              <w:t>≥27.6</w:t>
            </w:r>
            <w:r>
              <w:rPr>
                <w:rFonts w:ascii="Times New Roman" w:hAnsi="Times New Roman" w:eastAsia="Times New Roman" w:cs="Times New Roman"/>
                <w:sz w:val="22"/>
                <w:szCs w:val="22"/>
              </w:rPr>
              <w:t>kPa</w:t>
            </w:r>
            <w:r>
              <w:rPr>
                <w:spacing w:val="35"/>
                <w:sz w:val="22"/>
                <w:szCs w:val="22"/>
              </w:rPr>
              <w:t>且单一装载设施的年装载量</w:t>
            </w:r>
            <w:r>
              <w:rPr>
                <w:rFonts w:ascii="Times New Roman" w:hAnsi="Times New Roman" w:eastAsia="Times New Roman" w:cs="Times New Roman"/>
                <w:spacing w:val="-3"/>
                <w:sz w:val="22"/>
                <w:szCs w:val="22"/>
              </w:rPr>
              <w:t>≥500m</w:t>
            </w:r>
            <w:r>
              <w:rPr>
                <w:rFonts w:ascii="Times New Roman" w:hAnsi="Times New Roman" w:eastAsia="Times New Roman" w:cs="Times New Roman"/>
                <w:spacing w:val="-3"/>
                <w:position w:val="7"/>
                <w:sz w:val="14"/>
                <w:szCs w:val="14"/>
              </w:rPr>
              <w:t>3</w:t>
            </w:r>
            <w:r>
              <w:rPr>
                <w:spacing w:val="-3"/>
                <w:sz w:val="22"/>
                <w:szCs w:val="22"/>
              </w:rPr>
              <w:t>，以及装载物料真实蒸气</w:t>
            </w:r>
            <w:r>
              <w:rPr>
                <w:spacing w:val="2"/>
                <w:sz w:val="22"/>
                <w:szCs w:val="22"/>
              </w:rPr>
              <w:t>压</w:t>
            </w:r>
            <w:r>
              <w:rPr>
                <w:rFonts w:ascii="Times New Roman" w:hAnsi="Times New Roman" w:eastAsia="Times New Roman" w:cs="Times New Roman"/>
                <w:spacing w:val="2"/>
                <w:sz w:val="22"/>
                <w:szCs w:val="22"/>
              </w:rPr>
              <w:t>≥5.2</w:t>
            </w:r>
            <w:r>
              <w:rPr>
                <w:rFonts w:ascii="Times New Roman" w:hAnsi="Times New Roman" w:eastAsia="Times New Roman" w:cs="Times New Roman"/>
                <w:sz w:val="22"/>
                <w:szCs w:val="22"/>
              </w:rPr>
              <w:t>kPa</w:t>
            </w:r>
            <w:r>
              <w:rPr>
                <w:rFonts w:ascii="Times New Roman" w:hAnsi="Times New Roman" w:eastAsia="Times New Roman" w:cs="Times New Roman"/>
                <w:spacing w:val="24"/>
                <w:w w:val="101"/>
                <w:sz w:val="22"/>
                <w:szCs w:val="22"/>
              </w:rPr>
              <w:t xml:space="preserve"> </w:t>
            </w:r>
            <w:r>
              <w:rPr>
                <w:spacing w:val="2"/>
                <w:sz w:val="22"/>
                <w:szCs w:val="22"/>
              </w:rPr>
              <w:t>但</w:t>
            </w:r>
            <w:r>
              <w:rPr>
                <w:rFonts w:ascii="Times New Roman" w:hAnsi="Times New Roman" w:eastAsia="Times New Roman" w:cs="Times New Roman"/>
                <w:spacing w:val="2"/>
                <w:sz w:val="22"/>
                <w:szCs w:val="22"/>
              </w:rPr>
              <w:t>&lt;27.6</w:t>
            </w:r>
            <w:r>
              <w:rPr>
                <w:rFonts w:ascii="Times New Roman" w:hAnsi="Times New Roman" w:eastAsia="Times New Roman" w:cs="Times New Roman"/>
                <w:sz w:val="22"/>
                <w:szCs w:val="22"/>
              </w:rPr>
              <w:t>kPa</w:t>
            </w:r>
            <w:r>
              <w:rPr>
                <w:rFonts w:ascii="Times New Roman" w:hAnsi="Times New Roman" w:eastAsia="Times New Roman" w:cs="Times New Roman"/>
                <w:spacing w:val="19"/>
                <w:sz w:val="22"/>
                <w:szCs w:val="22"/>
              </w:rPr>
              <w:t xml:space="preserve"> </w:t>
            </w:r>
            <w:r>
              <w:rPr>
                <w:spacing w:val="2"/>
                <w:sz w:val="22"/>
                <w:szCs w:val="22"/>
              </w:rPr>
              <w:t>且单一装</w:t>
            </w:r>
          </w:p>
        </w:tc>
        <w:tc>
          <w:tcPr>
            <w:tcW w:w="2358" w:type="dxa"/>
            <w:tcBorders>
              <w:bottom w:val="single" w:color="000000" w:sz="6" w:space="0"/>
            </w:tcBorders>
            <w:vAlign w:val="top"/>
          </w:tcPr>
          <w:p w14:paraId="7E550CA1">
            <w:pPr>
              <w:pStyle w:val="6"/>
              <w:spacing w:before="125" w:line="250" w:lineRule="auto"/>
              <w:ind w:left="115" w:right="97" w:firstLine="1"/>
              <w:jc w:val="both"/>
              <w:rPr>
                <w:rFonts w:ascii="Times New Roman" w:hAnsi="Times New Roman" w:eastAsia="Times New Roman" w:cs="Times New Roman"/>
                <w:sz w:val="22"/>
                <w:szCs w:val="22"/>
              </w:rPr>
            </w:pPr>
            <w:r>
              <w:rPr>
                <w:spacing w:val="9"/>
                <w:sz w:val="22"/>
                <w:szCs w:val="22"/>
              </w:rPr>
              <w:t>本项</w:t>
            </w:r>
            <w:r>
              <w:rPr>
                <w:spacing w:val="-34"/>
                <w:sz w:val="22"/>
                <w:szCs w:val="22"/>
              </w:rPr>
              <w:t xml:space="preserve"> </w:t>
            </w:r>
            <w:r>
              <w:rPr>
                <w:spacing w:val="9"/>
                <w:sz w:val="22"/>
                <w:szCs w:val="22"/>
              </w:rPr>
              <w:t>目属于加油站项</w:t>
            </w:r>
            <w:r>
              <w:rPr>
                <w:spacing w:val="12"/>
                <w:sz w:val="22"/>
                <w:szCs w:val="22"/>
              </w:rPr>
              <w:t>目</w:t>
            </w:r>
            <w:r>
              <w:rPr>
                <w:spacing w:val="-59"/>
                <w:sz w:val="22"/>
                <w:szCs w:val="22"/>
              </w:rPr>
              <w:t xml:space="preserve"> </w:t>
            </w:r>
            <w:r>
              <w:rPr>
                <w:spacing w:val="12"/>
                <w:sz w:val="22"/>
                <w:szCs w:val="22"/>
              </w:rPr>
              <w:t>，设置油气回收系</w:t>
            </w:r>
            <w:r>
              <w:rPr>
                <w:spacing w:val="-6"/>
                <w:sz w:val="22"/>
                <w:szCs w:val="22"/>
              </w:rPr>
              <w:t>统，卸油、加油及储油</w:t>
            </w:r>
            <w:r>
              <w:rPr>
                <w:spacing w:val="9"/>
                <w:sz w:val="22"/>
                <w:szCs w:val="22"/>
              </w:rPr>
              <w:t>期间油气回收</w:t>
            </w:r>
            <w:r>
              <w:rPr>
                <w:rFonts w:ascii="Times New Roman" w:hAnsi="Times New Roman" w:eastAsia="Times New Roman" w:cs="Times New Roman"/>
                <w:spacing w:val="9"/>
                <w:sz w:val="22"/>
                <w:szCs w:val="22"/>
              </w:rPr>
              <w:t>/</w:t>
            </w:r>
            <w:r>
              <w:rPr>
                <w:spacing w:val="9"/>
                <w:sz w:val="22"/>
                <w:szCs w:val="22"/>
              </w:rPr>
              <w:t>处理效</w:t>
            </w:r>
            <w:r>
              <w:rPr>
                <w:spacing w:val="-1"/>
                <w:sz w:val="22"/>
                <w:szCs w:val="22"/>
              </w:rPr>
              <w:t>率为</w:t>
            </w:r>
            <w:r>
              <w:rPr>
                <w:spacing w:val="-24"/>
                <w:sz w:val="22"/>
                <w:szCs w:val="22"/>
              </w:rPr>
              <w:t xml:space="preserve"> </w:t>
            </w:r>
            <w:r>
              <w:rPr>
                <w:rFonts w:ascii="Times New Roman" w:hAnsi="Times New Roman" w:eastAsia="Times New Roman" w:cs="Times New Roman"/>
                <w:spacing w:val="-1"/>
                <w:sz w:val="22"/>
                <w:szCs w:val="22"/>
              </w:rPr>
              <w:t>90%~95%</w:t>
            </w:r>
            <w:r>
              <w:rPr>
                <w:rFonts w:ascii="Times New Roman" w:hAnsi="Times New Roman" w:eastAsia="Times New Roman" w:cs="Times New Roman"/>
                <w:spacing w:val="-18"/>
                <w:sz w:val="22"/>
                <w:szCs w:val="22"/>
              </w:rPr>
              <w:t xml:space="preserve"> </w:t>
            </w:r>
            <w:r>
              <w:rPr>
                <w:spacing w:val="-1"/>
                <w:sz w:val="22"/>
                <w:szCs w:val="22"/>
              </w:rPr>
              <w:t>，排放</w:t>
            </w:r>
            <w:r>
              <w:rPr>
                <w:spacing w:val="-6"/>
                <w:sz w:val="22"/>
                <w:szCs w:val="22"/>
              </w:rPr>
              <w:t>废气满足《加油站大气</w:t>
            </w:r>
            <w:r>
              <w:rPr>
                <w:spacing w:val="-14"/>
                <w:sz w:val="22"/>
                <w:szCs w:val="22"/>
              </w:rPr>
              <w:t>污染物排放标准》（</w:t>
            </w:r>
            <w:r>
              <w:rPr>
                <w:rFonts w:ascii="Times New Roman" w:hAnsi="Times New Roman" w:eastAsia="Times New Roman" w:cs="Times New Roman"/>
                <w:spacing w:val="-14"/>
                <w:sz w:val="22"/>
                <w:szCs w:val="22"/>
              </w:rPr>
              <w:t>GB</w:t>
            </w:r>
          </w:p>
        </w:tc>
        <w:tc>
          <w:tcPr>
            <w:tcW w:w="827" w:type="dxa"/>
            <w:tcBorders>
              <w:bottom w:val="single" w:color="000000" w:sz="6" w:space="0"/>
            </w:tcBorders>
            <w:vAlign w:val="top"/>
          </w:tcPr>
          <w:p w14:paraId="6B715C9A">
            <w:pPr>
              <w:spacing w:line="316" w:lineRule="auto"/>
              <w:rPr>
                <w:rFonts w:ascii="Arial"/>
                <w:sz w:val="21"/>
              </w:rPr>
            </w:pPr>
          </w:p>
          <w:p w14:paraId="0E435EDA">
            <w:pPr>
              <w:spacing w:line="317" w:lineRule="auto"/>
              <w:rPr>
                <w:rFonts w:ascii="Arial"/>
                <w:sz w:val="21"/>
              </w:rPr>
            </w:pPr>
          </w:p>
          <w:p w14:paraId="08527C4A">
            <w:pPr>
              <w:spacing w:line="317" w:lineRule="auto"/>
              <w:rPr>
                <w:rFonts w:ascii="Arial"/>
                <w:sz w:val="21"/>
              </w:rPr>
            </w:pPr>
          </w:p>
          <w:p w14:paraId="24CD2898">
            <w:pPr>
              <w:pStyle w:val="6"/>
              <w:spacing w:before="71" w:line="220" w:lineRule="auto"/>
              <w:ind w:left="207"/>
              <w:rPr>
                <w:sz w:val="22"/>
                <w:szCs w:val="22"/>
              </w:rPr>
            </w:pPr>
            <w:r>
              <w:rPr>
                <w:spacing w:val="-5"/>
                <w:sz w:val="22"/>
                <w:szCs w:val="22"/>
              </w:rPr>
              <w:t>符合</w:t>
            </w:r>
          </w:p>
        </w:tc>
        <w:tc>
          <w:tcPr>
            <w:tcW w:w="122" w:type="dxa"/>
            <w:tcBorders>
              <w:top w:val="nil"/>
              <w:bottom w:val="single" w:color="000000" w:sz="6" w:space="0"/>
              <w:right w:val="single" w:color="000000" w:sz="6" w:space="0"/>
            </w:tcBorders>
            <w:vAlign w:val="top"/>
          </w:tcPr>
          <w:p w14:paraId="571F5015">
            <w:pPr>
              <w:rPr>
                <w:rFonts w:ascii="Arial"/>
                <w:sz w:val="21"/>
              </w:rPr>
            </w:pPr>
          </w:p>
        </w:tc>
      </w:tr>
    </w:tbl>
    <w:p w14:paraId="4AEA7362">
      <w:pPr>
        <w:pStyle w:val="2"/>
        <w:rPr>
          <w:sz w:val="21"/>
        </w:rPr>
      </w:pPr>
    </w:p>
    <w:p w14:paraId="5FE85C1C">
      <w:pPr>
        <w:rPr>
          <w:sz w:val="21"/>
          <w:szCs w:val="21"/>
        </w:rPr>
        <w:sectPr>
          <w:footerReference r:id="rId14" w:type="default"/>
          <w:pgSz w:w="11906" w:h="16839"/>
          <w:pgMar w:top="400" w:right="1508" w:bottom="1234" w:left="1508" w:header="0" w:footer="996" w:gutter="0"/>
          <w:cols w:space="720" w:num="1"/>
        </w:sectPr>
      </w:pPr>
    </w:p>
    <w:p w14:paraId="7C072821">
      <w:pPr>
        <w:spacing w:before="19"/>
      </w:pPr>
      <w:r>
        <w:pict>
          <v:shape id="_x0000_s1027" o:spid="_x0000_s1027" style="position:absolute;left:0pt;margin-left:150.95pt;margin-top:753.2pt;height:0.5pt;width:363.05pt;mso-position-horizontal-relative:page;mso-position-vertical-relative:page;z-index:-251656192;mso-width-relative:page;mso-height-relative:page;" filled="f" stroked="t" coordsize="7260,10" o:allowincell="f" path="m0,4l7260,4e">
            <v:fill on="f" focussize="0,0"/>
            <v:stroke weight="0.48pt" color="#000000" miterlimit="2" joinstyle="bevel"/>
            <v:imagedata o:title=""/>
            <o:lock v:ext="edit"/>
          </v:shape>
        </w:pict>
      </w:r>
    </w:p>
    <w:p w14:paraId="7C83CFC5">
      <w:pPr>
        <w:spacing w:before="19"/>
      </w:pPr>
    </w:p>
    <w:p w14:paraId="36FB0D93">
      <w:pPr>
        <w:spacing w:before="19"/>
      </w:pPr>
    </w:p>
    <w:p w14:paraId="64FA6964">
      <w:pPr>
        <w:spacing w:before="18"/>
      </w:pPr>
    </w:p>
    <w:p w14:paraId="1F1675D6">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113"/>
        <w:gridCol w:w="771"/>
        <w:gridCol w:w="3283"/>
        <w:gridCol w:w="2358"/>
        <w:gridCol w:w="827"/>
        <w:gridCol w:w="122"/>
      </w:tblGrid>
      <w:tr w14:paraId="775FF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5" w:hRule="atLeast"/>
        </w:trPr>
        <w:tc>
          <w:tcPr>
            <w:tcW w:w="1400" w:type="dxa"/>
            <w:vMerge w:val="restart"/>
            <w:tcBorders>
              <w:top w:val="single" w:color="000000" w:sz="6" w:space="0"/>
              <w:left w:val="single" w:color="000000" w:sz="6" w:space="0"/>
              <w:bottom w:val="nil"/>
            </w:tcBorders>
            <w:vAlign w:val="top"/>
          </w:tcPr>
          <w:p w14:paraId="46F023D4">
            <w:pPr>
              <w:rPr>
                <w:rFonts w:ascii="Arial"/>
                <w:sz w:val="21"/>
              </w:rPr>
            </w:pPr>
          </w:p>
        </w:tc>
        <w:tc>
          <w:tcPr>
            <w:tcW w:w="113" w:type="dxa"/>
            <w:tcBorders>
              <w:top w:val="single" w:color="000000" w:sz="6" w:space="0"/>
              <w:bottom w:val="nil"/>
            </w:tcBorders>
            <w:vAlign w:val="top"/>
          </w:tcPr>
          <w:p w14:paraId="76ACE33C">
            <w:pPr>
              <w:rPr>
                <w:rFonts w:ascii="Arial"/>
                <w:sz w:val="21"/>
              </w:rPr>
            </w:pPr>
          </w:p>
        </w:tc>
        <w:tc>
          <w:tcPr>
            <w:tcW w:w="771" w:type="dxa"/>
            <w:vAlign w:val="top"/>
          </w:tcPr>
          <w:p w14:paraId="29995E7A">
            <w:pPr>
              <w:rPr>
                <w:rFonts w:ascii="Arial"/>
                <w:sz w:val="21"/>
              </w:rPr>
            </w:pPr>
          </w:p>
        </w:tc>
        <w:tc>
          <w:tcPr>
            <w:tcW w:w="3283" w:type="dxa"/>
            <w:vAlign w:val="top"/>
          </w:tcPr>
          <w:p w14:paraId="464E3EEE">
            <w:pPr>
              <w:pStyle w:val="6"/>
              <w:spacing w:before="63" w:line="255" w:lineRule="auto"/>
              <w:ind w:left="110" w:right="103" w:firstLine="1"/>
              <w:rPr>
                <w:sz w:val="22"/>
                <w:szCs w:val="22"/>
              </w:rPr>
            </w:pPr>
            <w:r>
              <w:rPr>
                <w:spacing w:val="-1"/>
                <w:sz w:val="22"/>
                <w:szCs w:val="22"/>
              </w:rPr>
              <w:t>载设施的年装载量</w:t>
            </w:r>
            <w:r>
              <w:rPr>
                <w:rFonts w:ascii="Times New Roman" w:hAnsi="Times New Roman" w:eastAsia="Times New Roman" w:cs="Times New Roman"/>
                <w:spacing w:val="-1"/>
                <w:sz w:val="22"/>
                <w:szCs w:val="22"/>
              </w:rPr>
              <w:t>≥2500m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41"/>
                <w:w w:val="102"/>
                <w:position w:val="7"/>
                <w:sz w:val="14"/>
                <w:szCs w:val="14"/>
              </w:rPr>
              <w:t xml:space="preserve"> </w:t>
            </w:r>
            <w:r>
              <w:rPr>
                <w:spacing w:val="-1"/>
                <w:sz w:val="22"/>
                <w:szCs w:val="22"/>
              </w:rPr>
              <w:t>的，</w:t>
            </w:r>
            <w:r>
              <w:rPr>
                <w:spacing w:val="-2"/>
                <w:sz w:val="22"/>
                <w:szCs w:val="22"/>
              </w:rPr>
              <w:t>装载过程应符合下列规定之一：</w:t>
            </w:r>
            <w:r>
              <w:rPr>
                <w:spacing w:val="11"/>
                <w:sz w:val="22"/>
                <w:szCs w:val="22"/>
              </w:rPr>
              <w:t xml:space="preserve"> </w:t>
            </w:r>
            <w:r>
              <w:rPr>
                <w:rFonts w:ascii="Times New Roman" w:hAnsi="Times New Roman" w:eastAsia="Times New Roman" w:cs="Times New Roman"/>
                <w:spacing w:val="2"/>
                <w:sz w:val="22"/>
                <w:szCs w:val="22"/>
              </w:rPr>
              <w:t>a)</w:t>
            </w:r>
            <w:r>
              <w:rPr>
                <w:spacing w:val="2"/>
                <w:sz w:val="22"/>
                <w:szCs w:val="22"/>
              </w:rPr>
              <w:t>排放的废气应收集处理并满足</w:t>
            </w:r>
            <w:r>
              <w:rPr>
                <w:spacing w:val="9"/>
                <w:sz w:val="22"/>
                <w:szCs w:val="22"/>
              </w:rPr>
              <w:t>相关行业排放标准的要求</w:t>
            </w:r>
            <w:r>
              <w:rPr>
                <w:rFonts w:ascii="Times New Roman" w:hAnsi="Times New Roman" w:eastAsia="Times New Roman" w:cs="Times New Roman"/>
                <w:spacing w:val="9"/>
                <w:sz w:val="22"/>
                <w:szCs w:val="22"/>
              </w:rPr>
              <w:t>(</w:t>
            </w:r>
            <w:r>
              <w:rPr>
                <w:spacing w:val="9"/>
                <w:sz w:val="22"/>
                <w:szCs w:val="22"/>
              </w:rPr>
              <w:t>无行</w:t>
            </w:r>
            <w:r>
              <w:rPr>
                <w:spacing w:val="10"/>
                <w:sz w:val="22"/>
                <w:szCs w:val="22"/>
              </w:rPr>
              <w:t>业排放标准的应满足</w:t>
            </w:r>
            <w:r>
              <w:rPr>
                <w:spacing w:val="-23"/>
                <w:sz w:val="22"/>
                <w:szCs w:val="22"/>
              </w:rPr>
              <w:t xml:space="preserve"> </w:t>
            </w:r>
            <w:r>
              <w:rPr>
                <w:rFonts w:ascii="Times New Roman" w:hAnsi="Times New Roman" w:eastAsia="Times New Roman" w:cs="Times New Roman"/>
                <w:sz w:val="22"/>
                <w:szCs w:val="22"/>
              </w:rPr>
              <w:t>GB</w:t>
            </w:r>
            <w:r>
              <w:rPr>
                <w:rFonts w:ascii="Times New Roman" w:hAnsi="Times New Roman" w:eastAsia="Times New Roman" w:cs="Times New Roman"/>
                <w:spacing w:val="10"/>
                <w:sz w:val="22"/>
                <w:szCs w:val="22"/>
              </w:rPr>
              <w:t>16297</w:t>
            </w:r>
            <w:r>
              <w:rPr>
                <w:spacing w:val="6"/>
                <w:sz w:val="22"/>
                <w:szCs w:val="22"/>
              </w:rPr>
              <w:t>的要求</w:t>
            </w:r>
            <w:r>
              <w:rPr>
                <w:rFonts w:ascii="Times New Roman" w:hAnsi="Times New Roman" w:eastAsia="Times New Roman" w:cs="Times New Roman"/>
                <w:spacing w:val="6"/>
                <w:sz w:val="22"/>
                <w:szCs w:val="22"/>
              </w:rPr>
              <w:t>)</w:t>
            </w:r>
            <w:r>
              <w:rPr>
                <w:rFonts w:ascii="Times New Roman" w:hAnsi="Times New Roman" w:eastAsia="Times New Roman" w:cs="Times New Roman"/>
                <w:spacing w:val="-9"/>
                <w:sz w:val="22"/>
                <w:szCs w:val="22"/>
              </w:rPr>
              <w:t xml:space="preserve"> </w:t>
            </w:r>
            <w:r>
              <w:rPr>
                <w:spacing w:val="6"/>
                <w:sz w:val="22"/>
                <w:szCs w:val="22"/>
              </w:rPr>
              <w:t>，或者处理效率不低于</w:t>
            </w:r>
            <w:r>
              <w:rPr>
                <w:rFonts w:ascii="Times New Roman" w:hAnsi="Times New Roman" w:eastAsia="Times New Roman" w:cs="Times New Roman"/>
                <w:spacing w:val="-2"/>
                <w:sz w:val="22"/>
                <w:szCs w:val="22"/>
              </w:rPr>
              <w:t>90%</w:t>
            </w:r>
            <w:r>
              <w:rPr>
                <w:spacing w:val="-2"/>
                <w:sz w:val="22"/>
                <w:szCs w:val="22"/>
              </w:rPr>
              <w:t>；</w:t>
            </w:r>
          </w:p>
          <w:p w14:paraId="1F583D41">
            <w:pPr>
              <w:pStyle w:val="6"/>
              <w:spacing w:before="23" w:line="227" w:lineRule="auto"/>
              <w:ind w:left="116" w:right="101" w:hanging="14"/>
              <w:rPr>
                <w:sz w:val="22"/>
                <w:szCs w:val="22"/>
              </w:rPr>
            </w:pPr>
            <w:r>
              <w:rPr>
                <w:rFonts w:ascii="Times New Roman" w:hAnsi="Times New Roman" w:eastAsia="Times New Roman" w:cs="Times New Roman"/>
                <w:spacing w:val="2"/>
                <w:sz w:val="22"/>
                <w:szCs w:val="22"/>
              </w:rPr>
              <w:t>b)</w:t>
            </w:r>
            <w:r>
              <w:rPr>
                <w:spacing w:val="2"/>
                <w:sz w:val="22"/>
                <w:szCs w:val="22"/>
              </w:rPr>
              <w:t>排放的废气连接至气相平衡系</w:t>
            </w:r>
            <w:r>
              <w:rPr>
                <w:sz w:val="22"/>
                <w:szCs w:val="22"/>
              </w:rPr>
              <w:t>统</w:t>
            </w:r>
          </w:p>
        </w:tc>
        <w:tc>
          <w:tcPr>
            <w:tcW w:w="2358" w:type="dxa"/>
            <w:vAlign w:val="top"/>
          </w:tcPr>
          <w:p w14:paraId="47C4F286">
            <w:pPr>
              <w:pStyle w:val="6"/>
              <w:spacing w:before="66" w:line="232" w:lineRule="auto"/>
              <w:ind w:left="112"/>
              <w:rPr>
                <w:sz w:val="22"/>
                <w:szCs w:val="22"/>
              </w:rPr>
            </w:pPr>
            <w:r>
              <w:rPr>
                <w:rFonts w:ascii="Times New Roman" w:hAnsi="Times New Roman" w:eastAsia="Times New Roman" w:cs="Times New Roman"/>
                <w:spacing w:val="-1"/>
                <w:sz w:val="22"/>
                <w:szCs w:val="22"/>
              </w:rPr>
              <w:t>20952-2020</w:t>
            </w:r>
            <w:r>
              <w:rPr>
                <w:spacing w:val="-1"/>
                <w:sz w:val="22"/>
                <w:szCs w:val="22"/>
              </w:rPr>
              <w:t>）</w:t>
            </w:r>
          </w:p>
        </w:tc>
        <w:tc>
          <w:tcPr>
            <w:tcW w:w="827" w:type="dxa"/>
            <w:vAlign w:val="top"/>
          </w:tcPr>
          <w:p w14:paraId="23219E61">
            <w:pPr>
              <w:rPr>
                <w:rFonts w:ascii="Arial"/>
                <w:sz w:val="21"/>
              </w:rPr>
            </w:pPr>
          </w:p>
        </w:tc>
        <w:tc>
          <w:tcPr>
            <w:tcW w:w="122" w:type="dxa"/>
            <w:tcBorders>
              <w:top w:val="single" w:color="000000" w:sz="6" w:space="0"/>
              <w:bottom w:val="nil"/>
              <w:right w:val="single" w:color="000000" w:sz="6" w:space="0"/>
            </w:tcBorders>
            <w:vAlign w:val="top"/>
          </w:tcPr>
          <w:p w14:paraId="61859881">
            <w:pPr>
              <w:rPr>
                <w:rFonts w:ascii="Arial"/>
                <w:sz w:val="21"/>
              </w:rPr>
            </w:pPr>
          </w:p>
        </w:tc>
      </w:tr>
      <w:tr w14:paraId="69BF5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6" w:hRule="atLeast"/>
        </w:trPr>
        <w:tc>
          <w:tcPr>
            <w:tcW w:w="1400" w:type="dxa"/>
            <w:vMerge w:val="continue"/>
            <w:tcBorders>
              <w:top w:val="nil"/>
              <w:left w:val="single" w:color="000000" w:sz="6" w:space="0"/>
              <w:bottom w:val="nil"/>
            </w:tcBorders>
            <w:vAlign w:val="top"/>
          </w:tcPr>
          <w:p w14:paraId="5D991D1B">
            <w:pPr>
              <w:rPr>
                <w:rFonts w:ascii="Arial"/>
                <w:sz w:val="21"/>
              </w:rPr>
            </w:pPr>
          </w:p>
        </w:tc>
        <w:tc>
          <w:tcPr>
            <w:tcW w:w="113" w:type="dxa"/>
            <w:tcBorders>
              <w:top w:val="nil"/>
              <w:bottom w:val="nil"/>
            </w:tcBorders>
            <w:vAlign w:val="top"/>
          </w:tcPr>
          <w:p w14:paraId="4EA4CCB3">
            <w:pPr>
              <w:rPr>
                <w:rFonts w:ascii="Arial"/>
                <w:sz w:val="21"/>
              </w:rPr>
            </w:pPr>
          </w:p>
        </w:tc>
        <w:tc>
          <w:tcPr>
            <w:tcW w:w="771" w:type="dxa"/>
            <w:vMerge w:val="restart"/>
            <w:tcBorders>
              <w:bottom w:val="nil"/>
            </w:tcBorders>
            <w:vAlign w:val="top"/>
          </w:tcPr>
          <w:p w14:paraId="64AB0F3C">
            <w:pPr>
              <w:spacing w:line="247" w:lineRule="auto"/>
              <w:rPr>
                <w:rFonts w:ascii="Arial"/>
                <w:sz w:val="21"/>
              </w:rPr>
            </w:pPr>
          </w:p>
          <w:p w14:paraId="5AA6E528">
            <w:pPr>
              <w:spacing w:line="247" w:lineRule="auto"/>
              <w:rPr>
                <w:rFonts w:ascii="Arial"/>
                <w:sz w:val="21"/>
              </w:rPr>
            </w:pPr>
          </w:p>
          <w:p w14:paraId="7272F716">
            <w:pPr>
              <w:spacing w:line="247" w:lineRule="auto"/>
              <w:rPr>
                <w:rFonts w:ascii="Arial"/>
                <w:sz w:val="21"/>
              </w:rPr>
            </w:pPr>
          </w:p>
          <w:p w14:paraId="271B08F1">
            <w:pPr>
              <w:spacing w:line="247" w:lineRule="auto"/>
              <w:rPr>
                <w:rFonts w:ascii="Arial"/>
                <w:sz w:val="21"/>
              </w:rPr>
            </w:pPr>
          </w:p>
          <w:p w14:paraId="31402E0E">
            <w:pPr>
              <w:spacing w:line="247" w:lineRule="auto"/>
              <w:rPr>
                <w:rFonts w:ascii="Arial"/>
                <w:sz w:val="21"/>
              </w:rPr>
            </w:pPr>
          </w:p>
          <w:p w14:paraId="2A551B1A">
            <w:pPr>
              <w:spacing w:line="247" w:lineRule="auto"/>
              <w:rPr>
                <w:rFonts w:ascii="Arial"/>
                <w:sz w:val="21"/>
              </w:rPr>
            </w:pPr>
          </w:p>
          <w:p w14:paraId="75B97061">
            <w:pPr>
              <w:spacing w:line="247" w:lineRule="auto"/>
              <w:rPr>
                <w:rFonts w:ascii="Arial"/>
                <w:sz w:val="21"/>
              </w:rPr>
            </w:pPr>
          </w:p>
          <w:p w14:paraId="1BAD2140">
            <w:pPr>
              <w:spacing w:line="247" w:lineRule="auto"/>
              <w:rPr>
                <w:rFonts w:ascii="Arial"/>
                <w:sz w:val="21"/>
              </w:rPr>
            </w:pPr>
          </w:p>
          <w:p w14:paraId="199B5946">
            <w:pPr>
              <w:spacing w:line="247" w:lineRule="auto"/>
              <w:rPr>
                <w:rFonts w:ascii="Arial"/>
                <w:sz w:val="21"/>
              </w:rPr>
            </w:pPr>
          </w:p>
          <w:p w14:paraId="52D4417A">
            <w:pPr>
              <w:spacing w:line="247" w:lineRule="auto"/>
              <w:rPr>
                <w:rFonts w:ascii="Arial"/>
                <w:sz w:val="21"/>
              </w:rPr>
            </w:pPr>
          </w:p>
          <w:p w14:paraId="4885A3FC">
            <w:pPr>
              <w:spacing w:line="247" w:lineRule="auto"/>
              <w:rPr>
                <w:rFonts w:ascii="Arial"/>
                <w:sz w:val="21"/>
              </w:rPr>
            </w:pPr>
          </w:p>
          <w:p w14:paraId="702978BA">
            <w:pPr>
              <w:spacing w:line="247" w:lineRule="auto"/>
              <w:rPr>
                <w:rFonts w:ascii="Arial"/>
                <w:sz w:val="21"/>
              </w:rPr>
            </w:pPr>
          </w:p>
          <w:p w14:paraId="62719B61">
            <w:pPr>
              <w:spacing w:line="247" w:lineRule="auto"/>
              <w:rPr>
                <w:rFonts w:ascii="Arial"/>
                <w:sz w:val="21"/>
              </w:rPr>
            </w:pPr>
          </w:p>
          <w:p w14:paraId="75954BDE">
            <w:pPr>
              <w:spacing w:line="248" w:lineRule="auto"/>
              <w:rPr>
                <w:rFonts w:ascii="Arial"/>
                <w:sz w:val="21"/>
              </w:rPr>
            </w:pPr>
          </w:p>
          <w:p w14:paraId="76E532A8">
            <w:pPr>
              <w:spacing w:line="248" w:lineRule="auto"/>
              <w:rPr>
                <w:rFonts w:ascii="Arial"/>
                <w:sz w:val="21"/>
              </w:rPr>
            </w:pPr>
          </w:p>
          <w:p w14:paraId="2388546E">
            <w:pPr>
              <w:pStyle w:val="6"/>
              <w:spacing w:before="72" w:line="230" w:lineRule="auto"/>
              <w:ind w:left="169"/>
              <w:rPr>
                <w:sz w:val="22"/>
                <w:szCs w:val="22"/>
              </w:rPr>
            </w:pPr>
            <w:r>
              <w:rPr>
                <w:spacing w:val="-5"/>
                <w:sz w:val="22"/>
                <w:szCs w:val="22"/>
              </w:rPr>
              <w:t>工艺</w:t>
            </w:r>
          </w:p>
          <w:p w14:paraId="47ECE3B3">
            <w:pPr>
              <w:pStyle w:val="6"/>
              <w:spacing w:before="25" w:line="221" w:lineRule="auto"/>
              <w:ind w:left="167"/>
              <w:rPr>
                <w:sz w:val="22"/>
                <w:szCs w:val="22"/>
              </w:rPr>
            </w:pPr>
            <w:r>
              <w:rPr>
                <w:spacing w:val="-4"/>
                <w:sz w:val="22"/>
                <w:szCs w:val="22"/>
              </w:rPr>
              <w:t>过程</w:t>
            </w:r>
          </w:p>
          <w:p w14:paraId="44EB2F64">
            <w:pPr>
              <w:spacing w:before="96" w:line="189" w:lineRule="auto"/>
              <w:ind w:left="10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VOCs</w:t>
            </w:r>
          </w:p>
          <w:p w14:paraId="7932DF65">
            <w:pPr>
              <w:pStyle w:val="6"/>
              <w:spacing w:before="89" w:line="221" w:lineRule="auto"/>
              <w:ind w:left="168"/>
              <w:rPr>
                <w:sz w:val="22"/>
                <w:szCs w:val="22"/>
              </w:rPr>
            </w:pPr>
            <w:r>
              <w:rPr>
                <w:spacing w:val="-5"/>
                <w:sz w:val="22"/>
                <w:szCs w:val="22"/>
              </w:rPr>
              <w:t>无组</w:t>
            </w:r>
          </w:p>
          <w:p w14:paraId="643C4A38">
            <w:pPr>
              <w:pStyle w:val="6"/>
              <w:spacing w:before="37" w:line="222" w:lineRule="auto"/>
              <w:ind w:left="170"/>
              <w:rPr>
                <w:sz w:val="22"/>
                <w:szCs w:val="22"/>
              </w:rPr>
            </w:pPr>
            <w:r>
              <w:rPr>
                <w:spacing w:val="-6"/>
                <w:sz w:val="22"/>
                <w:szCs w:val="22"/>
              </w:rPr>
              <w:t>织排</w:t>
            </w:r>
          </w:p>
          <w:p w14:paraId="5C3ACD97">
            <w:pPr>
              <w:pStyle w:val="6"/>
              <w:spacing w:before="34" w:line="221" w:lineRule="auto"/>
              <w:ind w:left="166"/>
              <w:rPr>
                <w:sz w:val="22"/>
                <w:szCs w:val="22"/>
              </w:rPr>
            </w:pPr>
            <w:r>
              <w:rPr>
                <w:spacing w:val="-4"/>
                <w:sz w:val="22"/>
                <w:szCs w:val="22"/>
              </w:rPr>
              <w:t>放控</w:t>
            </w:r>
          </w:p>
          <w:p w14:paraId="142C49EB">
            <w:pPr>
              <w:pStyle w:val="6"/>
              <w:spacing w:before="61" w:line="221" w:lineRule="auto"/>
              <w:ind w:left="167"/>
              <w:rPr>
                <w:sz w:val="22"/>
                <w:szCs w:val="22"/>
              </w:rPr>
            </w:pPr>
            <w:r>
              <w:rPr>
                <w:spacing w:val="-4"/>
                <w:sz w:val="22"/>
                <w:szCs w:val="22"/>
              </w:rPr>
              <w:t>制要</w:t>
            </w:r>
          </w:p>
          <w:p w14:paraId="4CF470D7">
            <w:pPr>
              <w:pStyle w:val="6"/>
              <w:spacing w:before="36" w:line="222" w:lineRule="auto"/>
              <w:ind w:left="278"/>
              <w:rPr>
                <w:sz w:val="22"/>
                <w:szCs w:val="22"/>
              </w:rPr>
            </w:pPr>
            <w:r>
              <w:rPr>
                <w:sz w:val="22"/>
                <w:szCs w:val="22"/>
              </w:rPr>
              <w:t>求</w:t>
            </w:r>
          </w:p>
        </w:tc>
        <w:tc>
          <w:tcPr>
            <w:tcW w:w="3283" w:type="dxa"/>
            <w:vAlign w:val="top"/>
          </w:tcPr>
          <w:p w14:paraId="44939CB0">
            <w:pPr>
              <w:pStyle w:val="6"/>
              <w:spacing w:before="76" w:line="252" w:lineRule="auto"/>
              <w:ind w:left="110" w:right="103" w:hanging="6"/>
              <w:rPr>
                <w:sz w:val="22"/>
                <w:szCs w:val="22"/>
              </w:rPr>
            </w:pPr>
            <w:r>
              <w:rPr>
                <w:rFonts w:ascii="Times New Roman" w:hAnsi="Times New Roman" w:eastAsia="Times New Roman" w:cs="Times New Roman"/>
                <w:spacing w:val="-2"/>
                <w:sz w:val="22"/>
                <w:szCs w:val="22"/>
              </w:rPr>
              <w:t xml:space="preserve">VOCs </w:t>
            </w:r>
            <w:r>
              <w:rPr>
                <w:spacing w:val="-2"/>
                <w:sz w:val="22"/>
                <w:szCs w:val="22"/>
              </w:rPr>
              <w:t>质量占比大于等于</w:t>
            </w:r>
            <w:r>
              <w:rPr>
                <w:spacing w:val="-24"/>
                <w:sz w:val="22"/>
                <w:szCs w:val="22"/>
              </w:rPr>
              <w:t xml:space="preserve"> </w:t>
            </w:r>
            <w:r>
              <w:rPr>
                <w:rFonts w:ascii="Times New Roman" w:hAnsi="Times New Roman" w:eastAsia="Times New Roman" w:cs="Times New Roman"/>
                <w:spacing w:val="-2"/>
                <w:sz w:val="22"/>
                <w:szCs w:val="22"/>
              </w:rPr>
              <w:t>10%</w:t>
            </w:r>
            <w:r>
              <w:rPr>
                <w:spacing w:val="-2"/>
                <w:sz w:val="22"/>
                <w:szCs w:val="22"/>
              </w:rPr>
              <w:t>的</w:t>
            </w:r>
            <w:r>
              <w:rPr>
                <w:spacing w:val="3"/>
                <w:sz w:val="22"/>
                <w:szCs w:val="22"/>
              </w:rPr>
              <w:t>含</w:t>
            </w:r>
            <w:r>
              <w:rPr>
                <w:spacing w:val="-51"/>
                <w:sz w:val="22"/>
                <w:szCs w:val="22"/>
              </w:rPr>
              <w:t xml:space="preserve"> </w:t>
            </w:r>
            <w:r>
              <w:rPr>
                <w:rFonts w:ascii="Times New Roman" w:hAnsi="Times New Roman" w:eastAsia="Times New Roman" w:cs="Times New Roman"/>
                <w:sz w:val="22"/>
                <w:szCs w:val="22"/>
              </w:rPr>
              <w:t>VOCs</w:t>
            </w:r>
            <w:r>
              <w:rPr>
                <w:spacing w:val="3"/>
                <w:sz w:val="22"/>
                <w:szCs w:val="22"/>
              </w:rPr>
              <w:t>产品，其使用过程应采</w:t>
            </w:r>
            <w:r>
              <w:rPr>
                <w:spacing w:val="-1"/>
                <w:sz w:val="22"/>
                <w:szCs w:val="22"/>
              </w:rPr>
              <w:t>用密闭设备或在密闭空间内操</w:t>
            </w:r>
          </w:p>
          <w:p w14:paraId="0912B701">
            <w:pPr>
              <w:pStyle w:val="6"/>
              <w:spacing w:before="3" w:line="236" w:lineRule="auto"/>
              <w:ind w:left="104" w:right="103" w:firstLine="7"/>
              <w:rPr>
                <w:sz w:val="22"/>
                <w:szCs w:val="22"/>
              </w:rPr>
            </w:pPr>
            <w:r>
              <w:rPr>
                <w:spacing w:val="3"/>
                <w:sz w:val="22"/>
                <w:szCs w:val="22"/>
              </w:rPr>
              <w:t>作，废气应排至</w:t>
            </w:r>
            <w:r>
              <w:rPr>
                <w:spacing w:val="-52"/>
                <w:sz w:val="22"/>
                <w:szCs w:val="22"/>
              </w:rPr>
              <w:t xml:space="preserve"> </w:t>
            </w:r>
            <w:r>
              <w:rPr>
                <w:rFonts w:ascii="Times New Roman" w:hAnsi="Times New Roman" w:eastAsia="Times New Roman" w:cs="Times New Roman"/>
                <w:sz w:val="22"/>
                <w:szCs w:val="22"/>
              </w:rPr>
              <w:t>VOCs</w:t>
            </w:r>
            <w:r>
              <w:rPr>
                <w:spacing w:val="3"/>
                <w:sz w:val="22"/>
                <w:szCs w:val="22"/>
              </w:rPr>
              <w:t>废气收集</w:t>
            </w:r>
            <w:r>
              <w:rPr>
                <w:spacing w:val="-1"/>
                <w:sz w:val="22"/>
                <w:szCs w:val="22"/>
              </w:rPr>
              <w:t>处理系统；无法密闭的，应采取局部气体收集措施，废气应排至</w:t>
            </w:r>
            <w:r>
              <w:rPr>
                <w:rFonts w:ascii="Times New Roman" w:hAnsi="Times New Roman" w:eastAsia="Times New Roman" w:cs="Times New Roman"/>
                <w:spacing w:val="-1"/>
                <w:sz w:val="22"/>
                <w:szCs w:val="22"/>
              </w:rPr>
              <w:t xml:space="preserve">VOCs </w:t>
            </w:r>
            <w:r>
              <w:rPr>
                <w:spacing w:val="-1"/>
                <w:sz w:val="22"/>
                <w:szCs w:val="22"/>
              </w:rPr>
              <w:t>废气收集处理系统</w:t>
            </w:r>
          </w:p>
        </w:tc>
        <w:tc>
          <w:tcPr>
            <w:tcW w:w="2358" w:type="dxa"/>
            <w:vAlign w:val="top"/>
          </w:tcPr>
          <w:p w14:paraId="796A0373">
            <w:pPr>
              <w:pStyle w:val="6"/>
              <w:spacing w:before="78" w:line="243" w:lineRule="auto"/>
              <w:ind w:left="115" w:right="77" w:firstLine="1"/>
              <w:rPr>
                <w:sz w:val="22"/>
                <w:szCs w:val="22"/>
              </w:rPr>
            </w:pPr>
            <w:r>
              <w:rPr>
                <w:spacing w:val="9"/>
                <w:sz w:val="22"/>
                <w:szCs w:val="22"/>
              </w:rPr>
              <w:t>本项</w:t>
            </w:r>
            <w:r>
              <w:rPr>
                <w:spacing w:val="-34"/>
                <w:sz w:val="22"/>
                <w:szCs w:val="22"/>
              </w:rPr>
              <w:t xml:space="preserve"> </w:t>
            </w:r>
            <w:r>
              <w:rPr>
                <w:spacing w:val="9"/>
                <w:sz w:val="22"/>
                <w:szCs w:val="22"/>
              </w:rPr>
              <w:t>目加油站采用埋</w:t>
            </w:r>
            <w:r>
              <w:rPr>
                <w:spacing w:val="18"/>
                <w:sz w:val="22"/>
                <w:szCs w:val="22"/>
              </w:rPr>
              <w:t>地双层防渗漏密闭管</w:t>
            </w:r>
            <w:r>
              <w:rPr>
                <w:spacing w:val="-6"/>
                <w:sz w:val="22"/>
                <w:szCs w:val="22"/>
              </w:rPr>
              <w:t>线，采用密闭油罐车对</w:t>
            </w:r>
            <w:r>
              <w:rPr>
                <w:spacing w:val="-4"/>
                <w:sz w:val="22"/>
                <w:szCs w:val="22"/>
              </w:rPr>
              <w:t>储油罐进行物料输送。期间汽油卸油、加油</w:t>
            </w:r>
            <w:r>
              <w:rPr>
                <w:rFonts w:hint="eastAsia"/>
                <w:spacing w:val="-4"/>
                <w:sz w:val="22"/>
                <w:szCs w:val="22"/>
                <w:lang w:eastAsia="zh-CN"/>
              </w:rPr>
              <w:t>及</w:t>
            </w:r>
            <w:r>
              <w:rPr>
                <w:spacing w:val="18"/>
                <w:sz w:val="22"/>
                <w:szCs w:val="22"/>
              </w:rPr>
              <w:t>储油系统均设置有</w:t>
            </w:r>
            <w:r>
              <w:rPr>
                <w:spacing w:val="-4"/>
                <w:sz w:val="22"/>
                <w:szCs w:val="22"/>
              </w:rPr>
              <w:t>油气回收装置</w:t>
            </w:r>
          </w:p>
        </w:tc>
        <w:tc>
          <w:tcPr>
            <w:tcW w:w="827" w:type="dxa"/>
            <w:vAlign w:val="top"/>
          </w:tcPr>
          <w:p w14:paraId="623340CF">
            <w:pPr>
              <w:spacing w:line="300" w:lineRule="auto"/>
              <w:rPr>
                <w:rFonts w:ascii="Arial"/>
                <w:sz w:val="21"/>
              </w:rPr>
            </w:pPr>
          </w:p>
          <w:p w14:paraId="7DFDC50C">
            <w:pPr>
              <w:spacing w:line="300" w:lineRule="auto"/>
              <w:rPr>
                <w:rFonts w:ascii="Arial"/>
                <w:sz w:val="21"/>
              </w:rPr>
            </w:pPr>
          </w:p>
          <w:p w14:paraId="33FB1E00">
            <w:pPr>
              <w:spacing w:line="300" w:lineRule="auto"/>
              <w:rPr>
                <w:rFonts w:ascii="Arial"/>
                <w:sz w:val="21"/>
              </w:rPr>
            </w:pPr>
          </w:p>
          <w:p w14:paraId="6B1A9BA7">
            <w:pPr>
              <w:pStyle w:val="6"/>
              <w:spacing w:before="71" w:line="220" w:lineRule="auto"/>
              <w:ind w:left="207"/>
              <w:rPr>
                <w:sz w:val="22"/>
                <w:szCs w:val="22"/>
              </w:rPr>
            </w:pPr>
            <w:r>
              <w:rPr>
                <w:spacing w:val="-5"/>
                <w:sz w:val="22"/>
                <w:szCs w:val="22"/>
              </w:rPr>
              <w:t>符合</w:t>
            </w:r>
          </w:p>
        </w:tc>
        <w:tc>
          <w:tcPr>
            <w:tcW w:w="122" w:type="dxa"/>
            <w:tcBorders>
              <w:top w:val="nil"/>
              <w:bottom w:val="nil"/>
              <w:right w:val="single" w:color="000000" w:sz="6" w:space="0"/>
            </w:tcBorders>
            <w:vAlign w:val="top"/>
          </w:tcPr>
          <w:p w14:paraId="7C5B2445">
            <w:pPr>
              <w:rPr>
                <w:rFonts w:ascii="Arial"/>
                <w:sz w:val="21"/>
              </w:rPr>
            </w:pPr>
          </w:p>
        </w:tc>
      </w:tr>
      <w:tr w14:paraId="1E5AD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0" w:hRule="atLeast"/>
        </w:trPr>
        <w:tc>
          <w:tcPr>
            <w:tcW w:w="1400" w:type="dxa"/>
            <w:vMerge w:val="continue"/>
            <w:tcBorders>
              <w:top w:val="nil"/>
              <w:left w:val="single" w:color="000000" w:sz="6" w:space="0"/>
              <w:bottom w:val="nil"/>
            </w:tcBorders>
            <w:vAlign w:val="top"/>
          </w:tcPr>
          <w:p w14:paraId="2A8A47B7">
            <w:pPr>
              <w:rPr>
                <w:rFonts w:ascii="Arial"/>
                <w:sz w:val="21"/>
              </w:rPr>
            </w:pPr>
          </w:p>
        </w:tc>
        <w:tc>
          <w:tcPr>
            <w:tcW w:w="113" w:type="dxa"/>
            <w:tcBorders>
              <w:top w:val="nil"/>
              <w:bottom w:val="nil"/>
            </w:tcBorders>
            <w:vAlign w:val="top"/>
          </w:tcPr>
          <w:p w14:paraId="3984AECF">
            <w:pPr>
              <w:rPr>
                <w:rFonts w:ascii="Arial"/>
                <w:sz w:val="21"/>
              </w:rPr>
            </w:pPr>
          </w:p>
        </w:tc>
        <w:tc>
          <w:tcPr>
            <w:tcW w:w="771" w:type="dxa"/>
            <w:vMerge w:val="continue"/>
            <w:tcBorders>
              <w:top w:val="nil"/>
              <w:bottom w:val="nil"/>
            </w:tcBorders>
            <w:vAlign w:val="top"/>
          </w:tcPr>
          <w:p w14:paraId="26D5F569">
            <w:pPr>
              <w:rPr>
                <w:rFonts w:ascii="Arial"/>
                <w:sz w:val="21"/>
              </w:rPr>
            </w:pPr>
          </w:p>
        </w:tc>
        <w:tc>
          <w:tcPr>
            <w:tcW w:w="3283" w:type="dxa"/>
            <w:vAlign w:val="top"/>
          </w:tcPr>
          <w:p w14:paraId="70ACE459">
            <w:pPr>
              <w:pStyle w:val="6"/>
              <w:spacing w:before="91" w:line="252" w:lineRule="auto"/>
              <w:ind w:left="115" w:right="152" w:hanging="1"/>
              <w:rPr>
                <w:sz w:val="22"/>
                <w:szCs w:val="22"/>
              </w:rPr>
            </w:pPr>
            <w:r>
              <w:rPr>
                <w:spacing w:val="-1"/>
                <w:sz w:val="22"/>
                <w:szCs w:val="22"/>
              </w:rPr>
              <w:t>企业应建立台账，记录含</w:t>
            </w:r>
            <w:r>
              <w:rPr>
                <w:spacing w:val="-55"/>
                <w:sz w:val="22"/>
                <w:szCs w:val="22"/>
              </w:rPr>
              <w:t xml:space="preserve"> </w:t>
            </w:r>
            <w:r>
              <w:rPr>
                <w:rFonts w:ascii="Times New Roman" w:hAnsi="Times New Roman" w:eastAsia="Times New Roman" w:cs="Times New Roman"/>
                <w:spacing w:val="-1"/>
                <w:sz w:val="22"/>
                <w:szCs w:val="22"/>
              </w:rPr>
              <w:t>VOCs</w:t>
            </w:r>
            <w:r>
              <w:rPr>
                <w:spacing w:val="3"/>
                <w:sz w:val="22"/>
                <w:szCs w:val="22"/>
              </w:rPr>
              <w:t>原辅材料和含</w:t>
            </w:r>
            <w:r>
              <w:rPr>
                <w:spacing w:val="-45"/>
                <w:sz w:val="22"/>
                <w:szCs w:val="22"/>
              </w:rPr>
              <w:t xml:space="preserve"> </w:t>
            </w:r>
            <w:r>
              <w:rPr>
                <w:rFonts w:ascii="Times New Roman" w:hAnsi="Times New Roman" w:eastAsia="Times New Roman" w:cs="Times New Roman"/>
                <w:sz w:val="22"/>
                <w:szCs w:val="22"/>
              </w:rPr>
              <w:t>VOCs</w:t>
            </w:r>
            <w:r>
              <w:rPr>
                <w:spacing w:val="3"/>
                <w:sz w:val="22"/>
                <w:szCs w:val="22"/>
              </w:rPr>
              <w:t>产品的名</w:t>
            </w:r>
          </w:p>
          <w:p w14:paraId="75401AEF">
            <w:pPr>
              <w:pStyle w:val="6"/>
              <w:spacing w:before="2" w:line="231" w:lineRule="auto"/>
              <w:ind w:left="114" w:right="103" w:hanging="4"/>
              <w:rPr>
                <w:sz w:val="22"/>
                <w:szCs w:val="22"/>
              </w:rPr>
            </w:pPr>
            <w:r>
              <w:rPr>
                <w:spacing w:val="-2"/>
                <w:sz w:val="22"/>
                <w:szCs w:val="22"/>
              </w:rPr>
              <w:t>称、使用量、回收量、废弃量、</w:t>
            </w:r>
            <w:r>
              <w:rPr>
                <w:spacing w:val="3"/>
                <w:sz w:val="22"/>
                <w:szCs w:val="22"/>
              </w:rPr>
              <w:t>去向以及</w:t>
            </w:r>
            <w:r>
              <w:rPr>
                <w:spacing w:val="-55"/>
                <w:sz w:val="22"/>
                <w:szCs w:val="22"/>
              </w:rPr>
              <w:t xml:space="preserve"> </w:t>
            </w:r>
            <w:r>
              <w:rPr>
                <w:rFonts w:ascii="Times New Roman" w:hAnsi="Times New Roman" w:eastAsia="Times New Roman" w:cs="Times New Roman"/>
                <w:sz w:val="22"/>
                <w:szCs w:val="22"/>
              </w:rPr>
              <w:t>VOCs</w:t>
            </w:r>
            <w:r>
              <w:rPr>
                <w:spacing w:val="3"/>
                <w:sz w:val="22"/>
                <w:szCs w:val="22"/>
              </w:rPr>
              <w:t>含量等信息。台</w:t>
            </w:r>
            <w:r>
              <w:rPr>
                <w:spacing w:val="-2"/>
                <w:sz w:val="22"/>
                <w:szCs w:val="22"/>
              </w:rPr>
              <w:t>账保存期限不少于</w:t>
            </w:r>
            <w:r>
              <w:rPr>
                <w:spacing w:val="-44"/>
                <w:sz w:val="22"/>
                <w:szCs w:val="22"/>
              </w:rPr>
              <w:t xml:space="preserve"> </w:t>
            </w:r>
            <w:r>
              <w:rPr>
                <w:rFonts w:ascii="Times New Roman" w:hAnsi="Times New Roman" w:eastAsia="Times New Roman" w:cs="Times New Roman"/>
                <w:spacing w:val="-2"/>
                <w:sz w:val="22"/>
                <w:szCs w:val="22"/>
              </w:rPr>
              <w:t xml:space="preserve">3 </w:t>
            </w:r>
            <w:r>
              <w:rPr>
                <w:spacing w:val="-2"/>
                <w:sz w:val="22"/>
                <w:szCs w:val="22"/>
              </w:rPr>
              <w:t>年。</w:t>
            </w:r>
          </w:p>
        </w:tc>
        <w:tc>
          <w:tcPr>
            <w:tcW w:w="2358" w:type="dxa"/>
            <w:vAlign w:val="top"/>
          </w:tcPr>
          <w:p w14:paraId="5E989293">
            <w:pPr>
              <w:pStyle w:val="6"/>
              <w:spacing w:before="239" w:line="253" w:lineRule="auto"/>
              <w:ind w:left="115" w:right="97" w:firstLine="1"/>
              <w:jc w:val="both"/>
              <w:rPr>
                <w:sz w:val="22"/>
                <w:szCs w:val="22"/>
              </w:rPr>
            </w:pPr>
            <w:r>
              <w:rPr>
                <w:spacing w:val="9"/>
                <w:sz w:val="22"/>
                <w:szCs w:val="22"/>
              </w:rPr>
              <w:t>本项</w:t>
            </w:r>
            <w:r>
              <w:rPr>
                <w:spacing w:val="-36"/>
                <w:sz w:val="22"/>
                <w:szCs w:val="22"/>
              </w:rPr>
              <w:t xml:space="preserve"> </w:t>
            </w:r>
            <w:r>
              <w:rPr>
                <w:spacing w:val="9"/>
                <w:sz w:val="22"/>
                <w:szCs w:val="22"/>
              </w:rPr>
              <w:t>目改扩建后运营</w:t>
            </w:r>
            <w:r>
              <w:rPr>
                <w:spacing w:val="17"/>
                <w:sz w:val="22"/>
                <w:szCs w:val="22"/>
              </w:rPr>
              <w:t>期间将按要求建立台</w:t>
            </w:r>
            <w:r>
              <w:rPr>
                <w:spacing w:val="-7"/>
                <w:sz w:val="22"/>
                <w:szCs w:val="22"/>
              </w:rPr>
              <w:t>账并妥善保存，台账保</w:t>
            </w:r>
            <w:r>
              <w:rPr>
                <w:spacing w:val="-1"/>
                <w:sz w:val="22"/>
                <w:szCs w:val="22"/>
              </w:rPr>
              <w:t>存期限不少于</w:t>
            </w:r>
            <w:r>
              <w:rPr>
                <w:spacing w:val="-45"/>
                <w:sz w:val="22"/>
                <w:szCs w:val="22"/>
              </w:rPr>
              <w:t xml:space="preserve"> </w:t>
            </w:r>
            <w:r>
              <w:rPr>
                <w:rFonts w:ascii="Times New Roman" w:hAnsi="Times New Roman" w:eastAsia="Times New Roman" w:cs="Times New Roman"/>
                <w:spacing w:val="-1"/>
                <w:sz w:val="22"/>
                <w:szCs w:val="22"/>
              </w:rPr>
              <w:t xml:space="preserve">5 </w:t>
            </w:r>
            <w:r>
              <w:rPr>
                <w:spacing w:val="-1"/>
                <w:sz w:val="22"/>
                <w:szCs w:val="22"/>
              </w:rPr>
              <w:t>年</w:t>
            </w:r>
          </w:p>
        </w:tc>
        <w:tc>
          <w:tcPr>
            <w:tcW w:w="827" w:type="dxa"/>
            <w:vAlign w:val="top"/>
          </w:tcPr>
          <w:p w14:paraId="5A87B0F2">
            <w:pPr>
              <w:spacing w:line="308" w:lineRule="auto"/>
              <w:rPr>
                <w:rFonts w:ascii="Arial"/>
                <w:sz w:val="21"/>
              </w:rPr>
            </w:pPr>
          </w:p>
          <w:p w14:paraId="5E7E9A34">
            <w:pPr>
              <w:spacing w:line="309" w:lineRule="auto"/>
              <w:rPr>
                <w:rFonts w:ascii="Arial"/>
                <w:sz w:val="21"/>
              </w:rPr>
            </w:pPr>
          </w:p>
          <w:p w14:paraId="2F7D5D1F">
            <w:pPr>
              <w:pStyle w:val="6"/>
              <w:spacing w:before="71" w:line="220" w:lineRule="auto"/>
              <w:ind w:left="207"/>
              <w:rPr>
                <w:sz w:val="22"/>
                <w:szCs w:val="22"/>
              </w:rPr>
            </w:pPr>
            <w:r>
              <w:rPr>
                <w:spacing w:val="-5"/>
                <w:sz w:val="22"/>
                <w:szCs w:val="22"/>
              </w:rPr>
              <w:t>符合</w:t>
            </w:r>
          </w:p>
        </w:tc>
        <w:tc>
          <w:tcPr>
            <w:tcW w:w="122" w:type="dxa"/>
            <w:tcBorders>
              <w:top w:val="nil"/>
              <w:bottom w:val="nil"/>
              <w:right w:val="single" w:color="000000" w:sz="6" w:space="0"/>
            </w:tcBorders>
            <w:vAlign w:val="top"/>
          </w:tcPr>
          <w:p w14:paraId="721DBC68">
            <w:pPr>
              <w:rPr>
                <w:rFonts w:ascii="Arial"/>
                <w:sz w:val="21"/>
              </w:rPr>
            </w:pPr>
          </w:p>
        </w:tc>
      </w:tr>
      <w:tr w14:paraId="08176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4" w:hRule="atLeast"/>
        </w:trPr>
        <w:tc>
          <w:tcPr>
            <w:tcW w:w="1400" w:type="dxa"/>
            <w:vMerge w:val="continue"/>
            <w:tcBorders>
              <w:top w:val="nil"/>
              <w:left w:val="single" w:color="000000" w:sz="6" w:space="0"/>
              <w:bottom w:val="nil"/>
            </w:tcBorders>
            <w:vAlign w:val="top"/>
          </w:tcPr>
          <w:p w14:paraId="40396C43">
            <w:pPr>
              <w:rPr>
                <w:rFonts w:ascii="Arial"/>
                <w:sz w:val="21"/>
              </w:rPr>
            </w:pPr>
          </w:p>
        </w:tc>
        <w:tc>
          <w:tcPr>
            <w:tcW w:w="113" w:type="dxa"/>
            <w:tcBorders>
              <w:top w:val="nil"/>
              <w:bottom w:val="nil"/>
            </w:tcBorders>
            <w:vAlign w:val="top"/>
          </w:tcPr>
          <w:p w14:paraId="4C5B47D3">
            <w:pPr>
              <w:rPr>
                <w:rFonts w:ascii="Arial"/>
                <w:sz w:val="21"/>
              </w:rPr>
            </w:pPr>
          </w:p>
        </w:tc>
        <w:tc>
          <w:tcPr>
            <w:tcW w:w="771" w:type="dxa"/>
            <w:vMerge w:val="continue"/>
            <w:tcBorders>
              <w:top w:val="nil"/>
              <w:bottom w:val="nil"/>
            </w:tcBorders>
            <w:vAlign w:val="top"/>
          </w:tcPr>
          <w:p w14:paraId="379FCB7B">
            <w:pPr>
              <w:rPr>
                <w:rFonts w:ascii="Arial"/>
                <w:sz w:val="21"/>
              </w:rPr>
            </w:pPr>
          </w:p>
        </w:tc>
        <w:tc>
          <w:tcPr>
            <w:tcW w:w="3283" w:type="dxa"/>
            <w:vAlign w:val="top"/>
          </w:tcPr>
          <w:p w14:paraId="3843A7FF">
            <w:pPr>
              <w:pStyle w:val="6"/>
              <w:spacing w:before="89" w:line="252" w:lineRule="auto"/>
              <w:ind w:left="110" w:right="101"/>
              <w:rPr>
                <w:sz w:val="22"/>
                <w:szCs w:val="22"/>
              </w:rPr>
            </w:pPr>
            <w:r>
              <w:rPr>
                <w:spacing w:val="-2"/>
                <w:sz w:val="22"/>
                <w:szCs w:val="22"/>
              </w:rPr>
              <w:t>通风生产设备、操作工位、车间</w:t>
            </w:r>
            <w:r>
              <w:rPr>
                <w:spacing w:val="-1"/>
                <w:sz w:val="22"/>
                <w:szCs w:val="22"/>
              </w:rPr>
              <w:t>厂房等应在符合安全生产、职业</w:t>
            </w:r>
            <w:r>
              <w:rPr>
                <w:spacing w:val="-2"/>
                <w:sz w:val="22"/>
                <w:szCs w:val="22"/>
              </w:rPr>
              <w:t>卫生相关规定的前提下，根据行</w:t>
            </w:r>
            <w:r>
              <w:rPr>
                <w:spacing w:val="-1"/>
                <w:sz w:val="22"/>
                <w:szCs w:val="22"/>
              </w:rPr>
              <w:t>业作业规程与标准、工业建筑及洁净厂房通风设计规范等的要</w:t>
            </w:r>
          </w:p>
          <w:p w14:paraId="7D4C70C9">
            <w:pPr>
              <w:pStyle w:val="6"/>
              <w:spacing w:before="1" w:line="178" w:lineRule="auto"/>
              <w:ind w:left="112"/>
              <w:rPr>
                <w:sz w:val="22"/>
                <w:szCs w:val="22"/>
              </w:rPr>
            </w:pPr>
            <w:r>
              <w:rPr>
                <w:spacing w:val="-1"/>
                <w:sz w:val="22"/>
                <w:szCs w:val="22"/>
              </w:rPr>
              <w:t>求，采用合理的通风量</w:t>
            </w:r>
          </w:p>
        </w:tc>
        <w:tc>
          <w:tcPr>
            <w:tcW w:w="2358" w:type="dxa"/>
            <w:vAlign w:val="top"/>
          </w:tcPr>
          <w:p w14:paraId="2F6CF3D7">
            <w:pPr>
              <w:spacing w:line="466" w:lineRule="auto"/>
              <w:rPr>
                <w:rFonts w:ascii="Arial"/>
                <w:sz w:val="21"/>
              </w:rPr>
            </w:pPr>
          </w:p>
          <w:p w14:paraId="3C95A910">
            <w:pPr>
              <w:pStyle w:val="6"/>
              <w:spacing w:before="71" w:line="253" w:lineRule="auto"/>
              <w:ind w:left="115" w:right="97" w:firstLine="2"/>
              <w:jc w:val="both"/>
              <w:rPr>
                <w:sz w:val="22"/>
                <w:szCs w:val="22"/>
              </w:rPr>
            </w:pPr>
            <w:r>
              <w:rPr>
                <w:spacing w:val="-7"/>
                <w:sz w:val="22"/>
                <w:szCs w:val="22"/>
              </w:rPr>
              <w:t>按安全生产、职业卫生</w:t>
            </w:r>
            <w:r>
              <w:rPr>
                <w:spacing w:val="17"/>
                <w:sz w:val="22"/>
                <w:szCs w:val="22"/>
              </w:rPr>
              <w:t>及行业规范采取合理</w:t>
            </w:r>
            <w:r>
              <w:rPr>
                <w:spacing w:val="-2"/>
                <w:sz w:val="22"/>
                <w:szCs w:val="22"/>
              </w:rPr>
              <w:t>的通风量</w:t>
            </w:r>
          </w:p>
        </w:tc>
        <w:tc>
          <w:tcPr>
            <w:tcW w:w="827" w:type="dxa"/>
            <w:vAlign w:val="top"/>
          </w:tcPr>
          <w:p w14:paraId="6AA0521A">
            <w:pPr>
              <w:spacing w:line="254" w:lineRule="auto"/>
              <w:rPr>
                <w:rFonts w:ascii="Arial"/>
                <w:sz w:val="21"/>
              </w:rPr>
            </w:pPr>
          </w:p>
          <w:p w14:paraId="0783DD09">
            <w:pPr>
              <w:spacing w:line="254" w:lineRule="auto"/>
              <w:rPr>
                <w:rFonts w:ascii="Arial"/>
                <w:sz w:val="21"/>
              </w:rPr>
            </w:pPr>
          </w:p>
          <w:p w14:paraId="1796F128">
            <w:pPr>
              <w:spacing w:line="255" w:lineRule="auto"/>
              <w:rPr>
                <w:rFonts w:ascii="Arial"/>
                <w:sz w:val="21"/>
              </w:rPr>
            </w:pPr>
          </w:p>
          <w:p w14:paraId="6C03A702">
            <w:pPr>
              <w:pStyle w:val="6"/>
              <w:spacing w:before="72" w:line="220" w:lineRule="auto"/>
              <w:ind w:left="207"/>
              <w:rPr>
                <w:sz w:val="22"/>
                <w:szCs w:val="22"/>
              </w:rPr>
            </w:pPr>
            <w:r>
              <w:rPr>
                <w:spacing w:val="-5"/>
                <w:sz w:val="22"/>
                <w:szCs w:val="22"/>
              </w:rPr>
              <w:t>符合</w:t>
            </w:r>
          </w:p>
        </w:tc>
        <w:tc>
          <w:tcPr>
            <w:tcW w:w="122" w:type="dxa"/>
            <w:tcBorders>
              <w:top w:val="nil"/>
              <w:bottom w:val="nil"/>
              <w:right w:val="single" w:color="000000" w:sz="6" w:space="0"/>
            </w:tcBorders>
            <w:vAlign w:val="top"/>
          </w:tcPr>
          <w:p w14:paraId="3707F1E4">
            <w:pPr>
              <w:rPr>
                <w:rFonts w:ascii="Arial"/>
                <w:sz w:val="21"/>
              </w:rPr>
            </w:pPr>
          </w:p>
        </w:tc>
      </w:tr>
      <w:tr w14:paraId="70DB3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2" w:hRule="atLeast"/>
        </w:trPr>
        <w:tc>
          <w:tcPr>
            <w:tcW w:w="1400" w:type="dxa"/>
            <w:vMerge w:val="continue"/>
            <w:tcBorders>
              <w:top w:val="nil"/>
              <w:left w:val="single" w:color="000000" w:sz="6" w:space="0"/>
              <w:bottom w:val="nil"/>
            </w:tcBorders>
            <w:vAlign w:val="top"/>
          </w:tcPr>
          <w:p w14:paraId="161C7E1C">
            <w:pPr>
              <w:rPr>
                <w:rFonts w:ascii="Arial"/>
                <w:sz w:val="21"/>
              </w:rPr>
            </w:pPr>
          </w:p>
        </w:tc>
        <w:tc>
          <w:tcPr>
            <w:tcW w:w="113" w:type="dxa"/>
            <w:tcBorders>
              <w:top w:val="nil"/>
              <w:bottom w:val="nil"/>
            </w:tcBorders>
            <w:vAlign w:val="top"/>
          </w:tcPr>
          <w:p w14:paraId="46A65581">
            <w:pPr>
              <w:rPr>
                <w:rFonts w:ascii="Arial"/>
                <w:sz w:val="21"/>
              </w:rPr>
            </w:pPr>
          </w:p>
        </w:tc>
        <w:tc>
          <w:tcPr>
            <w:tcW w:w="771" w:type="dxa"/>
            <w:vMerge w:val="continue"/>
            <w:tcBorders>
              <w:top w:val="nil"/>
              <w:bottom w:val="nil"/>
            </w:tcBorders>
            <w:vAlign w:val="top"/>
          </w:tcPr>
          <w:p w14:paraId="2B40C36B">
            <w:pPr>
              <w:rPr>
                <w:rFonts w:ascii="Arial"/>
                <w:sz w:val="21"/>
              </w:rPr>
            </w:pPr>
          </w:p>
        </w:tc>
        <w:tc>
          <w:tcPr>
            <w:tcW w:w="3283" w:type="dxa"/>
            <w:vAlign w:val="top"/>
          </w:tcPr>
          <w:p w14:paraId="095D240E">
            <w:pPr>
              <w:spacing w:line="422" w:lineRule="auto"/>
              <w:rPr>
                <w:rFonts w:ascii="Arial"/>
                <w:sz w:val="21"/>
              </w:rPr>
            </w:pPr>
          </w:p>
          <w:p w14:paraId="6A490CA5">
            <w:pPr>
              <w:pStyle w:val="6"/>
              <w:spacing w:before="71" w:line="252" w:lineRule="auto"/>
              <w:ind w:left="104" w:right="42" w:firstLine="7"/>
              <w:jc w:val="both"/>
              <w:rPr>
                <w:sz w:val="22"/>
                <w:szCs w:val="22"/>
              </w:rPr>
            </w:pPr>
            <w:r>
              <w:rPr>
                <w:spacing w:val="3"/>
                <w:sz w:val="22"/>
                <w:szCs w:val="22"/>
              </w:rPr>
              <w:t>载有</w:t>
            </w:r>
            <w:r>
              <w:rPr>
                <w:spacing w:val="-52"/>
                <w:sz w:val="22"/>
                <w:szCs w:val="22"/>
              </w:rPr>
              <w:t xml:space="preserve"> </w:t>
            </w:r>
            <w:r>
              <w:rPr>
                <w:rFonts w:ascii="Times New Roman" w:hAnsi="Times New Roman" w:eastAsia="Times New Roman" w:cs="Times New Roman"/>
                <w:sz w:val="22"/>
                <w:szCs w:val="22"/>
              </w:rPr>
              <w:t>VOCs</w:t>
            </w:r>
            <w:r>
              <w:rPr>
                <w:spacing w:val="3"/>
                <w:sz w:val="22"/>
                <w:szCs w:val="22"/>
              </w:rPr>
              <w:t>物料的设备及其管道</w:t>
            </w:r>
            <w:r>
              <w:rPr>
                <w:spacing w:val="-6"/>
                <w:sz w:val="22"/>
                <w:szCs w:val="22"/>
              </w:rPr>
              <w:t>在开停工</w:t>
            </w:r>
            <w:r>
              <w:rPr>
                <w:rFonts w:ascii="Times New Roman" w:hAnsi="Times New Roman" w:eastAsia="Times New Roman" w:cs="Times New Roman"/>
                <w:spacing w:val="-6"/>
                <w:sz w:val="22"/>
                <w:szCs w:val="22"/>
              </w:rPr>
              <w:t>(</w:t>
            </w:r>
            <w:r>
              <w:rPr>
                <w:spacing w:val="-6"/>
                <w:sz w:val="22"/>
                <w:szCs w:val="22"/>
              </w:rPr>
              <w:t>车</w:t>
            </w:r>
            <w:r>
              <w:rPr>
                <w:rFonts w:ascii="Times New Roman" w:hAnsi="Times New Roman" w:eastAsia="Times New Roman" w:cs="Times New Roman"/>
                <w:spacing w:val="-6"/>
                <w:sz w:val="22"/>
                <w:szCs w:val="22"/>
              </w:rPr>
              <w:t>)</w:t>
            </w:r>
            <w:r>
              <w:rPr>
                <w:spacing w:val="-6"/>
                <w:sz w:val="22"/>
                <w:szCs w:val="22"/>
              </w:rPr>
              <w:t>、检维修和清洗时，</w:t>
            </w:r>
            <w:r>
              <w:rPr>
                <w:spacing w:val="1"/>
                <w:sz w:val="22"/>
                <w:szCs w:val="22"/>
              </w:rPr>
              <w:t>应在退料阶段将残存物料退净，</w:t>
            </w:r>
            <w:r>
              <w:rPr>
                <w:spacing w:val="-1"/>
                <w:sz w:val="22"/>
                <w:szCs w:val="22"/>
              </w:rPr>
              <w:t>并用密闭容器盛装，退料过程废</w:t>
            </w:r>
            <w:r>
              <w:rPr>
                <w:spacing w:val="4"/>
                <w:sz w:val="22"/>
                <w:szCs w:val="22"/>
              </w:rPr>
              <w:t>气应排至</w:t>
            </w:r>
            <w:r>
              <w:rPr>
                <w:spacing w:val="-55"/>
                <w:sz w:val="22"/>
                <w:szCs w:val="22"/>
              </w:rPr>
              <w:t xml:space="preserve"> </w:t>
            </w:r>
            <w:r>
              <w:rPr>
                <w:rFonts w:ascii="Times New Roman" w:hAnsi="Times New Roman" w:eastAsia="Times New Roman" w:cs="Times New Roman"/>
                <w:sz w:val="22"/>
                <w:szCs w:val="22"/>
              </w:rPr>
              <w:t>VOCs</w:t>
            </w:r>
            <w:r>
              <w:rPr>
                <w:spacing w:val="4"/>
                <w:sz w:val="22"/>
                <w:szCs w:val="22"/>
              </w:rPr>
              <w:t>废气收集处理系</w:t>
            </w:r>
            <w:r>
              <w:rPr>
                <w:spacing w:val="-1"/>
                <w:sz w:val="22"/>
                <w:szCs w:val="22"/>
              </w:rPr>
              <w:t>统，清洗及吹扫过程排气应排至</w:t>
            </w:r>
            <w:r>
              <w:rPr>
                <w:rFonts w:ascii="Times New Roman" w:hAnsi="Times New Roman" w:eastAsia="Times New Roman" w:cs="Times New Roman"/>
                <w:spacing w:val="-1"/>
                <w:sz w:val="22"/>
                <w:szCs w:val="22"/>
              </w:rPr>
              <w:t xml:space="preserve">VOCs </w:t>
            </w:r>
            <w:r>
              <w:rPr>
                <w:spacing w:val="-1"/>
                <w:sz w:val="22"/>
                <w:szCs w:val="22"/>
              </w:rPr>
              <w:t>废气收集处理系统</w:t>
            </w:r>
          </w:p>
        </w:tc>
        <w:tc>
          <w:tcPr>
            <w:tcW w:w="2358" w:type="dxa"/>
            <w:vAlign w:val="top"/>
          </w:tcPr>
          <w:p w14:paraId="2E779AE5">
            <w:pPr>
              <w:pStyle w:val="6"/>
              <w:spacing w:before="61" w:line="239" w:lineRule="auto"/>
              <w:ind w:left="115" w:right="99" w:firstLine="1"/>
              <w:rPr>
                <w:sz w:val="22"/>
                <w:szCs w:val="22"/>
              </w:rPr>
            </w:pPr>
            <w:r>
              <w:rPr>
                <w:spacing w:val="9"/>
                <w:sz w:val="22"/>
                <w:szCs w:val="22"/>
              </w:rPr>
              <w:t>本项</w:t>
            </w:r>
            <w:r>
              <w:rPr>
                <w:spacing w:val="-36"/>
                <w:sz w:val="22"/>
                <w:szCs w:val="22"/>
              </w:rPr>
              <w:t xml:space="preserve"> </w:t>
            </w:r>
            <w:r>
              <w:rPr>
                <w:spacing w:val="9"/>
                <w:sz w:val="22"/>
                <w:szCs w:val="22"/>
              </w:rPr>
              <w:t>目加油站储罐密</w:t>
            </w:r>
            <w:r>
              <w:rPr>
                <w:spacing w:val="-2"/>
                <w:sz w:val="22"/>
                <w:szCs w:val="22"/>
              </w:rPr>
              <w:t>封良好，其中：</w:t>
            </w:r>
          </w:p>
          <w:p w14:paraId="73ED2637">
            <w:pPr>
              <w:pStyle w:val="6"/>
              <w:spacing w:before="1" w:line="239" w:lineRule="auto"/>
              <w:ind w:left="117" w:right="149" w:firstLine="15"/>
              <w:rPr>
                <w:sz w:val="22"/>
                <w:szCs w:val="22"/>
              </w:rPr>
            </w:pPr>
            <w:r>
              <w:rPr>
                <w:rFonts w:ascii="Times New Roman" w:hAnsi="Times New Roman" w:eastAsia="Times New Roman" w:cs="Times New Roman"/>
                <w:spacing w:val="-2"/>
                <w:sz w:val="22"/>
                <w:szCs w:val="22"/>
              </w:rPr>
              <w:t>1</w:t>
            </w:r>
            <w:r>
              <w:rPr>
                <w:spacing w:val="-2"/>
                <w:sz w:val="22"/>
                <w:szCs w:val="22"/>
              </w:rPr>
              <w:t>）储油罐保持完好，</w:t>
            </w:r>
            <w:r>
              <w:rPr>
                <w:spacing w:val="-3"/>
                <w:sz w:val="22"/>
                <w:szCs w:val="22"/>
              </w:rPr>
              <w:t>无缝隙；</w:t>
            </w:r>
          </w:p>
          <w:p w14:paraId="7BD0B3EF">
            <w:pPr>
              <w:pStyle w:val="6"/>
              <w:spacing w:before="4"/>
              <w:ind w:left="115" w:right="97" w:hanging="3"/>
              <w:rPr>
                <w:sz w:val="22"/>
                <w:szCs w:val="22"/>
              </w:rPr>
            </w:pPr>
            <w:r>
              <w:rPr>
                <w:rFonts w:ascii="Times New Roman" w:hAnsi="Times New Roman" w:eastAsia="Times New Roman" w:cs="Times New Roman"/>
                <w:spacing w:val="5"/>
                <w:sz w:val="22"/>
                <w:szCs w:val="22"/>
              </w:rPr>
              <w:t>2</w:t>
            </w:r>
            <w:r>
              <w:rPr>
                <w:spacing w:val="5"/>
                <w:sz w:val="22"/>
                <w:szCs w:val="22"/>
              </w:rPr>
              <w:t>）储油罐阀门仅在采</w:t>
            </w:r>
            <w:r>
              <w:rPr>
                <w:spacing w:val="-6"/>
                <w:sz w:val="22"/>
                <w:szCs w:val="22"/>
              </w:rPr>
              <w:t>样、计量、检查、维护</w:t>
            </w:r>
            <w:r>
              <w:rPr>
                <w:spacing w:val="-7"/>
                <w:sz w:val="22"/>
                <w:szCs w:val="22"/>
              </w:rPr>
              <w:t>等情况下打开，日常状</w:t>
            </w:r>
            <w:r>
              <w:rPr>
                <w:spacing w:val="-2"/>
                <w:sz w:val="22"/>
                <w:szCs w:val="22"/>
              </w:rPr>
              <w:t>态下关闭；</w:t>
            </w:r>
          </w:p>
          <w:p w14:paraId="1D168C1D">
            <w:pPr>
              <w:pStyle w:val="6"/>
              <w:spacing w:before="37" w:line="220" w:lineRule="auto"/>
              <w:ind w:left="137" w:right="99" w:hanging="21"/>
              <w:rPr>
                <w:sz w:val="22"/>
                <w:szCs w:val="22"/>
              </w:rPr>
            </w:pPr>
            <w:r>
              <w:rPr>
                <w:rFonts w:ascii="Times New Roman" w:hAnsi="Times New Roman" w:eastAsia="Times New Roman" w:cs="Times New Roman"/>
                <w:spacing w:val="4"/>
                <w:sz w:val="22"/>
                <w:szCs w:val="22"/>
              </w:rPr>
              <w:t>3</w:t>
            </w:r>
            <w:r>
              <w:rPr>
                <w:spacing w:val="4"/>
                <w:sz w:val="22"/>
                <w:szCs w:val="22"/>
              </w:rPr>
              <w:t>）每年定期检查油气</w:t>
            </w:r>
            <w:r>
              <w:rPr>
                <w:spacing w:val="-8"/>
                <w:sz w:val="22"/>
                <w:szCs w:val="22"/>
              </w:rPr>
              <w:t>回收系统</w:t>
            </w:r>
          </w:p>
        </w:tc>
        <w:tc>
          <w:tcPr>
            <w:tcW w:w="827" w:type="dxa"/>
            <w:vAlign w:val="top"/>
          </w:tcPr>
          <w:p w14:paraId="14F3D796">
            <w:pPr>
              <w:spacing w:line="263" w:lineRule="auto"/>
              <w:rPr>
                <w:rFonts w:ascii="Arial"/>
                <w:sz w:val="21"/>
              </w:rPr>
            </w:pPr>
          </w:p>
          <w:p w14:paraId="517206CE">
            <w:pPr>
              <w:spacing w:line="263" w:lineRule="auto"/>
              <w:rPr>
                <w:rFonts w:ascii="Arial"/>
                <w:sz w:val="21"/>
              </w:rPr>
            </w:pPr>
          </w:p>
          <w:p w14:paraId="6B62FE2B">
            <w:pPr>
              <w:spacing w:line="263" w:lineRule="auto"/>
              <w:rPr>
                <w:rFonts w:ascii="Arial"/>
                <w:sz w:val="21"/>
              </w:rPr>
            </w:pPr>
          </w:p>
          <w:p w14:paraId="79B8C47B">
            <w:pPr>
              <w:spacing w:line="264" w:lineRule="auto"/>
              <w:rPr>
                <w:rFonts w:ascii="Arial"/>
                <w:sz w:val="21"/>
              </w:rPr>
            </w:pPr>
          </w:p>
          <w:p w14:paraId="55E92AC3">
            <w:pPr>
              <w:spacing w:line="264" w:lineRule="auto"/>
              <w:rPr>
                <w:rFonts w:ascii="Arial"/>
                <w:sz w:val="21"/>
              </w:rPr>
            </w:pPr>
          </w:p>
          <w:p w14:paraId="466C7109">
            <w:pPr>
              <w:pStyle w:val="6"/>
              <w:spacing w:before="71" w:line="220" w:lineRule="auto"/>
              <w:ind w:left="207"/>
              <w:rPr>
                <w:sz w:val="22"/>
                <w:szCs w:val="22"/>
              </w:rPr>
            </w:pPr>
            <w:r>
              <w:rPr>
                <w:spacing w:val="-5"/>
                <w:sz w:val="22"/>
                <w:szCs w:val="22"/>
              </w:rPr>
              <w:t>符合</w:t>
            </w:r>
          </w:p>
        </w:tc>
        <w:tc>
          <w:tcPr>
            <w:tcW w:w="122" w:type="dxa"/>
            <w:tcBorders>
              <w:top w:val="nil"/>
              <w:bottom w:val="nil"/>
              <w:right w:val="single" w:color="000000" w:sz="6" w:space="0"/>
            </w:tcBorders>
            <w:vAlign w:val="top"/>
          </w:tcPr>
          <w:p w14:paraId="1B913E44">
            <w:pPr>
              <w:rPr>
                <w:rFonts w:ascii="Arial"/>
                <w:sz w:val="21"/>
              </w:rPr>
            </w:pPr>
          </w:p>
        </w:tc>
      </w:tr>
      <w:tr w14:paraId="224BD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5" w:hRule="atLeast"/>
        </w:trPr>
        <w:tc>
          <w:tcPr>
            <w:tcW w:w="1400" w:type="dxa"/>
            <w:vMerge w:val="continue"/>
            <w:tcBorders>
              <w:top w:val="nil"/>
              <w:left w:val="single" w:color="000000" w:sz="6" w:space="0"/>
              <w:bottom w:val="nil"/>
            </w:tcBorders>
            <w:vAlign w:val="top"/>
          </w:tcPr>
          <w:p w14:paraId="78C6E37E">
            <w:pPr>
              <w:rPr>
                <w:rFonts w:ascii="Arial"/>
                <w:sz w:val="21"/>
              </w:rPr>
            </w:pPr>
          </w:p>
        </w:tc>
        <w:tc>
          <w:tcPr>
            <w:tcW w:w="113" w:type="dxa"/>
            <w:tcBorders>
              <w:top w:val="nil"/>
              <w:bottom w:val="nil"/>
            </w:tcBorders>
            <w:vAlign w:val="top"/>
          </w:tcPr>
          <w:p w14:paraId="3515194D">
            <w:pPr>
              <w:rPr>
                <w:rFonts w:ascii="Arial"/>
                <w:sz w:val="21"/>
              </w:rPr>
            </w:pPr>
          </w:p>
        </w:tc>
        <w:tc>
          <w:tcPr>
            <w:tcW w:w="771" w:type="dxa"/>
            <w:vMerge w:val="continue"/>
            <w:tcBorders>
              <w:top w:val="nil"/>
            </w:tcBorders>
            <w:vAlign w:val="top"/>
          </w:tcPr>
          <w:p w14:paraId="0C473102">
            <w:pPr>
              <w:rPr>
                <w:rFonts w:ascii="Arial"/>
                <w:sz w:val="21"/>
              </w:rPr>
            </w:pPr>
          </w:p>
        </w:tc>
        <w:tc>
          <w:tcPr>
            <w:tcW w:w="3283" w:type="dxa"/>
            <w:vAlign w:val="top"/>
          </w:tcPr>
          <w:p w14:paraId="2E5DE639">
            <w:pPr>
              <w:pStyle w:val="6"/>
              <w:spacing w:before="94" w:line="220" w:lineRule="auto"/>
              <w:ind w:left="113"/>
              <w:rPr>
                <w:sz w:val="22"/>
                <w:szCs w:val="22"/>
              </w:rPr>
            </w:pPr>
            <w:r>
              <w:rPr>
                <w:spacing w:val="4"/>
                <w:sz w:val="22"/>
                <w:szCs w:val="22"/>
              </w:rPr>
              <w:t>工艺过程产生的含</w:t>
            </w:r>
            <w:r>
              <w:rPr>
                <w:spacing w:val="-52"/>
                <w:sz w:val="22"/>
                <w:szCs w:val="22"/>
              </w:rPr>
              <w:t xml:space="preserve"> </w:t>
            </w:r>
            <w:r>
              <w:rPr>
                <w:rFonts w:ascii="Times New Roman" w:hAnsi="Times New Roman" w:eastAsia="Times New Roman" w:cs="Times New Roman"/>
                <w:sz w:val="22"/>
                <w:szCs w:val="22"/>
              </w:rPr>
              <w:t>VOCs</w:t>
            </w:r>
            <w:r>
              <w:rPr>
                <w:spacing w:val="4"/>
                <w:sz w:val="22"/>
                <w:szCs w:val="22"/>
              </w:rPr>
              <w:t>废料</w:t>
            </w:r>
          </w:p>
          <w:p w14:paraId="240B3DC7">
            <w:pPr>
              <w:pStyle w:val="6"/>
              <w:spacing w:before="38" w:line="237" w:lineRule="auto"/>
              <w:ind w:left="111" w:right="101"/>
              <w:rPr>
                <w:sz w:val="22"/>
                <w:szCs w:val="22"/>
              </w:rPr>
            </w:pPr>
            <w:r>
              <w:rPr>
                <w:rFonts w:ascii="Times New Roman" w:hAnsi="Times New Roman" w:eastAsia="Times New Roman" w:cs="Times New Roman"/>
                <w:spacing w:val="-5"/>
                <w:sz w:val="22"/>
                <w:szCs w:val="22"/>
              </w:rPr>
              <w:t>(</w:t>
            </w:r>
            <w:r>
              <w:rPr>
                <w:spacing w:val="-5"/>
                <w:sz w:val="22"/>
                <w:szCs w:val="22"/>
              </w:rPr>
              <w:t>渣、液</w:t>
            </w:r>
            <w:r>
              <w:rPr>
                <w:rFonts w:ascii="Times New Roman" w:hAnsi="Times New Roman" w:eastAsia="Times New Roman" w:cs="Times New Roman"/>
                <w:spacing w:val="-5"/>
                <w:sz w:val="22"/>
                <w:szCs w:val="22"/>
              </w:rPr>
              <w:t>)</w:t>
            </w:r>
            <w:r>
              <w:rPr>
                <w:spacing w:val="-5"/>
                <w:sz w:val="22"/>
                <w:szCs w:val="22"/>
              </w:rPr>
              <w:t>应按照第</w:t>
            </w:r>
            <w:r>
              <w:rPr>
                <w:spacing w:val="-32"/>
                <w:sz w:val="22"/>
                <w:szCs w:val="22"/>
              </w:rPr>
              <w:t xml:space="preserve"> </w:t>
            </w:r>
            <w:r>
              <w:rPr>
                <w:rFonts w:ascii="Times New Roman" w:hAnsi="Times New Roman" w:eastAsia="Times New Roman" w:cs="Times New Roman"/>
                <w:spacing w:val="-5"/>
                <w:sz w:val="22"/>
                <w:szCs w:val="22"/>
              </w:rPr>
              <w:t>5</w:t>
            </w:r>
            <w:r>
              <w:rPr>
                <w:rFonts w:ascii="Times New Roman" w:hAnsi="Times New Roman" w:eastAsia="Times New Roman" w:cs="Times New Roman"/>
                <w:spacing w:val="16"/>
                <w:w w:val="101"/>
                <w:sz w:val="22"/>
                <w:szCs w:val="22"/>
              </w:rPr>
              <w:t xml:space="preserve"> </w:t>
            </w:r>
            <w:r>
              <w:rPr>
                <w:spacing w:val="-5"/>
                <w:sz w:val="22"/>
                <w:szCs w:val="22"/>
              </w:rPr>
              <w:t>章、第</w:t>
            </w:r>
            <w:r>
              <w:rPr>
                <w:spacing w:val="-46"/>
                <w:sz w:val="22"/>
                <w:szCs w:val="22"/>
              </w:rPr>
              <w:t xml:space="preserve"> </w:t>
            </w:r>
            <w:r>
              <w:rPr>
                <w:rFonts w:ascii="Times New Roman" w:hAnsi="Times New Roman" w:eastAsia="Times New Roman" w:cs="Times New Roman"/>
                <w:spacing w:val="-5"/>
                <w:sz w:val="22"/>
                <w:szCs w:val="22"/>
              </w:rPr>
              <w:t>6</w:t>
            </w:r>
            <w:r>
              <w:rPr>
                <w:rFonts w:ascii="Times New Roman" w:hAnsi="Times New Roman" w:eastAsia="Times New Roman" w:cs="Times New Roman"/>
                <w:spacing w:val="14"/>
                <w:w w:val="101"/>
                <w:sz w:val="22"/>
                <w:szCs w:val="22"/>
              </w:rPr>
              <w:t xml:space="preserve"> </w:t>
            </w:r>
            <w:r>
              <w:rPr>
                <w:spacing w:val="-5"/>
                <w:sz w:val="22"/>
                <w:szCs w:val="22"/>
              </w:rPr>
              <w:t>章</w:t>
            </w:r>
            <w:r>
              <w:rPr>
                <w:spacing w:val="-2"/>
                <w:sz w:val="22"/>
                <w:szCs w:val="22"/>
              </w:rPr>
              <w:t>的要求进行储存、转移和输送。</w:t>
            </w:r>
            <w:r>
              <w:rPr>
                <w:spacing w:val="3"/>
                <w:sz w:val="22"/>
                <w:szCs w:val="22"/>
              </w:rPr>
              <w:t>盛装过</w:t>
            </w:r>
            <w:r>
              <w:rPr>
                <w:spacing w:val="-49"/>
                <w:sz w:val="22"/>
                <w:szCs w:val="22"/>
              </w:rPr>
              <w:t xml:space="preserve"> </w:t>
            </w:r>
            <w:r>
              <w:rPr>
                <w:rFonts w:ascii="Times New Roman" w:hAnsi="Times New Roman" w:eastAsia="Times New Roman" w:cs="Times New Roman"/>
                <w:sz w:val="22"/>
                <w:szCs w:val="22"/>
              </w:rPr>
              <w:t>VOCs</w:t>
            </w:r>
            <w:r>
              <w:rPr>
                <w:spacing w:val="3"/>
                <w:sz w:val="22"/>
                <w:szCs w:val="22"/>
              </w:rPr>
              <w:t>物料的废包装容器</w:t>
            </w:r>
            <w:r>
              <w:rPr>
                <w:spacing w:val="-2"/>
                <w:sz w:val="22"/>
                <w:szCs w:val="22"/>
              </w:rPr>
              <w:t>应加盖密闭</w:t>
            </w:r>
          </w:p>
        </w:tc>
        <w:tc>
          <w:tcPr>
            <w:tcW w:w="2358" w:type="dxa"/>
            <w:vAlign w:val="top"/>
          </w:tcPr>
          <w:p w14:paraId="66828F29">
            <w:pPr>
              <w:pStyle w:val="6"/>
              <w:spacing w:before="95"/>
              <w:ind w:left="116" w:right="97"/>
              <w:jc w:val="both"/>
              <w:rPr>
                <w:sz w:val="22"/>
                <w:szCs w:val="22"/>
              </w:rPr>
            </w:pPr>
            <w:r>
              <w:rPr>
                <w:spacing w:val="9"/>
                <w:sz w:val="22"/>
                <w:szCs w:val="22"/>
              </w:rPr>
              <w:t>本项</w:t>
            </w:r>
            <w:r>
              <w:rPr>
                <w:spacing w:val="-34"/>
                <w:sz w:val="22"/>
                <w:szCs w:val="22"/>
              </w:rPr>
              <w:t xml:space="preserve"> </w:t>
            </w:r>
            <w:r>
              <w:rPr>
                <w:spacing w:val="9"/>
                <w:sz w:val="22"/>
                <w:szCs w:val="22"/>
              </w:rPr>
              <w:t>目对检修及运营</w:t>
            </w:r>
            <w:r>
              <w:rPr>
                <w:spacing w:val="7"/>
                <w:sz w:val="22"/>
                <w:szCs w:val="22"/>
              </w:rPr>
              <w:t>过程中产生的</w:t>
            </w:r>
            <w:r>
              <w:rPr>
                <w:rFonts w:ascii="Times New Roman" w:hAnsi="Times New Roman" w:eastAsia="Times New Roman" w:cs="Times New Roman"/>
                <w:sz w:val="22"/>
                <w:szCs w:val="22"/>
              </w:rPr>
              <w:t>VOCs</w:t>
            </w:r>
            <w:r>
              <w:rPr>
                <w:spacing w:val="7"/>
                <w:sz w:val="22"/>
                <w:szCs w:val="22"/>
              </w:rPr>
              <w:t>废</w:t>
            </w:r>
            <w:r>
              <w:rPr>
                <w:spacing w:val="-20"/>
                <w:sz w:val="22"/>
                <w:szCs w:val="22"/>
              </w:rPr>
              <w:t>渣、液，对盛装过</w:t>
            </w:r>
            <w:r>
              <w:rPr>
                <w:spacing w:val="-45"/>
                <w:sz w:val="22"/>
                <w:szCs w:val="22"/>
              </w:rPr>
              <w:t xml:space="preserve"> </w:t>
            </w:r>
            <w:r>
              <w:rPr>
                <w:rFonts w:ascii="Times New Roman" w:hAnsi="Times New Roman" w:eastAsia="Times New Roman" w:cs="Times New Roman"/>
                <w:spacing w:val="-20"/>
                <w:sz w:val="22"/>
                <w:szCs w:val="22"/>
              </w:rPr>
              <w:t>VOCs</w:t>
            </w:r>
            <w:r>
              <w:rPr>
                <w:spacing w:val="17"/>
                <w:sz w:val="22"/>
                <w:szCs w:val="22"/>
              </w:rPr>
              <w:t>物料的废包装容器加</w:t>
            </w:r>
            <w:r>
              <w:rPr>
                <w:spacing w:val="-2"/>
                <w:sz w:val="22"/>
                <w:szCs w:val="22"/>
              </w:rPr>
              <w:t>盖密闭转移</w:t>
            </w:r>
          </w:p>
        </w:tc>
        <w:tc>
          <w:tcPr>
            <w:tcW w:w="827" w:type="dxa"/>
            <w:vAlign w:val="top"/>
          </w:tcPr>
          <w:p w14:paraId="5C41A777">
            <w:pPr>
              <w:spacing w:line="309" w:lineRule="auto"/>
              <w:rPr>
                <w:rFonts w:ascii="Arial"/>
                <w:sz w:val="21"/>
              </w:rPr>
            </w:pPr>
          </w:p>
          <w:p w14:paraId="2EB815D7">
            <w:pPr>
              <w:spacing w:line="310" w:lineRule="auto"/>
              <w:rPr>
                <w:rFonts w:ascii="Arial"/>
                <w:sz w:val="21"/>
              </w:rPr>
            </w:pPr>
          </w:p>
          <w:p w14:paraId="1405A722">
            <w:pPr>
              <w:pStyle w:val="6"/>
              <w:spacing w:before="71" w:line="220" w:lineRule="auto"/>
              <w:ind w:left="207"/>
              <w:rPr>
                <w:sz w:val="22"/>
                <w:szCs w:val="22"/>
              </w:rPr>
            </w:pPr>
            <w:r>
              <w:rPr>
                <w:spacing w:val="-5"/>
                <w:sz w:val="22"/>
                <w:szCs w:val="22"/>
              </w:rPr>
              <w:t>符合</w:t>
            </w:r>
          </w:p>
        </w:tc>
        <w:tc>
          <w:tcPr>
            <w:tcW w:w="122" w:type="dxa"/>
            <w:tcBorders>
              <w:top w:val="nil"/>
              <w:bottom w:val="nil"/>
              <w:right w:val="single" w:color="000000" w:sz="6" w:space="0"/>
            </w:tcBorders>
            <w:vAlign w:val="top"/>
          </w:tcPr>
          <w:p w14:paraId="52AF17FF">
            <w:pPr>
              <w:rPr>
                <w:rFonts w:ascii="Arial"/>
                <w:sz w:val="21"/>
              </w:rPr>
            </w:pPr>
          </w:p>
        </w:tc>
      </w:tr>
      <w:tr w14:paraId="0C4B1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400" w:type="dxa"/>
            <w:vMerge w:val="continue"/>
            <w:tcBorders>
              <w:top w:val="nil"/>
              <w:left w:val="single" w:color="000000" w:sz="6" w:space="0"/>
              <w:bottom w:val="single" w:color="000000" w:sz="6" w:space="0"/>
            </w:tcBorders>
            <w:vAlign w:val="top"/>
          </w:tcPr>
          <w:p w14:paraId="12429266">
            <w:pPr>
              <w:rPr>
                <w:rFonts w:ascii="Arial"/>
                <w:sz w:val="21"/>
              </w:rPr>
            </w:pPr>
          </w:p>
        </w:tc>
        <w:tc>
          <w:tcPr>
            <w:tcW w:w="113" w:type="dxa"/>
            <w:tcBorders>
              <w:top w:val="nil"/>
              <w:bottom w:val="single" w:color="000000" w:sz="6" w:space="0"/>
            </w:tcBorders>
            <w:vAlign w:val="top"/>
          </w:tcPr>
          <w:p w14:paraId="74AC0438">
            <w:pPr>
              <w:rPr>
                <w:rFonts w:ascii="Arial"/>
                <w:sz w:val="21"/>
              </w:rPr>
            </w:pPr>
          </w:p>
        </w:tc>
        <w:tc>
          <w:tcPr>
            <w:tcW w:w="771" w:type="dxa"/>
            <w:tcBorders>
              <w:bottom w:val="single" w:color="000000" w:sz="6" w:space="0"/>
            </w:tcBorders>
            <w:vAlign w:val="top"/>
          </w:tcPr>
          <w:p w14:paraId="11E33CAF">
            <w:pPr>
              <w:pStyle w:val="6"/>
              <w:spacing w:before="126" w:line="233" w:lineRule="auto"/>
              <w:ind w:left="167" w:right="116" w:hanging="65"/>
              <w:rPr>
                <w:sz w:val="22"/>
                <w:szCs w:val="22"/>
              </w:rPr>
            </w:pPr>
            <w:r>
              <w:rPr>
                <w:rFonts w:ascii="Times New Roman" w:hAnsi="Times New Roman" w:eastAsia="Times New Roman" w:cs="Times New Roman"/>
                <w:spacing w:val="-1"/>
                <w:sz w:val="22"/>
                <w:szCs w:val="22"/>
              </w:rPr>
              <w:t>VOCs</w:t>
            </w:r>
            <w:r>
              <w:rPr>
                <w:spacing w:val="-5"/>
                <w:sz w:val="22"/>
                <w:szCs w:val="22"/>
              </w:rPr>
              <w:t>无组</w:t>
            </w:r>
          </w:p>
        </w:tc>
        <w:tc>
          <w:tcPr>
            <w:tcW w:w="3283" w:type="dxa"/>
            <w:tcBorders>
              <w:bottom w:val="single" w:color="000000" w:sz="6" w:space="0"/>
            </w:tcBorders>
            <w:vAlign w:val="top"/>
          </w:tcPr>
          <w:p w14:paraId="2A9EB32D">
            <w:pPr>
              <w:pStyle w:val="6"/>
              <w:spacing w:before="87" w:line="236" w:lineRule="auto"/>
              <w:ind w:left="110" w:right="149" w:hanging="6"/>
              <w:rPr>
                <w:sz w:val="22"/>
                <w:szCs w:val="22"/>
              </w:rPr>
            </w:pPr>
            <w:r>
              <w:rPr>
                <w:rFonts w:ascii="Times New Roman" w:hAnsi="Times New Roman" w:eastAsia="Times New Roman" w:cs="Times New Roman"/>
                <w:spacing w:val="-1"/>
                <w:sz w:val="22"/>
                <w:szCs w:val="22"/>
              </w:rPr>
              <w:t xml:space="preserve">VOCs </w:t>
            </w:r>
            <w:r>
              <w:rPr>
                <w:spacing w:val="-1"/>
                <w:sz w:val="22"/>
                <w:szCs w:val="22"/>
              </w:rPr>
              <w:t>废气收集处理系统应与生产工艺设备同步运行。</w:t>
            </w:r>
            <w:r>
              <w:rPr>
                <w:rFonts w:ascii="Times New Roman" w:hAnsi="Times New Roman" w:eastAsia="Times New Roman" w:cs="Times New Roman"/>
                <w:spacing w:val="-1"/>
                <w:sz w:val="22"/>
                <w:szCs w:val="22"/>
              </w:rPr>
              <w:t xml:space="preserve">VOCs </w:t>
            </w:r>
            <w:r>
              <w:rPr>
                <w:spacing w:val="-1"/>
                <w:sz w:val="22"/>
                <w:szCs w:val="22"/>
              </w:rPr>
              <w:t>废</w:t>
            </w:r>
          </w:p>
        </w:tc>
        <w:tc>
          <w:tcPr>
            <w:tcW w:w="2358" w:type="dxa"/>
            <w:tcBorders>
              <w:bottom w:val="single" w:color="000000" w:sz="6" w:space="0"/>
            </w:tcBorders>
            <w:vAlign w:val="top"/>
          </w:tcPr>
          <w:p w14:paraId="547A2264">
            <w:pPr>
              <w:pStyle w:val="6"/>
              <w:spacing w:before="87" w:line="236" w:lineRule="auto"/>
              <w:ind w:left="116" w:right="99" w:firstLine="18"/>
              <w:rPr>
                <w:sz w:val="22"/>
                <w:szCs w:val="22"/>
              </w:rPr>
            </w:pPr>
            <w:r>
              <w:rPr>
                <w:spacing w:val="15"/>
                <w:sz w:val="22"/>
                <w:szCs w:val="22"/>
              </w:rPr>
              <w:t>出现设备检修时及时</w:t>
            </w:r>
            <w:r>
              <w:rPr>
                <w:spacing w:val="17"/>
                <w:sz w:val="22"/>
                <w:szCs w:val="22"/>
              </w:rPr>
              <w:t>停工停产检修恢复后</w:t>
            </w:r>
          </w:p>
        </w:tc>
        <w:tc>
          <w:tcPr>
            <w:tcW w:w="827" w:type="dxa"/>
            <w:tcBorders>
              <w:bottom w:val="single" w:color="000000" w:sz="6" w:space="0"/>
            </w:tcBorders>
            <w:vAlign w:val="top"/>
          </w:tcPr>
          <w:p w14:paraId="6581E66D">
            <w:pPr>
              <w:pStyle w:val="6"/>
              <w:spacing w:before="239" w:line="220" w:lineRule="auto"/>
              <w:ind w:left="207"/>
              <w:rPr>
                <w:sz w:val="22"/>
                <w:szCs w:val="22"/>
              </w:rPr>
            </w:pPr>
            <w:r>
              <w:rPr>
                <w:spacing w:val="-5"/>
                <w:sz w:val="22"/>
                <w:szCs w:val="22"/>
              </w:rPr>
              <w:t>符合</w:t>
            </w:r>
          </w:p>
        </w:tc>
        <w:tc>
          <w:tcPr>
            <w:tcW w:w="122" w:type="dxa"/>
            <w:tcBorders>
              <w:top w:val="nil"/>
              <w:bottom w:val="single" w:color="000000" w:sz="6" w:space="0"/>
              <w:right w:val="single" w:color="000000" w:sz="6" w:space="0"/>
            </w:tcBorders>
            <w:vAlign w:val="top"/>
          </w:tcPr>
          <w:p w14:paraId="63089B49">
            <w:pPr>
              <w:rPr>
                <w:rFonts w:ascii="Arial"/>
                <w:sz w:val="21"/>
              </w:rPr>
            </w:pPr>
          </w:p>
        </w:tc>
      </w:tr>
    </w:tbl>
    <w:p w14:paraId="677C8B14">
      <w:pPr>
        <w:pStyle w:val="2"/>
        <w:rPr>
          <w:sz w:val="21"/>
        </w:rPr>
      </w:pPr>
    </w:p>
    <w:p w14:paraId="1D9AC0A6">
      <w:pPr>
        <w:rPr>
          <w:sz w:val="21"/>
          <w:szCs w:val="21"/>
        </w:rPr>
        <w:sectPr>
          <w:footerReference r:id="rId15" w:type="default"/>
          <w:pgSz w:w="11906" w:h="16839"/>
          <w:pgMar w:top="400" w:right="1508" w:bottom="1234" w:left="1508" w:header="0" w:footer="996" w:gutter="0"/>
          <w:cols w:space="720" w:num="1"/>
        </w:sectPr>
      </w:pPr>
    </w:p>
    <w:p w14:paraId="3B0D1954">
      <w:pPr>
        <w:spacing w:before="19"/>
      </w:pPr>
    </w:p>
    <w:p w14:paraId="4944EDC2">
      <w:pPr>
        <w:spacing w:before="19"/>
      </w:pPr>
    </w:p>
    <w:p w14:paraId="78F32A12">
      <w:pPr>
        <w:spacing w:before="19"/>
      </w:pPr>
    </w:p>
    <w:p w14:paraId="1C4BB290">
      <w:pPr>
        <w:spacing w:before="18"/>
      </w:pPr>
    </w:p>
    <w:p w14:paraId="4D936F4E">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113"/>
        <w:gridCol w:w="771"/>
        <w:gridCol w:w="3283"/>
        <w:gridCol w:w="2358"/>
        <w:gridCol w:w="827"/>
        <w:gridCol w:w="122"/>
      </w:tblGrid>
      <w:tr w14:paraId="20F9C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1" w:hRule="atLeast"/>
        </w:trPr>
        <w:tc>
          <w:tcPr>
            <w:tcW w:w="1400" w:type="dxa"/>
            <w:vMerge w:val="restart"/>
            <w:tcBorders>
              <w:top w:val="single" w:color="000000" w:sz="6" w:space="0"/>
              <w:left w:val="single" w:color="000000" w:sz="6" w:space="0"/>
              <w:bottom w:val="nil"/>
            </w:tcBorders>
            <w:vAlign w:val="top"/>
          </w:tcPr>
          <w:p w14:paraId="72522F01">
            <w:pPr>
              <w:rPr>
                <w:rFonts w:ascii="Arial"/>
                <w:sz w:val="21"/>
              </w:rPr>
            </w:pPr>
          </w:p>
        </w:tc>
        <w:tc>
          <w:tcPr>
            <w:tcW w:w="113" w:type="dxa"/>
            <w:tcBorders>
              <w:top w:val="single" w:color="000000" w:sz="6" w:space="0"/>
              <w:bottom w:val="nil"/>
            </w:tcBorders>
            <w:vAlign w:val="top"/>
          </w:tcPr>
          <w:p w14:paraId="7210E25C">
            <w:pPr>
              <w:rPr>
                <w:rFonts w:ascii="Arial"/>
                <w:sz w:val="21"/>
              </w:rPr>
            </w:pPr>
          </w:p>
        </w:tc>
        <w:tc>
          <w:tcPr>
            <w:tcW w:w="771" w:type="dxa"/>
            <w:vMerge w:val="restart"/>
            <w:tcBorders>
              <w:top w:val="single" w:color="000000" w:sz="6" w:space="0"/>
              <w:bottom w:val="nil"/>
            </w:tcBorders>
            <w:vAlign w:val="top"/>
          </w:tcPr>
          <w:p w14:paraId="2FD20AA2">
            <w:pPr>
              <w:pStyle w:val="6"/>
              <w:spacing w:before="64" w:line="256" w:lineRule="auto"/>
              <w:ind w:left="166" w:right="166" w:firstLine="3"/>
              <w:jc w:val="both"/>
              <w:rPr>
                <w:sz w:val="22"/>
                <w:szCs w:val="22"/>
              </w:rPr>
            </w:pPr>
            <w:r>
              <w:rPr>
                <w:spacing w:val="-6"/>
                <w:sz w:val="22"/>
                <w:szCs w:val="22"/>
              </w:rPr>
              <w:t>织排</w:t>
            </w:r>
            <w:r>
              <w:rPr>
                <w:spacing w:val="-4"/>
                <w:sz w:val="22"/>
                <w:szCs w:val="22"/>
              </w:rPr>
              <w:t>放废气收集处理系统要</w:t>
            </w:r>
            <w:r>
              <w:rPr>
                <w:spacing w:val="41"/>
                <w:w w:val="128"/>
                <w:sz w:val="22"/>
                <w:szCs w:val="22"/>
              </w:rPr>
              <w:t>求</w:t>
            </w:r>
          </w:p>
        </w:tc>
        <w:tc>
          <w:tcPr>
            <w:tcW w:w="3283" w:type="dxa"/>
            <w:tcBorders>
              <w:top w:val="single" w:color="000000" w:sz="6" w:space="0"/>
            </w:tcBorders>
            <w:vAlign w:val="top"/>
          </w:tcPr>
          <w:p w14:paraId="6CBB47A6">
            <w:pPr>
              <w:pStyle w:val="6"/>
              <w:spacing w:before="65" w:line="220" w:lineRule="auto"/>
              <w:ind w:left="111"/>
              <w:rPr>
                <w:sz w:val="22"/>
                <w:szCs w:val="22"/>
              </w:rPr>
            </w:pPr>
            <w:r>
              <w:rPr>
                <w:spacing w:val="-1"/>
                <w:sz w:val="22"/>
                <w:szCs w:val="22"/>
              </w:rPr>
              <w:t>气收集处理系统发生故障或检</w:t>
            </w:r>
          </w:p>
          <w:p w14:paraId="529B9F3C">
            <w:pPr>
              <w:pStyle w:val="6"/>
              <w:spacing w:before="36" w:line="252" w:lineRule="auto"/>
              <w:ind w:left="109" w:right="101" w:firstLine="1"/>
              <w:rPr>
                <w:sz w:val="22"/>
                <w:szCs w:val="22"/>
              </w:rPr>
            </w:pPr>
            <w:r>
              <w:rPr>
                <w:spacing w:val="-2"/>
                <w:sz w:val="22"/>
                <w:szCs w:val="22"/>
              </w:rPr>
              <w:t>修时，对应的生产工艺设备应停止运行，待检修完毕后同步投入</w:t>
            </w:r>
            <w:r>
              <w:rPr>
                <w:spacing w:val="-1"/>
                <w:sz w:val="22"/>
                <w:szCs w:val="22"/>
              </w:rPr>
              <w:t>使用；生产工艺设备不能停止运行或不能及时停止运行的，应设置废气应急处理设施或采取其</w:t>
            </w:r>
          </w:p>
          <w:p w14:paraId="618C082A">
            <w:pPr>
              <w:pStyle w:val="6"/>
              <w:spacing w:line="189" w:lineRule="auto"/>
              <w:ind w:left="111"/>
              <w:rPr>
                <w:sz w:val="22"/>
                <w:szCs w:val="22"/>
              </w:rPr>
            </w:pPr>
            <w:r>
              <w:rPr>
                <w:spacing w:val="-2"/>
                <w:sz w:val="22"/>
                <w:szCs w:val="22"/>
              </w:rPr>
              <w:t>他替代措施</w:t>
            </w:r>
          </w:p>
        </w:tc>
        <w:tc>
          <w:tcPr>
            <w:tcW w:w="2358" w:type="dxa"/>
            <w:tcBorders>
              <w:top w:val="single" w:color="000000" w:sz="6" w:space="0"/>
            </w:tcBorders>
            <w:vAlign w:val="top"/>
          </w:tcPr>
          <w:p w14:paraId="2F486217">
            <w:pPr>
              <w:pStyle w:val="6"/>
              <w:spacing w:before="65" w:line="221" w:lineRule="auto"/>
              <w:ind w:left="116"/>
              <w:rPr>
                <w:sz w:val="22"/>
                <w:szCs w:val="22"/>
              </w:rPr>
            </w:pPr>
            <w:r>
              <w:rPr>
                <w:spacing w:val="-2"/>
                <w:sz w:val="22"/>
                <w:szCs w:val="22"/>
              </w:rPr>
              <w:t>方能启动运营</w:t>
            </w:r>
          </w:p>
        </w:tc>
        <w:tc>
          <w:tcPr>
            <w:tcW w:w="827" w:type="dxa"/>
            <w:tcBorders>
              <w:top w:val="single" w:color="000000" w:sz="6" w:space="0"/>
            </w:tcBorders>
            <w:vAlign w:val="top"/>
          </w:tcPr>
          <w:p w14:paraId="5F9C286D">
            <w:pPr>
              <w:rPr>
                <w:rFonts w:ascii="Arial"/>
                <w:sz w:val="21"/>
              </w:rPr>
            </w:pPr>
          </w:p>
        </w:tc>
        <w:tc>
          <w:tcPr>
            <w:tcW w:w="122" w:type="dxa"/>
            <w:tcBorders>
              <w:top w:val="single" w:color="000000" w:sz="6" w:space="0"/>
              <w:bottom w:val="nil"/>
              <w:right w:val="single" w:color="000000" w:sz="6" w:space="0"/>
            </w:tcBorders>
            <w:vAlign w:val="top"/>
          </w:tcPr>
          <w:p w14:paraId="55700CB5">
            <w:pPr>
              <w:rPr>
                <w:rFonts w:ascii="Arial"/>
                <w:sz w:val="21"/>
              </w:rPr>
            </w:pPr>
          </w:p>
        </w:tc>
      </w:tr>
      <w:tr w14:paraId="00A44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3" w:hRule="atLeast"/>
        </w:trPr>
        <w:tc>
          <w:tcPr>
            <w:tcW w:w="1400" w:type="dxa"/>
            <w:vMerge w:val="continue"/>
            <w:tcBorders>
              <w:top w:val="nil"/>
              <w:left w:val="single" w:color="000000" w:sz="6" w:space="0"/>
              <w:bottom w:val="nil"/>
            </w:tcBorders>
            <w:vAlign w:val="top"/>
          </w:tcPr>
          <w:p w14:paraId="6813CA89">
            <w:pPr>
              <w:rPr>
                <w:rFonts w:ascii="Arial"/>
                <w:sz w:val="21"/>
              </w:rPr>
            </w:pPr>
          </w:p>
        </w:tc>
        <w:tc>
          <w:tcPr>
            <w:tcW w:w="113" w:type="dxa"/>
            <w:tcBorders>
              <w:top w:val="nil"/>
              <w:bottom w:val="nil"/>
            </w:tcBorders>
            <w:vAlign w:val="top"/>
          </w:tcPr>
          <w:p w14:paraId="24E65666">
            <w:pPr>
              <w:rPr>
                <w:rFonts w:ascii="Arial"/>
                <w:sz w:val="21"/>
              </w:rPr>
            </w:pPr>
          </w:p>
        </w:tc>
        <w:tc>
          <w:tcPr>
            <w:tcW w:w="771" w:type="dxa"/>
            <w:vMerge w:val="continue"/>
            <w:tcBorders>
              <w:top w:val="nil"/>
              <w:bottom w:val="nil"/>
            </w:tcBorders>
            <w:vAlign w:val="top"/>
          </w:tcPr>
          <w:p w14:paraId="37F95AA1">
            <w:pPr>
              <w:rPr>
                <w:rFonts w:ascii="Arial"/>
                <w:sz w:val="21"/>
              </w:rPr>
            </w:pPr>
          </w:p>
        </w:tc>
        <w:tc>
          <w:tcPr>
            <w:tcW w:w="3283" w:type="dxa"/>
            <w:vAlign w:val="top"/>
          </w:tcPr>
          <w:p w14:paraId="5F675E74">
            <w:pPr>
              <w:spacing w:line="309" w:lineRule="auto"/>
              <w:rPr>
                <w:rFonts w:ascii="Arial"/>
                <w:sz w:val="21"/>
              </w:rPr>
            </w:pPr>
          </w:p>
          <w:p w14:paraId="10141309">
            <w:pPr>
              <w:spacing w:line="309" w:lineRule="auto"/>
              <w:rPr>
                <w:rFonts w:ascii="Arial"/>
                <w:sz w:val="21"/>
              </w:rPr>
            </w:pPr>
          </w:p>
          <w:p w14:paraId="430DD802">
            <w:pPr>
              <w:pStyle w:val="6"/>
              <w:spacing w:before="71" w:line="253" w:lineRule="auto"/>
              <w:ind w:left="110" w:right="42" w:firstLine="4"/>
              <w:rPr>
                <w:sz w:val="22"/>
                <w:szCs w:val="22"/>
              </w:rPr>
            </w:pPr>
            <w:r>
              <w:rPr>
                <w:spacing w:val="-1"/>
                <w:sz w:val="22"/>
                <w:szCs w:val="22"/>
              </w:rPr>
              <w:t>企业应考虑生产工艺、操作方</w:t>
            </w:r>
            <w:r>
              <w:rPr>
                <w:sz w:val="22"/>
                <w:szCs w:val="22"/>
              </w:rPr>
              <w:t xml:space="preserve"> </w:t>
            </w:r>
            <w:r>
              <w:rPr>
                <w:spacing w:val="-12"/>
                <w:sz w:val="22"/>
                <w:szCs w:val="22"/>
              </w:rPr>
              <w:t>式、废气性质、处理方法等因素，</w:t>
            </w:r>
            <w:r>
              <w:rPr>
                <w:spacing w:val="5"/>
                <w:sz w:val="22"/>
                <w:szCs w:val="22"/>
              </w:rPr>
              <w:t>对</w:t>
            </w:r>
            <w:r>
              <w:rPr>
                <w:spacing w:val="-54"/>
                <w:sz w:val="22"/>
                <w:szCs w:val="22"/>
              </w:rPr>
              <w:t xml:space="preserve"> </w:t>
            </w:r>
            <w:r>
              <w:rPr>
                <w:rFonts w:ascii="Times New Roman" w:hAnsi="Times New Roman" w:eastAsia="Times New Roman" w:cs="Times New Roman"/>
                <w:sz w:val="22"/>
                <w:szCs w:val="22"/>
              </w:rPr>
              <w:t>VOCs</w:t>
            </w:r>
            <w:r>
              <w:rPr>
                <w:spacing w:val="5"/>
                <w:sz w:val="22"/>
                <w:szCs w:val="22"/>
              </w:rPr>
              <w:t>废气进行分类收集</w:t>
            </w:r>
          </w:p>
        </w:tc>
        <w:tc>
          <w:tcPr>
            <w:tcW w:w="2358" w:type="dxa"/>
            <w:vAlign w:val="top"/>
          </w:tcPr>
          <w:p w14:paraId="56793686">
            <w:pPr>
              <w:pStyle w:val="6"/>
              <w:spacing w:before="95" w:line="243" w:lineRule="auto"/>
              <w:ind w:left="114" w:right="95" w:firstLine="2"/>
              <w:jc w:val="both"/>
              <w:rPr>
                <w:sz w:val="22"/>
                <w:szCs w:val="22"/>
              </w:rPr>
            </w:pPr>
            <w:r>
              <w:rPr>
                <w:spacing w:val="9"/>
                <w:sz w:val="22"/>
                <w:szCs w:val="22"/>
              </w:rPr>
              <w:t>本项</w:t>
            </w:r>
            <w:r>
              <w:rPr>
                <w:spacing w:val="-34"/>
                <w:sz w:val="22"/>
                <w:szCs w:val="22"/>
              </w:rPr>
              <w:t xml:space="preserve"> </w:t>
            </w:r>
            <w:r>
              <w:rPr>
                <w:spacing w:val="9"/>
                <w:sz w:val="22"/>
                <w:szCs w:val="22"/>
              </w:rPr>
              <w:t>目加油站采用埋</w:t>
            </w:r>
            <w:r>
              <w:rPr>
                <w:spacing w:val="-6"/>
                <w:sz w:val="22"/>
                <w:szCs w:val="22"/>
              </w:rPr>
              <w:t>地双层输油管道，采用</w:t>
            </w:r>
            <w:r>
              <w:rPr>
                <w:spacing w:val="17"/>
                <w:sz w:val="22"/>
                <w:szCs w:val="22"/>
              </w:rPr>
              <w:t>密闭油罐车对储油罐</w:t>
            </w:r>
            <w:r>
              <w:rPr>
                <w:spacing w:val="-6"/>
                <w:sz w:val="22"/>
                <w:szCs w:val="22"/>
              </w:rPr>
              <w:t>进行物料输送。项目汽油卸油、加油、储油系</w:t>
            </w:r>
            <w:r>
              <w:rPr>
                <w:spacing w:val="18"/>
                <w:sz w:val="22"/>
                <w:szCs w:val="22"/>
              </w:rPr>
              <w:t>统均设置有油气回收</w:t>
            </w:r>
            <w:r>
              <w:rPr>
                <w:spacing w:val="-3"/>
                <w:sz w:val="22"/>
                <w:szCs w:val="22"/>
              </w:rPr>
              <w:t>装置</w:t>
            </w:r>
          </w:p>
        </w:tc>
        <w:tc>
          <w:tcPr>
            <w:tcW w:w="827" w:type="dxa"/>
            <w:vAlign w:val="top"/>
          </w:tcPr>
          <w:p w14:paraId="56066065">
            <w:pPr>
              <w:spacing w:line="305" w:lineRule="auto"/>
              <w:rPr>
                <w:rFonts w:ascii="Arial"/>
                <w:sz w:val="21"/>
              </w:rPr>
            </w:pPr>
          </w:p>
          <w:p w14:paraId="230E5008">
            <w:pPr>
              <w:spacing w:line="305" w:lineRule="auto"/>
              <w:rPr>
                <w:rFonts w:ascii="Arial"/>
                <w:sz w:val="21"/>
              </w:rPr>
            </w:pPr>
          </w:p>
          <w:p w14:paraId="5B65CD52">
            <w:pPr>
              <w:spacing w:line="306" w:lineRule="auto"/>
              <w:rPr>
                <w:rFonts w:ascii="Arial"/>
                <w:sz w:val="21"/>
              </w:rPr>
            </w:pPr>
          </w:p>
          <w:p w14:paraId="6F737B33">
            <w:pPr>
              <w:pStyle w:val="6"/>
              <w:spacing w:before="71" w:line="220" w:lineRule="auto"/>
              <w:ind w:left="207"/>
              <w:rPr>
                <w:sz w:val="22"/>
                <w:szCs w:val="22"/>
              </w:rPr>
            </w:pPr>
            <w:r>
              <w:rPr>
                <w:spacing w:val="-5"/>
                <w:sz w:val="22"/>
                <w:szCs w:val="22"/>
              </w:rPr>
              <w:t>符合</w:t>
            </w:r>
          </w:p>
        </w:tc>
        <w:tc>
          <w:tcPr>
            <w:tcW w:w="122" w:type="dxa"/>
            <w:tcBorders>
              <w:top w:val="nil"/>
              <w:bottom w:val="nil"/>
              <w:right w:val="single" w:color="000000" w:sz="6" w:space="0"/>
            </w:tcBorders>
            <w:vAlign w:val="top"/>
          </w:tcPr>
          <w:p w14:paraId="2D81CCE6">
            <w:pPr>
              <w:rPr>
                <w:rFonts w:ascii="Arial"/>
                <w:sz w:val="21"/>
              </w:rPr>
            </w:pPr>
          </w:p>
        </w:tc>
      </w:tr>
      <w:tr w14:paraId="54B8F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3" w:hRule="atLeast"/>
        </w:trPr>
        <w:tc>
          <w:tcPr>
            <w:tcW w:w="1400" w:type="dxa"/>
            <w:vMerge w:val="continue"/>
            <w:tcBorders>
              <w:top w:val="nil"/>
              <w:left w:val="single" w:color="000000" w:sz="6" w:space="0"/>
              <w:bottom w:val="nil"/>
            </w:tcBorders>
            <w:vAlign w:val="top"/>
          </w:tcPr>
          <w:p w14:paraId="2309B9B9">
            <w:pPr>
              <w:rPr>
                <w:rFonts w:ascii="Arial"/>
                <w:sz w:val="21"/>
              </w:rPr>
            </w:pPr>
          </w:p>
        </w:tc>
        <w:tc>
          <w:tcPr>
            <w:tcW w:w="113" w:type="dxa"/>
            <w:tcBorders>
              <w:top w:val="nil"/>
              <w:bottom w:val="nil"/>
            </w:tcBorders>
            <w:vAlign w:val="top"/>
          </w:tcPr>
          <w:p w14:paraId="733EA44F">
            <w:pPr>
              <w:rPr>
                <w:rFonts w:ascii="Arial"/>
                <w:sz w:val="21"/>
              </w:rPr>
            </w:pPr>
          </w:p>
        </w:tc>
        <w:tc>
          <w:tcPr>
            <w:tcW w:w="771" w:type="dxa"/>
            <w:vMerge w:val="continue"/>
            <w:tcBorders>
              <w:top w:val="nil"/>
              <w:bottom w:val="nil"/>
            </w:tcBorders>
            <w:vAlign w:val="top"/>
          </w:tcPr>
          <w:p w14:paraId="4E6A79FF">
            <w:pPr>
              <w:rPr>
                <w:rFonts w:ascii="Arial"/>
                <w:sz w:val="21"/>
              </w:rPr>
            </w:pPr>
          </w:p>
        </w:tc>
        <w:tc>
          <w:tcPr>
            <w:tcW w:w="3283" w:type="dxa"/>
            <w:vAlign w:val="top"/>
          </w:tcPr>
          <w:p w14:paraId="5551B8F7">
            <w:pPr>
              <w:pStyle w:val="6"/>
              <w:spacing w:before="87" w:line="244" w:lineRule="auto"/>
              <w:ind w:left="111" w:right="101" w:hanging="1"/>
              <w:jc w:val="both"/>
              <w:rPr>
                <w:sz w:val="22"/>
                <w:szCs w:val="22"/>
              </w:rPr>
            </w:pPr>
            <w:r>
              <w:rPr>
                <w:spacing w:val="15"/>
                <w:sz w:val="22"/>
                <w:szCs w:val="22"/>
              </w:rPr>
              <w:t>废气收集系统的输送管道应密</w:t>
            </w:r>
            <w:r>
              <w:rPr>
                <w:spacing w:val="-2"/>
                <w:sz w:val="22"/>
                <w:szCs w:val="22"/>
              </w:rPr>
              <w:t>闭。废气收集系统应在负压下运行，若处于正压状态，应对输送</w:t>
            </w:r>
            <w:r>
              <w:rPr>
                <w:spacing w:val="15"/>
                <w:sz w:val="22"/>
                <w:szCs w:val="22"/>
              </w:rPr>
              <w:t>管道组件的密封点进行泄漏检</w:t>
            </w:r>
            <w:r>
              <w:rPr>
                <w:spacing w:val="-11"/>
                <w:sz w:val="22"/>
                <w:szCs w:val="22"/>
              </w:rPr>
              <w:t>测 ，</w:t>
            </w:r>
            <w:r>
              <w:rPr>
                <w:spacing w:val="-32"/>
                <w:sz w:val="22"/>
                <w:szCs w:val="22"/>
              </w:rPr>
              <w:t xml:space="preserve"> </w:t>
            </w:r>
            <w:r>
              <w:rPr>
                <w:spacing w:val="-11"/>
                <w:sz w:val="22"/>
                <w:szCs w:val="22"/>
              </w:rPr>
              <w:t>泄</w:t>
            </w:r>
            <w:r>
              <w:rPr>
                <w:spacing w:val="-37"/>
                <w:sz w:val="22"/>
                <w:szCs w:val="22"/>
              </w:rPr>
              <w:t xml:space="preserve"> </w:t>
            </w:r>
            <w:r>
              <w:rPr>
                <w:spacing w:val="-11"/>
                <w:sz w:val="22"/>
                <w:szCs w:val="22"/>
              </w:rPr>
              <w:t>漏</w:t>
            </w:r>
            <w:r>
              <w:rPr>
                <w:spacing w:val="-39"/>
                <w:sz w:val="22"/>
                <w:szCs w:val="22"/>
              </w:rPr>
              <w:t xml:space="preserve"> </w:t>
            </w:r>
            <w:r>
              <w:rPr>
                <w:spacing w:val="-11"/>
                <w:sz w:val="22"/>
                <w:szCs w:val="22"/>
              </w:rPr>
              <w:t>检</w:t>
            </w:r>
            <w:r>
              <w:rPr>
                <w:spacing w:val="-36"/>
                <w:sz w:val="22"/>
                <w:szCs w:val="22"/>
              </w:rPr>
              <w:t xml:space="preserve"> </w:t>
            </w:r>
            <w:r>
              <w:rPr>
                <w:spacing w:val="-11"/>
                <w:sz w:val="22"/>
                <w:szCs w:val="22"/>
              </w:rPr>
              <w:t>测</w:t>
            </w:r>
            <w:r>
              <w:rPr>
                <w:spacing w:val="-37"/>
                <w:sz w:val="22"/>
                <w:szCs w:val="22"/>
              </w:rPr>
              <w:t xml:space="preserve"> </w:t>
            </w:r>
            <w:r>
              <w:rPr>
                <w:spacing w:val="-11"/>
                <w:sz w:val="22"/>
                <w:szCs w:val="22"/>
              </w:rPr>
              <w:t>值</w:t>
            </w:r>
            <w:r>
              <w:rPr>
                <w:spacing w:val="-33"/>
                <w:sz w:val="22"/>
                <w:szCs w:val="22"/>
              </w:rPr>
              <w:t xml:space="preserve"> </w:t>
            </w:r>
            <w:r>
              <w:rPr>
                <w:spacing w:val="-11"/>
                <w:sz w:val="22"/>
                <w:szCs w:val="22"/>
              </w:rPr>
              <w:t>不</w:t>
            </w:r>
            <w:r>
              <w:rPr>
                <w:spacing w:val="-37"/>
                <w:sz w:val="22"/>
                <w:szCs w:val="22"/>
              </w:rPr>
              <w:t xml:space="preserve"> </w:t>
            </w:r>
            <w:r>
              <w:rPr>
                <w:spacing w:val="-11"/>
                <w:sz w:val="22"/>
                <w:szCs w:val="22"/>
              </w:rPr>
              <w:t>应</w:t>
            </w:r>
            <w:r>
              <w:rPr>
                <w:spacing w:val="-38"/>
                <w:sz w:val="22"/>
                <w:szCs w:val="22"/>
              </w:rPr>
              <w:t xml:space="preserve"> </w:t>
            </w:r>
            <w:r>
              <w:rPr>
                <w:spacing w:val="-11"/>
                <w:sz w:val="22"/>
                <w:szCs w:val="22"/>
              </w:rPr>
              <w:t>超</w:t>
            </w:r>
            <w:r>
              <w:rPr>
                <w:spacing w:val="-38"/>
                <w:sz w:val="22"/>
                <w:szCs w:val="22"/>
              </w:rPr>
              <w:t xml:space="preserve"> </w:t>
            </w:r>
            <w:r>
              <w:rPr>
                <w:spacing w:val="-11"/>
                <w:sz w:val="22"/>
                <w:szCs w:val="22"/>
              </w:rPr>
              <w:t>过</w:t>
            </w:r>
            <w:r>
              <w:rPr>
                <w:rFonts w:ascii="Times New Roman" w:hAnsi="Times New Roman" w:eastAsia="Times New Roman" w:cs="Times New Roman"/>
                <w:spacing w:val="-6"/>
                <w:sz w:val="22"/>
                <w:szCs w:val="22"/>
              </w:rPr>
              <w:t>500umol/mol</w:t>
            </w:r>
            <w:r>
              <w:rPr>
                <w:spacing w:val="-6"/>
                <w:sz w:val="22"/>
                <w:szCs w:val="22"/>
              </w:rPr>
              <w:t>，亦不应有感官可察</w:t>
            </w:r>
            <w:r>
              <w:rPr>
                <w:spacing w:val="-3"/>
                <w:sz w:val="22"/>
                <w:szCs w:val="22"/>
              </w:rPr>
              <w:t>觉泄漏</w:t>
            </w:r>
          </w:p>
        </w:tc>
        <w:tc>
          <w:tcPr>
            <w:tcW w:w="2358" w:type="dxa"/>
            <w:vAlign w:val="top"/>
          </w:tcPr>
          <w:p w14:paraId="3AE225AC">
            <w:pPr>
              <w:pStyle w:val="6"/>
              <w:spacing w:before="87" w:line="244" w:lineRule="auto"/>
              <w:ind w:left="114" w:right="95" w:firstLine="2"/>
              <w:jc w:val="both"/>
              <w:rPr>
                <w:sz w:val="22"/>
                <w:szCs w:val="22"/>
              </w:rPr>
            </w:pPr>
            <w:r>
              <w:rPr>
                <w:spacing w:val="9"/>
                <w:sz w:val="22"/>
                <w:szCs w:val="22"/>
              </w:rPr>
              <w:t>本项</w:t>
            </w:r>
            <w:r>
              <w:rPr>
                <w:spacing w:val="-34"/>
                <w:sz w:val="22"/>
                <w:szCs w:val="22"/>
              </w:rPr>
              <w:t xml:space="preserve"> </w:t>
            </w:r>
            <w:r>
              <w:rPr>
                <w:spacing w:val="9"/>
                <w:sz w:val="22"/>
                <w:szCs w:val="22"/>
              </w:rPr>
              <w:t>目加油站采用埋</w:t>
            </w:r>
            <w:r>
              <w:rPr>
                <w:spacing w:val="-6"/>
                <w:sz w:val="22"/>
                <w:szCs w:val="22"/>
              </w:rPr>
              <w:t>地双层输油管道，采用</w:t>
            </w:r>
            <w:r>
              <w:rPr>
                <w:spacing w:val="17"/>
                <w:sz w:val="22"/>
                <w:szCs w:val="22"/>
              </w:rPr>
              <w:t>密闭油罐车对储油罐</w:t>
            </w:r>
            <w:r>
              <w:rPr>
                <w:spacing w:val="-7"/>
                <w:sz w:val="22"/>
                <w:szCs w:val="22"/>
              </w:rPr>
              <w:t>进行物料输送。储罐为</w:t>
            </w:r>
            <w:r>
              <w:rPr>
                <w:spacing w:val="-6"/>
                <w:sz w:val="22"/>
                <w:szCs w:val="22"/>
              </w:rPr>
              <w:t>埋地卧式双层罐，设有</w:t>
            </w:r>
            <w:r>
              <w:rPr>
                <w:spacing w:val="18"/>
                <w:sz w:val="22"/>
                <w:szCs w:val="22"/>
              </w:rPr>
              <w:t>汽油回收系统及自动</w:t>
            </w:r>
            <w:r>
              <w:rPr>
                <w:spacing w:val="-4"/>
                <w:sz w:val="22"/>
                <w:szCs w:val="22"/>
              </w:rPr>
              <w:t>监控设施</w:t>
            </w:r>
          </w:p>
        </w:tc>
        <w:tc>
          <w:tcPr>
            <w:tcW w:w="827" w:type="dxa"/>
            <w:vAlign w:val="top"/>
          </w:tcPr>
          <w:p w14:paraId="624BFBE0">
            <w:pPr>
              <w:spacing w:line="304" w:lineRule="auto"/>
              <w:rPr>
                <w:rFonts w:ascii="Arial"/>
                <w:sz w:val="21"/>
              </w:rPr>
            </w:pPr>
          </w:p>
          <w:p w14:paraId="22F150A0">
            <w:pPr>
              <w:spacing w:line="305" w:lineRule="auto"/>
              <w:rPr>
                <w:rFonts w:ascii="Arial"/>
                <w:sz w:val="21"/>
              </w:rPr>
            </w:pPr>
          </w:p>
          <w:p w14:paraId="3FD13128">
            <w:pPr>
              <w:spacing w:line="305" w:lineRule="auto"/>
              <w:rPr>
                <w:rFonts w:ascii="Arial"/>
                <w:sz w:val="21"/>
              </w:rPr>
            </w:pPr>
          </w:p>
          <w:p w14:paraId="504CDAB4">
            <w:pPr>
              <w:pStyle w:val="6"/>
              <w:spacing w:before="71" w:line="220" w:lineRule="auto"/>
              <w:ind w:left="207"/>
              <w:rPr>
                <w:sz w:val="22"/>
                <w:szCs w:val="22"/>
              </w:rPr>
            </w:pPr>
            <w:r>
              <w:rPr>
                <w:spacing w:val="-5"/>
                <w:sz w:val="22"/>
                <w:szCs w:val="22"/>
              </w:rPr>
              <w:t>符合</w:t>
            </w:r>
          </w:p>
        </w:tc>
        <w:tc>
          <w:tcPr>
            <w:tcW w:w="122" w:type="dxa"/>
            <w:tcBorders>
              <w:top w:val="nil"/>
              <w:bottom w:val="nil"/>
              <w:right w:val="single" w:color="000000" w:sz="6" w:space="0"/>
            </w:tcBorders>
            <w:vAlign w:val="top"/>
          </w:tcPr>
          <w:p w14:paraId="1E1F65B4">
            <w:pPr>
              <w:rPr>
                <w:rFonts w:ascii="Arial"/>
                <w:sz w:val="21"/>
              </w:rPr>
            </w:pPr>
          </w:p>
        </w:tc>
      </w:tr>
      <w:tr w14:paraId="5D219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9" w:hRule="atLeast"/>
        </w:trPr>
        <w:tc>
          <w:tcPr>
            <w:tcW w:w="1400" w:type="dxa"/>
            <w:vMerge w:val="continue"/>
            <w:tcBorders>
              <w:top w:val="nil"/>
              <w:left w:val="single" w:color="000000" w:sz="6" w:space="0"/>
              <w:bottom w:val="nil"/>
            </w:tcBorders>
            <w:vAlign w:val="top"/>
          </w:tcPr>
          <w:p w14:paraId="28866456">
            <w:pPr>
              <w:rPr>
                <w:rFonts w:ascii="Arial"/>
                <w:sz w:val="21"/>
              </w:rPr>
            </w:pPr>
          </w:p>
        </w:tc>
        <w:tc>
          <w:tcPr>
            <w:tcW w:w="113" w:type="dxa"/>
            <w:tcBorders>
              <w:top w:val="nil"/>
              <w:bottom w:val="nil"/>
            </w:tcBorders>
            <w:vAlign w:val="top"/>
          </w:tcPr>
          <w:p w14:paraId="3810F299">
            <w:pPr>
              <w:rPr>
                <w:rFonts w:ascii="Arial"/>
                <w:sz w:val="21"/>
              </w:rPr>
            </w:pPr>
          </w:p>
        </w:tc>
        <w:tc>
          <w:tcPr>
            <w:tcW w:w="771" w:type="dxa"/>
            <w:vMerge w:val="continue"/>
            <w:tcBorders>
              <w:top w:val="nil"/>
            </w:tcBorders>
            <w:vAlign w:val="top"/>
          </w:tcPr>
          <w:p w14:paraId="08BB6ECB">
            <w:pPr>
              <w:rPr>
                <w:rFonts w:ascii="Arial"/>
                <w:sz w:val="21"/>
              </w:rPr>
            </w:pPr>
          </w:p>
        </w:tc>
        <w:tc>
          <w:tcPr>
            <w:tcW w:w="3283" w:type="dxa"/>
            <w:vAlign w:val="top"/>
          </w:tcPr>
          <w:p w14:paraId="779C8D26">
            <w:pPr>
              <w:pStyle w:val="6"/>
              <w:spacing w:before="91" w:line="245" w:lineRule="auto"/>
              <w:ind w:left="99" w:right="74" w:firstLine="19"/>
              <w:rPr>
                <w:sz w:val="22"/>
                <w:szCs w:val="22"/>
              </w:rPr>
            </w:pPr>
            <w:r>
              <w:rPr>
                <w:spacing w:val="6"/>
                <w:sz w:val="22"/>
                <w:szCs w:val="22"/>
              </w:rPr>
              <w:t>收集的废气</w:t>
            </w:r>
            <w:r>
              <w:rPr>
                <w:spacing w:val="-48"/>
                <w:sz w:val="22"/>
                <w:szCs w:val="22"/>
              </w:rPr>
              <w:t xml:space="preserve"> </w:t>
            </w:r>
            <w:r>
              <w:rPr>
                <w:rFonts w:ascii="Times New Roman" w:hAnsi="Times New Roman" w:eastAsia="Times New Roman" w:cs="Times New Roman"/>
                <w:sz w:val="22"/>
                <w:szCs w:val="22"/>
              </w:rPr>
              <w:t>NMHC</w:t>
            </w:r>
            <w:r>
              <w:rPr>
                <w:rFonts w:ascii="Times New Roman" w:hAnsi="Times New Roman" w:eastAsia="Times New Roman" w:cs="Times New Roman"/>
                <w:spacing w:val="17"/>
                <w:w w:val="101"/>
                <w:sz w:val="22"/>
                <w:szCs w:val="22"/>
              </w:rPr>
              <w:t xml:space="preserve"> </w:t>
            </w:r>
            <w:r>
              <w:rPr>
                <w:spacing w:val="6"/>
                <w:sz w:val="22"/>
                <w:szCs w:val="22"/>
              </w:rPr>
              <w:t>初始排放速</w:t>
            </w:r>
            <w:r>
              <w:rPr>
                <w:spacing w:val="-4"/>
                <w:sz w:val="22"/>
                <w:szCs w:val="22"/>
              </w:rPr>
              <w:t>率</w:t>
            </w:r>
            <w:r>
              <w:rPr>
                <w:rFonts w:ascii="Times New Roman" w:hAnsi="Times New Roman" w:eastAsia="Times New Roman" w:cs="Times New Roman"/>
                <w:spacing w:val="-4"/>
                <w:sz w:val="22"/>
                <w:szCs w:val="22"/>
              </w:rPr>
              <w:t>≥3kg/h</w:t>
            </w:r>
            <w:r>
              <w:rPr>
                <w:rFonts w:ascii="Times New Roman" w:hAnsi="Times New Roman" w:eastAsia="Times New Roman" w:cs="Times New Roman"/>
                <w:spacing w:val="35"/>
                <w:w w:val="101"/>
                <w:sz w:val="22"/>
                <w:szCs w:val="22"/>
              </w:rPr>
              <w:t xml:space="preserve"> </w:t>
            </w:r>
            <w:r>
              <w:rPr>
                <w:spacing w:val="-4"/>
                <w:sz w:val="22"/>
                <w:szCs w:val="22"/>
              </w:rPr>
              <w:t>时，应配置</w:t>
            </w:r>
            <w:r>
              <w:rPr>
                <w:spacing w:val="-53"/>
                <w:sz w:val="22"/>
                <w:szCs w:val="22"/>
              </w:rPr>
              <w:t xml:space="preserve"> </w:t>
            </w:r>
            <w:r>
              <w:rPr>
                <w:rFonts w:ascii="Times New Roman" w:hAnsi="Times New Roman" w:eastAsia="Times New Roman" w:cs="Times New Roman"/>
                <w:spacing w:val="-4"/>
                <w:sz w:val="22"/>
                <w:szCs w:val="22"/>
              </w:rPr>
              <w:t>VOCs</w:t>
            </w:r>
            <w:r>
              <w:rPr>
                <w:rFonts w:ascii="Times New Roman" w:hAnsi="Times New Roman" w:eastAsia="Times New Roman" w:cs="Times New Roman"/>
                <w:spacing w:val="13"/>
                <w:sz w:val="22"/>
                <w:szCs w:val="22"/>
              </w:rPr>
              <w:t xml:space="preserve"> </w:t>
            </w:r>
            <w:r>
              <w:rPr>
                <w:spacing w:val="-4"/>
                <w:sz w:val="22"/>
                <w:szCs w:val="22"/>
              </w:rPr>
              <w:t>处理</w:t>
            </w:r>
            <w:r>
              <w:rPr>
                <w:spacing w:val="3"/>
                <w:sz w:val="22"/>
                <w:szCs w:val="22"/>
              </w:rPr>
              <w:t>设施，处理效率不应低于</w:t>
            </w:r>
            <w:r>
              <w:rPr>
                <w:rFonts w:ascii="Times New Roman" w:hAnsi="Times New Roman" w:eastAsia="Times New Roman" w:cs="Times New Roman"/>
                <w:spacing w:val="3"/>
                <w:sz w:val="22"/>
                <w:szCs w:val="22"/>
              </w:rPr>
              <w:t>80%</w:t>
            </w:r>
            <w:r>
              <w:rPr>
                <w:spacing w:val="3"/>
                <w:sz w:val="22"/>
                <w:szCs w:val="22"/>
              </w:rPr>
              <w:t>；</w:t>
            </w:r>
            <w:r>
              <w:rPr>
                <w:spacing w:val="16"/>
                <w:sz w:val="22"/>
                <w:szCs w:val="22"/>
              </w:rPr>
              <w:t>对于重点地区，收集的废气中</w:t>
            </w:r>
            <w:r>
              <w:rPr>
                <w:rFonts w:ascii="Times New Roman" w:hAnsi="Times New Roman" w:eastAsia="Times New Roman" w:cs="Times New Roman"/>
                <w:spacing w:val="-4"/>
                <w:sz w:val="22"/>
                <w:szCs w:val="22"/>
              </w:rPr>
              <w:t xml:space="preserve">NMHC </w:t>
            </w:r>
            <w:r>
              <w:rPr>
                <w:spacing w:val="-4"/>
                <w:sz w:val="22"/>
                <w:szCs w:val="22"/>
              </w:rPr>
              <w:t>初始排放速率</w:t>
            </w:r>
            <w:r>
              <w:rPr>
                <w:rFonts w:ascii="Times New Roman" w:hAnsi="Times New Roman" w:eastAsia="Times New Roman" w:cs="Times New Roman"/>
                <w:spacing w:val="-4"/>
                <w:sz w:val="22"/>
                <w:szCs w:val="22"/>
              </w:rPr>
              <w:t>≥2kg/h</w:t>
            </w:r>
            <w:r>
              <w:rPr>
                <w:rFonts w:ascii="Times New Roman" w:hAnsi="Times New Roman" w:eastAsia="Times New Roman" w:cs="Times New Roman"/>
                <w:spacing w:val="27"/>
                <w:sz w:val="22"/>
                <w:szCs w:val="22"/>
              </w:rPr>
              <w:t xml:space="preserve"> </w:t>
            </w:r>
            <w:r>
              <w:rPr>
                <w:spacing w:val="-4"/>
                <w:sz w:val="22"/>
                <w:szCs w:val="22"/>
              </w:rPr>
              <w:t>时，</w:t>
            </w:r>
            <w:r>
              <w:rPr>
                <w:spacing w:val="-2"/>
                <w:sz w:val="22"/>
                <w:szCs w:val="22"/>
              </w:rPr>
              <w:t>应配置</w:t>
            </w:r>
            <w:r>
              <w:rPr>
                <w:spacing w:val="-45"/>
                <w:sz w:val="22"/>
                <w:szCs w:val="22"/>
              </w:rPr>
              <w:t xml:space="preserve"> </w:t>
            </w:r>
            <w:r>
              <w:rPr>
                <w:rFonts w:ascii="Times New Roman" w:hAnsi="Times New Roman" w:eastAsia="Times New Roman" w:cs="Times New Roman"/>
                <w:spacing w:val="-2"/>
                <w:sz w:val="22"/>
                <w:szCs w:val="22"/>
              </w:rPr>
              <w:t>VOCs</w:t>
            </w:r>
            <w:r>
              <w:rPr>
                <w:rFonts w:ascii="Times New Roman" w:hAnsi="Times New Roman" w:eastAsia="Times New Roman" w:cs="Times New Roman"/>
                <w:spacing w:val="13"/>
                <w:sz w:val="22"/>
                <w:szCs w:val="22"/>
              </w:rPr>
              <w:t xml:space="preserve"> </w:t>
            </w:r>
            <w:r>
              <w:rPr>
                <w:spacing w:val="-2"/>
                <w:sz w:val="22"/>
                <w:szCs w:val="22"/>
              </w:rPr>
              <w:t>处理设施，处理效</w:t>
            </w:r>
            <w:r>
              <w:rPr>
                <w:spacing w:val="2"/>
                <w:sz w:val="22"/>
                <w:szCs w:val="22"/>
              </w:rPr>
              <w:t>率不应低于</w:t>
            </w:r>
            <w:r>
              <w:rPr>
                <w:rFonts w:ascii="Times New Roman" w:hAnsi="Times New Roman" w:eastAsia="Times New Roman" w:cs="Times New Roman"/>
                <w:spacing w:val="2"/>
                <w:sz w:val="22"/>
                <w:szCs w:val="22"/>
              </w:rPr>
              <w:t>80%</w:t>
            </w:r>
            <w:r>
              <w:rPr>
                <w:spacing w:val="2"/>
                <w:sz w:val="22"/>
                <w:szCs w:val="22"/>
              </w:rPr>
              <w:t>；采用的原辅材</w:t>
            </w:r>
            <w:r>
              <w:rPr>
                <w:spacing w:val="4"/>
                <w:sz w:val="22"/>
                <w:szCs w:val="22"/>
              </w:rPr>
              <w:t>料符合国家有关低</w:t>
            </w:r>
            <w:r>
              <w:rPr>
                <w:spacing w:val="-51"/>
                <w:sz w:val="22"/>
                <w:szCs w:val="22"/>
              </w:rPr>
              <w:t xml:space="preserve"> </w:t>
            </w:r>
            <w:r>
              <w:rPr>
                <w:rFonts w:ascii="Times New Roman" w:hAnsi="Times New Roman" w:eastAsia="Times New Roman" w:cs="Times New Roman"/>
                <w:sz w:val="22"/>
                <w:szCs w:val="22"/>
              </w:rPr>
              <w:t>VOCs</w:t>
            </w:r>
            <w:r>
              <w:rPr>
                <w:spacing w:val="4"/>
                <w:sz w:val="22"/>
                <w:szCs w:val="22"/>
              </w:rPr>
              <w:t>含量产</w:t>
            </w:r>
            <w:r>
              <w:rPr>
                <w:sz w:val="22"/>
                <w:szCs w:val="22"/>
              </w:rPr>
              <w:t>品规定的除外</w:t>
            </w:r>
          </w:p>
        </w:tc>
        <w:tc>
          <w:tcPr>
            <w:tcW w:w="2358" w:type="dxa"/>
            <w:vAlign w:val="top"/>
          </w:tcPr>
          <w:p w14:paraId="776CD47E">
            <w:pPr>
              <w:spacing w:line="305" w:lineRule="auto"/>
              <w:rPr>
                <w:rFonts w:ascii="Arial"/>
                <w:sz w:val="21"/>
              </w:rPr>
            </w:pPr>
          </w:p>
          <w:p w14:paraId="22F9B3B1">
            <w:pPr>
              <w:spacing w:line="305" w:lineRule="auto"/>
              <w:rPr>
                <w:rFonts w:ascii="Arial"/>
                <w:sz w:val="21"/>
              </w:rPr>
            </w:pPr>
          </w:p>
          <w:p w14:paraId="79202302">
            <w:pPr>
              <w:pStyle w:val="6"/>
              <w:spacing w:before="72" w:line="255" w:lineRule="auto"/>
              <w:ind w:left="116" w:right="95"/>
              <w:jc w:val="both"/>
              <w:rPr>
                <w:rFonts w:ascii="Times New Roman" w:hAnsi="Times New Roman" w:eastAsia="Times New Roman" w:cs="Times New Roman"/>
                <w:sz w:val="22"/>
                <w:szCs w:val="22"/>
              </w:rPr>
            </w:pPr>
            <w:r>
              <w:rPr>
                <w:spacing w:val="10"/>
                <w:sz w:val="22"/>
                <w:szCs w:val="22"/>
              </w:rPr>
              <w:t>本项</w:t>
            </w:r>
            <w:r>
              <w:rPr>
                <w:spacing w:val="-40"/>
                <w:sz w:val="22"/>
                <w:szCs w:val="22"/>
              </w:rPr>
              <w:t xml:space="preserve"> </w:t>
            </w:r>
            <w:r>
              <w:rPr>
                <w:spacing w:val="10"/>
                <w:sz w:val="22"/>
                <w:szCs w:val="22"/>
              </w:rPr>
              <w:t>目汽油卸油、加</w:t>
            </w:r>
            <w:r>
              <w:rPr>
                <w:spacing w:val="-6"/>
                <w:sz w:val="22"/>
                <w:szCs w:val="22"/>
              </w:rPr>
              <w:t>油、储油系统均设置有</w:t>
            </w:r>
            <w:r>
              <w:rPr>
                <w:spacing w:val="-7"/>
                <w:sz w:val="22"/>
                <w:szCs w:val="22"/>
              </w:rPr>
              <w:t>油气回收装置，油气回</w:t>
            </w:r>
            <w:r>
              <w:rPr>
                <w:spacing w:val="-9"/>
                <w:sz w:val="22"/>
                <w:szCs w:val="22"/>
              </w:rPr>
              <w:t>收</w:t>
            </w:r>
            <w:r>
              <w:rPr>
                <w:spacing w:val="17"/>
                <w:sz w:val="22"/>
                <w:szCs w:val="22"/>
              </w:rPr>
              <w:t xml:space="preserve"> </w:t>
            </w:r>
            <w:r>
              <w:rPr>
                <w:rFonts w:ascii="Times New Roman" w:hAnsi="Times New Roman" w:eastAsia="Times New Roman" w:cs="Times New Roman"/>
                <w:spacing w:val="-9"/>
                <w:sz w:val="22"/>
                <w:szCs w:val="22"/>
              </w:rPr>
              <w:t>/</w:t>
            </w:r>
            <w:r>
              <w:rPr>
                <w:rFonts w:ascii="Times New Roman" w:hAnsi="Times New Roman" w:eastAsia="Times New Roman" w:cs="Times New Roman"/>
                <w:spacing w:val="14"/>
                <w:sz w:val="22"/>
                <w:szCs w:val="22"/>
              </w:rPr>
              <w:t xml:space="preserve">  </w:t>
            </w:r>
            <w:r>
              <w:rPr>
                <w:spacing w:val="-9"/>
                <w:sz w:val="22"/>
                <w:szCs w:val="22"/>
              </w:rPr>
              <w:t>处</w:t>
            </w:r>
            <w:r>
              <w:rPr>
                <w:spacing w:val="28"/>
                <w:sz w:val="22"/>
                <w:szCs w:val="22"/>
              </w:rPr>
              <w:t xml:space="preserve"> </w:t>
            </w:r>
            <w:r>
              <w:rPr>
                <w:spacing w:val="-9"/>
                <w:sz w:val="22"/>
                <w:szCs w:val="22"/>
              </w:rPr>
              <w:t>理</w:t>
            </w:r>
            <w:r>
              <w:rPr>
                <w:spacing w:val="31"/>
                <w:sz w:val="22"/>
                <w:szCs w:val="22"/>
              </w:rPr>
              <w:t xml:space="preserve"> </w:t>
            </w:r>
            <w:r>
              <w:rPr>
                <w:spacing w:val="-9"/>
                <w:sz w:val="22"/>
                <w:szCs w:val="22"/>
              </w:rPr>
              <w:t>效</w:t>
            </w:r>
            <w:r>
              <w:rPr>
                <w:spacing w:val="25"/>
                <w:sz w:val="22"/>
                <w:szCs w:val="22"/>
              </w:rPr>
              <w:t xml:space="preserve"> </w:t>
            </w:r>
            <w:r>
              <w:rPr>
                <w:spacing w:val="-9"/>
                <w:sz w:val="22"/>
                <w:szCs w:val="22"/>
              </w:rPr>
              <w:t>率</w:t>
            </w:r>
            <w:r>
              <w:rPr>
                <w:spacing w:val="31"/>
                <w:sz w:val="22"/>
                <w:szCs w:val="22"/>
              </w:rPr>
              <w:t xml:space="preserve"> </w:t>
            </w:r>
            <w:r>
              <w:rPr>
                <w:spacing w:val="-9"/>
                <w:sz w:val="22"/>
                <w:szCs w:val="22"/>
              </w:rPr>
              <w:t>为</w:t>
            </w:r>
            <w:r>
              <w:rPr>
                <w:rFonts w:ascii="Times New Roman" w:hAnsi="Times New Roman" w:eastAsia="Times New Roman" w:cs="Times New Roman"/>
                <w:spacing w:val="-1"/>
                <w:sz w:val="22"/>
                <w:szCs w:val="22"/>
              </w:rPr>
              <w:t>90%~95%</w:t>
            </w:r>
          </w:p>
        </w:tc>
        <w:tc>
          <w:tcPr>
            <w:tcW w:w="827" w:type="dxa"/>
            <w:vAlign w:val="top"/>
          </w:tcPr>
          <w:p w14:paraId="6785411C">
            <w:pPr>
              <w:spacing w:line="241" w:lineRule="auto"/>
              <w:rPr>
                <w:rFonts w:ascii="Arial"/>
                <w:sz w:val="21"/>
              </w:rPr>
            </w:pPr>
          </w:p>
          <w:p w14:paraId="6AC8FFF3">
            <w:pPr>
              <w:spacing w:line="241" w:lineRule="auto"/>
              <w:rPr>
                <w:rFonts w:ascii="Arial"/>
                <w:sz w:val="21"/>
              </w:rPr>
            </w:pPr>
          </w:p>
          <w:p w14:paraId="57AD3DE5">
            <w:pPr>
              <w:spacing w:line="242" w:lineRule="auto"/>
              <w:rPr>
                <w:rFonts w:ascii="Arial"/>
                <w:sz w:val="21"/>
              </w:rPr>
            </w:pPr>
          </w:p>
          <w:p w14:paraId="614C5C10">
            <w:pPr>
              <w:spacing w:line="242" w:lineRule="auto"/>
              <w:rPr>
                <w:rFonts w:ascii="Arial"/>
                <w:sz w:val="21"/>
              </w:rPr>
            </w:pPr>
          </w:p>
          <w:p w14:paraId="40B765F5">
            <w:pPr>
              <w:spacing w:line="242" w:lineRule="auto"/>
              <w:rPr>
                <w:rFonts w:ascii="Arial"/>
                <w:sz w:val="21"/>
              </w:rPr>
            </w:pPr>
          </w:p>
          <w:p w14:paraId="1C066F6C">
            <w:pPr>
              <w:pStyle w:val="6"/>
              <w:spacing w:before="71" w:line="220" w:lineRule="auto"/>
              <w:ind w:left="207"/>
              <w:rPr>
                <w:sz w:val="22"/>
                <w:szCs w:val="22"/>
              </w:rPr>
            </w:pPr>
            <w:r>
              <w:rPr>
                <w:spacing w:val="-5"/>
                <w:sz w:val="22"/>
                <w:szCs w:val="22"/>
              </w:rPr>
              <w:t>符合</w:t>
            </w:r>
          </w:p>
        </w:tc>
        <w:tc>
          <w:tcPr>
            <w:tcW w:w="122" w:type="dxa"/>
            <w:tcBorders>
              <w:top w:val="nil"/>
              <w:bottom w:val="nil"/>
              <w:right w:val="single" w:color="000000" w:sz="6" w:space="0"/>
            </w:tcBorders>
            <w:vAlign w:val="top"/>
          </w:tcPr>
          <w:p w14:paraId="0ADB9878">
            <w:pPr>
              <w:rPr>
                <w:rFonts w:ascii="Arial"/>
                <w:sz w:val="21"/>
              </w:rPr>
            </w:pPr>
          </w:p>
        </w:tc>
      </w:tr>
      <w:tr w14:paraId="32040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3" w:hRule="atLeast"/>
        </w:trPr>
        <w:tc>
          <w:tcPr>
            <w:tcW w:w="1400" w:type="dxa"/>
            <w:vMerge w:val="continue"/>
            <w:tcBorders>
              <w:top w:val="nil"/>
              <w:left w:val="single" w:color="000000" w:sz="6" w:space="0"/>
              <w:bottom w:val="single" w:color="000000" w:sz="6" w:space="0"/>
            </w:tcBorders>
            <w:vAlign w:val="top"/>
          </w:tcPr>
          <w:p w14:paraId="2E9B47FF">
            <w:pPr>
              <w:rPr>
                <w:rFonts w:ascii="Arial"/>
                <w:sz w:val="21"/>
              </w:rPr>
            </w:pPr>
          </w:p>
        </w:tc>
        <w:tc>
          <w:tcPr>
            <w:tcW w:w="7474" w:type="dxa"/>
            <w:gridSpan w:val="6"/>
            <w:tcBorders>
              <w:bottom w:val="single" w:color="000000" w:sz="6" w:space="0"/>
              <w:right w:val="single" w:color="000000" w:sz="6" w:space="0"/>
            </w:tcBorders>
            <w:vAlign w:val="top"/>
          </w:tcPr>
          <w:p w14:paraId="7C24E74E">
            <w:pPr>
              <w:spacing w:line="265" w:lineRule="auto"/>
              <w:rPr>
                <w:rFonts w:ascii="Arial"/>
                <w:sz w:val="21"/>
              </w:rPr>
            </w:pPr>
          </w:p>
          <w:p w14:paraId="3200E426">
            <w:pPr>
              <w:spacing w:line="266" w:lineRule="auto"/>
              <w:rPr>
                <w:rFonts w:ascii="Arial"/>
                <w:sz w:val="21"/>
              </w:rPr>
            </w:pPr>
          </w:p>
          <w:p w14:paraId="3A4154E2">
            <w:pPr>
              <w:pStyle w:val="6"/>
              <w:spacing w:before="81" w:line="340" w:lineRule="auto"/>
              <w:ind w:left="111" w:right="103" w:firstLine="551"/>
            </w:pPr>
            <w:r>
              <w:rPr>
                <w:spacing w:val="7"/>
              </w:rPr>
              <w:t>由上表分析可知，本项目符合《挥发性有机物无组织排放控制标准》（</w:t>
            </w:r>
            <w:r>
              <w:rPr>
                <w:rFonts w:ascii="Times New Roman" w:hAnsi="Times New Roman" w:eastAsia="Times New Roman" w:cs="Times New Roman"/>
              </w:rPr>
              <w:t>GB</w:t>
            </w:r>
            <w:r>
              <w:rPr>
                <w:rFonts w:ascii="Times New Roman" w:hAnsi="Times New Roman" w:eastAsia="Times New Roman" w:cs="Times New Roman"/>
                <w:spacing w:val="7"/>
              </w:rPr>
              <w:t>37822-2019</w:t>
            </w:r>
            <w:r>
              <w:rPr>
                <w:spacing w:val="7"/>
              </w:rPr>
              <w:t>）相关要求。</w:t>
            </w:r>
          </w:p>
          <w:p w14:paraId="243C0420">
            <w:pPr>
              <w:pStyle w:val="6"/>
              <w:spacing w:before="3" w:line="339" w:lineRule="auto"/>
              <w:ind w:left="109" w:right="15" w:firstLine="8"/>
              <w:jc w:val="both"/>
            </w:pPr>
            <w:r>
              <w:rPr>
                <w:rFonts w:ascii="Times New Roman" w:hAnsi="Times New Roman" w:eastAsia="Times New Roman" w:cs="Times New Roman"/>
                <w:b/>
                <w:bCs/>
                <w:spacing w:val="9"/>
              </w:rPr>
              <w:t>1.6</w:t>
            </w:r>
            <w:r>
              <w:rPr>
                <w:rFonts w:ascii="Times New Roman" w:hAnsi="Times New Roman" w:eastAsia="Times New Roman" w:cs="Times New Roman"/>
                <w:b/>
                <w:bCs/>
                <w:spacing w:val="37"/>
              </w:rPr>
              <w:t xml:space="preserve"> </w:t>
            </w:r>
            <w:r>
              <w:rPr>
                <w:b/>
                <w:bCs/>
                <w:spacing w:val="9"/>
              </w:rPr>
              <w:t>与关于印发《四川省、重庆市长江经济带发展负面清单实施</w:t>
            </w:r>
            <w:r>
              <w:rPr>
                <w:b/>
                <w:bCs/>
                <w:spacing w:val="4"/>
              </w:rPr>
              <w:t>细则（试行，</w:t>
            </w:r>
            <w:r>
              <w:rPr>
                <w:rFonts w:ascii="Times New Roman" w:hAnsi="Times New Roman" w:eastAsia="Times New Roman" w:cs="Times New Roman"/>
                <w:b/>
                <w:bCs/>
                <w:spacing w:val="4"/>
              </w:rPr>
              <w:t xml:space="preserve">2022 </w:t>
            </w:r>
            <w:r>
              <w:rPr>
                <w:b/>
                <w:bCs/>
                <w:spacing w:val="4"/>
              </w:rPr>
              <w:t>年版）》的通知（川长江办〔</w:t>
            </w:r>
            <w:r>
              <w:rPr>
                <w:rFonts w:ascii="Times New Roman" w:hAnsi="Times New Roman" w:eastAsia="Times New Roman" w:cs="Times New Roman"/>
                <w:b/>
                <w:bCs/>
                <w:spacing w:val="4"/>
              </w:rPr>
              <w:t>2022</w:t>
            </w:r>
            <w:r>
              <w:rPr>
                <w:b/>
                <w:bCs/>
                <w:spacing w:val="4"/>
              </w:rPr>
              <w:t>〕</w:t>
            </w:r>
            <w:r>
              <w:rPr>
                <w:rFonts w:ascii="Times New Roman" w:hAnsi="Times New Roman" w:eastAsia="Times New Roman" w:cs="Times New Roman"/>
                <w:b/>
                <w:bCs/>
                <w:spacing w:val="4"/>
              </w:rPr>
              <w:t>17</w:t>
            </w:r>
            <w:r>
              <w:rPr>
                <w:rFonts w:ascii="Times New Roman" w:hAnsi="Times New Roman" w:eastAsia="Times New Roman" w:cs="Times New Roman"/>
                <w:b/>
                <w:bCs/>
                <w:spacing w:val="19"/>
              </w:rPr>
              <w:t xml:space="preserve"> </w:t>
            </w:r>
            <w:r>
              <w:rPr>
                <w:b/>
                <w:bCs/>
                <w:spacing w:val="3"/>
              </w:rPr>
              <w:t>号）、</w:t>
            </w:r>
            <w:r>
              <w:t xml:space="preserve"> </w:t>
            </w:r>
            <w:r>
              <w:rPr>
                <w:b/>
                <w:bCs/>
                <w:spacing w:val="10"/>
              </w:rPr>
              <w:t>《推动长江经济带发展领导小组办公室关于印发</w:t>
            </w:r>
            <w:r>
              <w:rPr>
                <w:rFonts w:ascii="Times New Roman" w:hAnsi="Times New Roman" w:eastAsia="Times New Roman" w:cs="Times New Roman"/>
                <w:b/>
                <w:bCs/>
                <w:spacing w:val="10"/>
              </w:rPr>
              <w:t>&lt;</w:t>
            </w:r>
            <w:r>
              <w:rPr>
                <w:b/>
                <w:bCs/>
                <w:spacing w:val="10"/>
              </w:rPr>
              <w:t>长江经济带发</w:t>
            </w:r>
            <w:r>
              <w:rPr>
                <w:b/>
                <w:bCs/>
                <w:spacing w:val="1"/>
              </w:rPr>
              <w:t>展负面清单指南（试行，</w:t>
            </w:r>
            <w:r>
              <w:rPr>
                <w:rFonts w:ascii="Times New Roman" w:hAnsi="Times New Roman" w:eastAsia="Times New Roman" w:cs="Times New Roman"/>
                <w:b/>
                <w:bCs/>
                <w:spacing w:val="1"/>
              </w:rPr>
              <w:t xml:space="preserve">2022 </w:t>
            </w:r>
            <w:r>
              <w:rPr>
                <w:b/>
                <w:bCs/>
                <w:spacing w:val="1"/>
              </w:rPr>
              <w:t>年版）</w:t>
            </w:r>
            <w:r>
              <w:rPr>
                <w:rFonts w:ascii="Times New Roman" w:hAnsi="Times New Roman" w:eastAsia="Times New Roman" w:cs="Times New Roman"/>
                <w:b/>
                <w:bCs/>
                <w:spacing w:val="1"/>
              </w:rPr>
              <w:t>&gt;</w:t>
            </w:r>
            <w:r>
              <w:rPr>
                <w:rFonts w:ascii="Times New Roman" w:hAnsi="Times New Roman" w:eastAsia="Times New Roman" w:cs="Times New Roman"/>
                <w:b/>
                <w:bCs/>
                <w:spacing w:val="-27"/>
              </w:rPr>
              <w:t xml:space="preserve"> </w:t>
            </w:r>
            <w:r>
              <w:rPr>
                <w:b/>
                <w:bCs/>
                <w:spacing w:val="1"/>
              </w:rPr>
              <w:t>的通知》（长江办〔</w:t>
            </w:r>
            <w:r>
              <w:rPr>
                <w:rFonts w:ascii="Times New Roman" w:hAnsi="Times New Roman" w:eastAsia="Times New Roman" w:cs="Times New Roman"/>
                <w:b/>
                <w:bCs/>
                <w:spacing w:val="1"/>
              </w:rPr>
              <w:t>2022</w:t>
            </w:r>
            <w:r>
              <w:rPr>
                <w:b/>
                <w:bCs/>
                <w:spacing w:val="1"/>
              </w:rPr>
              <w:t>〕</w:t>
            </w:r>
            <w:r>
              <w:t xml:space="preserve"> </w:t>
            </w:r>
            <w:r>
              <w:rPr>
                <w:rFonts w:ascii="Times New Roman" w:hAnsi="Times New Roman" w:eastAsia="Times New Roman" w:cs="Times New Roman"/>
                <w:b/>
                <w:bCs/>
                <w:spacing w:val="4"/>
              </w:rPr>
              <w:t>7</w:t>
            </w:r>
            <w:r>
              <w:rPr>
                <w:rFonts w:ascii="Times New Roman" w:hAnsi="Times New Roman" w:eastAsia="Times New Roman" w:cs="Times New Roman"/>
                <w:b/>
                <w:bCs/>
                <w:spacing w:val="18"/>
                <w:w w:val="101"/>
              </w:rPr>
              <w:t xml:space="preserve"> </w:t>
            </w:r>
            <w:r>
              <w:rPr>
                <w:b/>
                <w:bCs/>
                <w:spacing w:val="4"/>
              </w:rPr>
              <w:t>号）的符合性</w:t>
            </w:r>
          </w:p>
          <w:p w14:paraId="60A0B6BF">
            <w:pPr>
              <w:pStyle w:val="6"/>
              <w:spacing w:line="225" w:lineRule="auto"/>
              <w:ind w:left="632"/>
            </w:pPr>
            <w:r>
              <w:rPr>
                <w:spacing w:val="6"/>
              </w:rPr>
              <w:t>本项目与川长江办〔</w:t>
            </w:r>
            <w:r>
              <w:rPr>
                <w:rFonts w:ascii="Times New Roman" w:hAnsi="Times New Roman" w:eastAsia="Times New Roman" w:cs="Times New Roman"/>
                <w:spacing w:val="6"/>
              </w:rPr>
              <w:t>2022</w:t>
            </w:r>
            <w:r>
              <w:rPr>
                <w:spacing w:val="6"/>
              </w:rPr>
              <w:t>〕</w:t>
            </w:r>
            <w:r>
              <w:rPr>
                <w:rFonts w:ascii="Times New Roman" w:hAnsi="Times New Roman" w:eastAsia="Times New Roman" w:cs="Times New Roman"/>
                <w:spacing w:val="6"/>
              </w:rPr>
              <w:t>17</w:t>
            </w:r>
            <w:r>
              <w:rPr>
                <w:rFonts w:ascii="Times New Roman" w:hAnsi="Times New Roman" w:eastAsia="Times New Roman" w:cs="Times New Roman"/>
                <w:spacing w:val="22"/>
              </w:rPr>
              <w:t xml:space="preserve"> </w:t>
            </w:r>
            <w:r>
              <w:rPr>
                <w:spacing w:val="6"/>
              </w:rPr>
              <w:t>号、长江办〔</w:t>
            </w:r>
            <w:r>
              <w:rPr>
                <w:rFonts w:ascii="Times New Roman" w:hAnsi="Times New Roman" w:eastAsia="Times New Roman" w:cs="Times New Roman"/>
                <w:spacing w:val="6"/>
              </w:rPr>
              <w:t>2022</w:t>
            </w:r>
            <w:r>
              <w:rPr>
                <w:spacing w:val="6"/>
              </w:rPr>
              <w:t>〕</w:t>
            </w:r>
            <w:r>
              <w:rPr>
                <w:rFonts w:ascii="Times New Roman" w:hAnsi="Times New Roman" w:eastAsia="Times New Roman" w:cs="Times New Roman"/>
                <w:spacing w:val="6"/>
              </w:rPr>
              <w:t>7</w:t>
            </w:r>
            <w:r>
              <w:rPr>
                <w:rFonts w:ascii="Times New Roman" w:hAnsi="Times New Roman" w:eastAsia="Times New Roman" w:cs="Times New Roman"/>
                <w:spacing w:val="18"/>
                <w:w w:val="101"/>
              </w:rPr>
              <w:t xml:space="preserve"> </w:t>
            </w:r>
            <w:r>
              <w:rPr>
                <w:spacing w:val="6"/>
              </w:rPr>
              <w:t>号符合</w:t>
            </w:r>
          </w:p>
        </w:tc>
      </w:tr>
    </w:tbl>
    <w:p w14:paraId="7B3746EB">
      <w:pPr>
        <w:pStyle w:val="2"/>
        <w:rPr>
          <w:sz w:val="21"/>
        </w:rPr>
      </w:pPr>
    </w:p>
    <w:p w14:paraId="4782DBDE">
      <w:pPr>
        <w:rPr>
          <w:sz w:val="21"/>
          <w:szCs w:val="21"/>
        </w:rPr>
        <w:sectPr>
          <w:footerReference r:id="rId16" w:type="default"/>
          <w:pgSz w:w="11906" w:h="16839"/>
          <w:pgMar w:top="400" w:right="1508" w:bottom="1234" w:left="1508" w:header="0" w:footer="996" w:gutter="0"/>
          <w:cols w:space="720" w:num="1"/>
        </w:sectPr>
      </w:pPr>
    </w:p>
    <w:p w14:paraId="01DC3227">
      <w:pPr>
        <w:spacing w:before="19"/>
      </w:pPr>
    </w:p>
    <w:p w14:paraId="2C90EE78">
      <w:pPr>
        <w:spacing w:before="19"/>
      </w:pPr>
    </w:p>
    <w:p w14:paraId="3BE4FBC2">
      <w:pPr>
        <w:spacing w:before="19"/>
      </w:pPr>
    </w:p>
    <w:p w14:paraId="362C9230">
      <w:pPr>
        <w:spacing w:before="18"/>
      </w:pPr>
    </w:p>
    <w:p w14:paraId="502613CE">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113"/>
        <w:gridCol w:w="2942"/>
        <w:gridCol w:w="2221"/>
        <w:gridCol w:w="1358"/>
        <w:gridCol w:w="714"/>
        <w:gridCol w:w="126"/>
      </w:tblGrid>
      <w:tr w14:paraId="516AE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8" w:hRule="atLeast"/>
        </w:trPr>
        <w:tc>
          <w:tcPr>
            <w:tcW w:w="1400" w:type="dxa"/>
            <w:vMerge w:val="restart"/>
            <w:tcBorders>
              <w:top w:val="single" w:color="000000" w:sz="6" w:space="0"/>
              <w:left w:val="single" w:color="000000" w:sz="6" w:space="0"/>
              <w:bottom w:val="nil"/>
            </w:tcBorders>
            <w:vAlign w:val="top"/>
          </w:tcPr>
          <w:p w14:paraId="370CE35A">
            <w:pPr>
              <w:rPr>
                <w:rFonts w:ascii="Arial"/>
                <w:sz w:val="21"/>
              </w:rPr>
            </w:pPr>
          </w:p>
        </w:tc>
        <w:tc>
          <w:tcPr>
            <w:tcW w:w="7474" w:type="dxa"/>
            <w:gridSpan w:val="6"/>
            <w:tcBorders>
              <w:top w:val="single" w:color="000000" w:sz="6" w:space="0"/>
              <w:right w:val="single" w:color="000000" w:sz="6" w:space="0"/>
            </w:tcBorders>
            <w:vAlign w:val="top"/>
          </w:tcPr>
          <w:p w14:paraId="258FDDB4">
            <w:pPr>
              <w:pStyle w:val="6"/>
              <w:spacing w:before="150" w:line="226" w:lineRule="auto"/>
              <w:ind w:left="113"/>
            </w:pPr>
            <w:r>
              <w:rPr>
                <w:spacing w:val="6"/>
              </w:rPr>
              <w:t>性分析见下表。</w:t>
            </w:r>
          </w:p>
          <w:p w14:paraId="158F23E6">
            <w:pPr>
              <w:pStyle w:val="6"/>
              <w:spacing w:before="154" w:line="226" w:lineRule="auto"/>
              <w:ind w:left="109"/>
            </w:pPr>
            <w:r>
              <w:rPr>
                <w:spacing w:val="2"/>
              </w:rPr>
              <w:t>表</w:t>
            </w:r>
            <w:r>
              <w:rPr>
                <w:spacing w:val="-29"/>
              </w:rPr>
              <w:t xml:space="preserve"> </w:t>
            </w:r>
            <w:r>
              <w:rPr>
                <w:rFonts w:ascii="Times New Roman" w:hAnsi="Times New Roman" w:eastAsia="Times New Roman" w:cs="Times New Roman"/>
                <w:spacing w:val="2"/>
              </w:rPr>
              <w:t>1.6-</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 xml:space="preserve">1    </w:t>
            </w:r>
            <w:r>
              <w:rPr>
                <w:spacing w:val="2"/>
              </w:rPr>
              <w:t>与川长江办〔</w:t>
            </w:r>
            <w:r>
              <w:rPr>
                <w:rFonts w:ascii="Times New Roman" w:hAnsi="Times New Roman" w:eastAsia="Times New Roman" w:cs="Times New Roman"/>
                <w:spacing w:val="2"/>
              </w:rPr>
              <w:t>2022</w:t>
            </w:r>
            <w:r>
              <w:rPr>
                <w:spacing w:val="2"/>
              </w:rPr>
              <w:t>〕</w:t>
            </w:r>
            <w:r>
              <w:rPr>
                <w:rFonts w:ascii="Times New Roman" w:hAnsi="Times New Roman" w:eastAsia="Times New Roman" w:cs="Times New Roman"/>
                <w:spacing w:val="2"/>
              </w:rPr>
              <w:t>17</w:t>
            </w:r>
            <w:r>
              <w:rPr>
                <w:rFonts w:ascii="Times New Roman" w:hAnsi="Times New Roman" w:eastAsia="Times New Roman" w:cs="Times New Roman"/>
                <w:spacing w:val="18"/>
                <w:w w:val="101"/>
              </w:rPr>
              <w:t xml:space="preserve"> </w:t>
            </w:r>
            <w:r>
              <w:rPr>
                <w:spacing w:val="2"/>
              </w:rPr>
              <w:t>号、长</w:t>
            </w:r>
            <w:r>
              <w:rPr>
                <w:spacing w:val="1"/>
              </w:rPr>
              <w:t>江办〔</w:t>
            </w:r>
            <w:r>
              <w:rPr>
                <w:rFonts w:ascii="Times New Roman" w:hAnsi="Times New Roman" w:eastAsia="Times New Roman" w:cs="Times New Roman"/>
                <w:spacing w:val="1"/>
              </w:rPr>
              <w:t>2022</w:t>
            </w:r>
            <w:r>
              <w:rPr>
                <w:spacing w:val="1"/>
              </w:rPr>
              <w:t>〕</w:t>
            </w:r>
            <w:r>
              <w:rPr>
                <w:rFonts w:ascii="Times New Roman" w:hAnsi="Times New Roman" w:eastAsia="Times New Roman" w:cs="Times New Roman"/>
                <w:spacing w:val="1"/>
              </w:rPr>
              <w:t>7</w:t>
            </w:r>
            <w:r>
              <w:rPr>
                <w:rFonts w:ascii="Times New Roman" w:hAnsi="Times New Roman" w:eastAsia="Times New Roman" w:cs="Times New Roman"/>
                <w:spacing w:val="18"/>
                <w:w w:val="101"/>
              </w:rPr>
              <w:t xml:space="preserve"> </w:t>
            </w:r>
            <w:r>
              <w:rPr>
                <w:spacing w:val="1"/>
              </w:rPr>
              <w:t>号符合性</w:t>
            </w:r>
          </w:p>
          <w:p w14:paraId="575FCC4B">
            <w:pPr>
              <w:pStyle w:val="6"/>
              <w:spacing w:before="151" w:line="227" w:lineRule="auto"/>
              <w:ind w:left="3483"/>
            </w:pPr>
            <w:r>
              <w:rPr>
                <w:spacing w:val="2"/>
              </w:rPr>
              <w:t>分析</w:t>
            </w:r>
          </w:p>
        </w:tc>
      </w:tr>
      <w:tr w14:paraId="24410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400" w:type="dxa"/>
            <w:vMerge w:val="continue"/>
            <w:tcBorders>
              <w:top w:val="nil"/>
              <w:left w:val="single" w:color="000000" w:sz="6" w:space="0"/>
              <w:bottom w:val="nil"/>
            </w:tcBorders>
            <w:vAlign w:val="top"/>
          </w:tcPr>
          <w:p w14:paraId="572A24AE">
            <w:pPr>
              <w:rPr>
                <w:rFonts w:ascii="Arial"/>
                <w:sz w:val="21"/>
              </w:rPr>
            </w:pPr>
          </w:p>
        </w:tc>
        <w:tc>
          <w:tcPr>
            <w:tcW w:w="113" w:type="dxa"/>
            <w:tcBorders>
              <w:top w:val="nil"/>
              <w:bottom w:val="nil"/>
            </w:tcBorders>
            <w:vAlign w:val="top"/>
          </w:tcPr>
          <w:p w14:paraId="5342B2C6">
            <w:pPr>
              <w:rPr>
                <w:rFonts w:ascii="Arial"/>
                <w:sz w:val="21"/>
              </w:rPr>
            </w:pPr>
          </w:p>
        </w:tc>
        <w:tc>
          <w:tcPr>
            <w:tcW w:w="2942" w:type="dxa"/>
            <w:vAlign w:val="top"/>
          </w:tcPr>
          <w:p w14:paraId="580E34D6">
            <w:pPr>
              <w:pStyle w:val="6"/>
              <w:spacing w:before="175" w:line="220" w:lineRule="auto"/>
              <w:ind w:left="352"/>
              <w:rPr>
                <w:sz w:val="22"/>
                <w:szCs w:val="22"/>
              </w:rPr>
            </w:pPr>
            <w:r>
              <w:rPr>
                <w:spacing w:val="-2"/>
                <w:sz w:val="22"/>
                <w:szCs w:val="22"/>
              </w:rPr>
              <w:t>川长江办〔</w:t>
            </w:r>
            <w:r>
              <w:rPr>
                <w:rFonts w:ascii="Times New Roman" w:hAnsi="Times New Roman" w:eastAsia="Times New Roman" w:cs="Times New Roman"/>
                <w:spacing w:val="-2"/>
                <w:sz w:val="22"/>
                <w:szCs w:val="22"/>
              </w:rPr>
              <w:t>2022</w:t>
            </w:r>
            <w:r>
              <w:rPr>
                <w:spacing w:val="-2"/>
                <w:sz w:val="22"/>
                <w:szCs w:val="22"/>
              </w:rPr>
              <w:t>〕</w:t>
            </w:r>
            <w:r>
              <w:rPr>
                <w:rFonts w:ascii="Times New Roman" w:hAnsi="Times New Roman" w:eastAsia="Times New Roman" w:cs="Times New Roman"/>
                <w:spacing w:val="-2"/>
                <w:sz w:val="22"/>
                <w:szCs w:val="22"/>
              </w:rPr>
              <w:t>17</w:t>
            </w:r>
            <w:r>
              <w:rPr>
                <w:rFonts w:ascii="Times New Roman" w:hAnsi="Times New Roman" w:eastAsia="Times New Roman" w:cs="Times New Roman"/>
                <w:spacing w:val="24"/>
                <w:sz w:val="22"/>
                <w:szCs w:val="22"/>
              </w:rPr>
              <w:t xml:space="preserve"> </w:t>
            </w:r>
            <w:r>
              <w:rPr>
                <w:spacing w:val="-2"/>
                <w:sz w:val="22"/>
                <w:szCs w:val="22"/>
              </w:rPr>
              <w:t>号</w:t>
            </w:r>
          </w:p>
        </w:tc>
        <w:tc>
          <w:tcPr>
            <w:tcW w:w="2221" w:type="dxa"/>
            <w:vAlign w:val="top"/>
          </w:tcPr>
          <w:p w14:paraId="3BB0B558">
            <w:pPr>
              <w:pStyle w:val="6"/>
              <w:spacing w:before="175" w:line="220" w:lineRule="auto"/>
              <w:ind w:left="156"/>
              <w:rPr>
                <w:sz w:val="22"/>
                <w:szCs w:val="22"/>
              </w:rPr>
            </w:pPr>
            <w:r>
              <w:rPr>
                <w:spacing w:val="-1"/>
                <w:sz w:val="22"/>
                <w:szCs w:val="22"/>
              </w:rPr>
              <w:t>长江办〔</w:t>
            </w:r>
            <w:r>
              <w:rPr>
                <w:rFonts w:ascii="Times New Roman" w:hAnsi="Times New Roman" w:eastAsia="Times New Roman" w:cs="Times New Roman"/>
                <w:spacing w:val="-1"/>
                <w:sz w:val="22"/>
                <w:szCs w:val="22"/>
              </w:rPr>
              <w:t>2022</w:t>
            </w:r>
            <w:r>
              <w:rPr>
                <w:spacing w:val="-1"/>
                <w:sz w:val="22"/>
                <w:szCs w:val="22"/>
              </w:rPr>
              <w:t>〕</w:t>
            </w:r>
            <w:r>
              <w:rPr>
                <w:rFonts w:ascii="Times New Roman" w:hAnsi="Times New Roman" w:eastAsia="Times New Roman" w:cs="Times New Roman"/>
                <w:spacing w:val="-1"/>
                <w:sz w:val="22"/>
                <w:szCs w:val="22"/>
              </w:rPr>
              <w:t>7</w:t>
            </w:r>
            <w:r>
              <w:rPr>
                <w:rFonts w:ascii="Times New Roman" w:hAnsi="Times New Roman" w:eastAsia="Times New Roman" w:cs="Times New Roman"/>
                <w:spacing w:val="15"/>
                <w:w w:val="101"/>
                <w:sz w:val="22"/>
                <w:szCs w:val="22"/>
              </w:rPr>
              <w:t xml:space="preserve"> </w:t>
            </w:r>
            <w:r>
              <w:rPr>
                <w:spacing w:val="-1"/>
                <w:sz w:val="22"/>
                <w:szCs w:val="22"/>
              </w:rPr>
              <w:t>号</w:t>
            </w:r>
          </w:p>
        </w:tc>
        <w:tc>
          <w:tcPr>
            <w:tcW w:w="1358" w:type="dxa"/>
            <w:vAlign w:val="top"/>
          </w:tcPr>
          <w:p w14:paraId="5EA10B64">
            <w:pPr>
              <w:pStyle w:val="6"/>
              <w:spacing w:before="174" w:line="221" w:lineRule="auto"/>
              <w:ind w:left="253"/>
              <w:rPr>
                <w:sz w:val="22"/>
                <w:szCs w:val="22"/>
              </w:rPr>
            </w:pPr>
            <w:r>
              <w:rPr>
                <w:spacing w:val="-3"/>
                <w:sz w:val="22"/>
                <w:szCs w:val="22"/>
              </w:rPr>
              <w:t>项目情况</w:t>
            </w:r>
          </w:p>
        </w:tc>
        <w:tc>
          <w:tcPr>
            <w:tcW w:w="714" w:type="dxa"/>
            <w:vAlign w:val="top"/>
          </w:tcPr>
          <w:p w14:paraId="6826505A">
            <w:pPr>
              <w:pStyle w:val="6"/>
              <w:spacing w:before="33" w:line="223" w:lineRule="auto"/>
              <w:ind w:left="262" w:right="126" w:hanging="111"/>
              <w:rPr>
                <w:sz w:val="22"/>
                <w:szCs w:val="22"/>
              </w:rPr>
            </w:pPr>
            <w:r>
              <w:rPr>
                <w:spacing w:val="-5"/>
                <w:sz w:val="22"/>
                <w:szCs w:val="22"/>
              </w:rPr>
              <w:t>符合</w:t>
            </w:r>
            <w:r>
              <w:rPr>
                <w:sz w:val="22"/>
                <w:szCs w:val="22"/>
              </w:rPr>
              <w:t>性</w:t>
            </w:r>
          </w:p>
        </w:tc>
        <w:tc>
          <w:tcPr>
            <w:tcW w:w="126" w:type="dxa"/>
            <w:tcBorders>
              <w:top w:val="nil"/>
              <w:bottom w:val="nil"/>
              <w:right w:val="single" w:color="000000" w:sz="6" w:space="0"/>
            </w:tcBorders>
            <w:vAlign w:val="top"/>
          </w:tcPr>
          <w:p w14:paraId="60648734">
            <w:pPr>
              <w:rPr>
                <w:rFonts w:ascii="Arial"/>
                <w:sz w:val="21"/>
              </w:rPr>
            </w:pPr>
          </w:p>
        </w:tc>
      </w:tr>
      <w:tr w14:paraId="0CB37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1400" w:type="dxa"/>
            <w:vMerge w:val="continue"/>
            <w:tcBorders>
              <w:top w:val="nil"/>
              <w:left w:val="single" w:color="000000" w:sz="6" w:space="0"/>
              <w:bottom w:val="nil"/>
            </w:tcBorders>
            <w:vAlign w:val="top"/>
          </w:tcPr>
          <w:p w14:paraId="7B253239">
            <w:pPr>
              <w:rPr>
                <w:rFonts w:ascii="Arial"/>
                <w:sz w:val="21"/>
              </w:rPr>
            </w:pPr>
          </w:p>
        </w:tc>
        <w:tc>
          <w:tcPr>
            <w:tcW w:w="113" w:type="dxa"/>
            <w:tcBorders>
              <w:top w:val="nil"/>
              <w:bottom w:val="nil"/>
            </w:tcBorders>
            <w:vAlign w:val="top"/>
          </w:tcPr>
          <w:p w14:paraId="21A0C4C2">
            <w:pPr>
              <w:rPr>
                <w:rFonts w:ascii="Arial"/>
                <w:sz w:val="21"/>
              </w:rPr>
            </w:pPr>
          </w:p>
        </w:tc>
        <w:tc>
          <w:tcPr>
            <w:tcW w:w="2942" w:type="dxa"/>
            <w:vAlign w:val="top"/>
          </w:tcPr>
          <w:p w14:paraId="15802756">
            <w:pPr>
              <w:pStyle w:val="6"/>
              <w:spacing w:before="34" w:line="228" w:lineRule="auto"/>
              <w:ind w:left="153" w:right="150"/>
              <w:jc w:val="both"/>
              <w:rPr>
                <w:sz w:val="22"/>
                <w:szCs w:val="22"/>
              </w:rPr>
            </w:pPr>
            <w:r>
              <w:rPr>
                <w:spacing w:val="-1"/>
                <w:sz w:val="22"/>
                <w:szCs w:val="22"/>
              </w:rPr>
              <w:t>禁止新建、改建和扩建不符合全国布局规划以及《重庆港总体规划（</w:t>
            </w:r>
            <w:r>
              <w:rPr>
                <w:rFonts w:ascii="Times New Roman" w:hAnsi="Times New Roman" w:eastAsia="Times New Roman" w:cs="Times New Roman"/>
                <w:spacing w:val="-1"/>
                <w:sz w:val="22"/>
                <w:szCs w:val="22"/>
              </w:rPr>
              <w:t>2035</w:t>
            </w:r>
            <w:r>
              <w:rPr>
                <w:spacing w:val="-1"/>
                <w:sz w:val="22"/>
                <w:szCs w:val="22"/>
              </w:rPr>
              <w:t>）》等市级港口总体规划的码头项目</w:t>
            </w:r>
          </w:p>
        </w:tc>
        <w:tc>
          <w:tcPr>
            <w:tcW w:w="2221" w:type="dxa"/>
            <w:vMerge w:val="restart"/>
            <w:tcBorders>
              <w:bottom w:val="nil"/>
            </w:tcBorders>
            <w:vAlign w:val="top"/>
          </w:tcPr>
          <w:p w14:paraId="27053DC2">
            <w:pPr>
              <w:pStyle w:val="6"/>
              <w:spacing w:before="180" w:line="220" w:lineRule="auto"/>
              <w:ind w:left="128"/>
              <w:rPr>
                <w:sz w:val="22"/>
                <w:szCs w:val="22"/>
              </w:rPr>
            </w:pPr>
            <w:r>
              <w:rPr>
                <w:spacing w:val="-1"/>
                <w:sz w:val="22"/>
                <w:szCs w:val="22"/>
              </w:rPr>
              <w:t>禁止建设不符合全国</w:t>
            </w:r>
          </w:p>
          <w:p w14:paraId="6F08FBCF">
            <w:pPr>
              <w:pStyle w:val="6"/>
              <w:spacing w:before="23" w:line="219" w:lineRule="auto"/>
              <w:ind w:left="129"/>
              <w:rPr>
                <w:sz w:val="22"/>
                <w:szCs w:val="22"/>
              </w:rPr>
            </w:pPr>
            <w:r>
              <w:rPr>
                <w:spacing w:val="-1"/>
                <w:sz w:val="22"/>
                <w:szCs w:val="22"/>
              </w:rPr>
              <w:t>和省级港口布局规划</w:t>
            </w:r>
          </w:p>
          <w:p w14:paraId="5121A16E">
            <w:pPr>
              <w:pStyle w:val="6"/>
              <w:spacing w:before="23" w:line="222" w:lineRule="auto"/>
              <w:ind w:left="153"/>
              <w:rPr>
                <w:sz w:val="22"/>
                <w:szCs w:val="22"/>
              </w:rPr>
            </w:pPr>
            <w:r>
              <w:rPr>
                <w:spacing w:val="-4"/>
                <w:sz w:val="22"/>
                <w:szCs w:val="22"/>
              </w:rPr>
              <w:t>以及港口总体规划的</w:t>
            </w:r>
          </w:p>
          <w:p w14:paraId="0833C27A">
            <w:pPr>
              <w:pStyle w:val="6"/>
              <w:spacing w:before="19" w:line="220" w:lineRule="auto"/>
              <w:ind w:left="127"/>
              <w:rPr>
                <w:sz w:val="22"/>
                <w:szCs w:val="22"/>
              </w:rPr>
            </w:pPr>
            <w:r>
              <w:rPr>
                <w:spacing w:val="-1"/>
                <w:sz w:val="22"/>
                <w:szCs w:val="22"/>
              </w:rPr>
              <w:t>码头项目，禁止建设</w:t>
            </w:r>
          </w:p>
          <w:p w14:paraId="138A500E">
            <w:pPr>
              <w:pStyle w:val="6"/>
              <w:spacing w:before="26" w:line="219" w:lineRule="auto"/>
              <w:ind w:left="132"/>
              <w:rPr>
                <w:sz w:val="22"/>
                <w:szCs w:val="22"/>
              </w:rPr>
            </w:pPr>
            <w:r>
              <w:rPr>
                <w:spacing w:val="-2"/>
                <w:sz w:val="22"/>
                <w:szCs w:val="22"/>
              </w:rPr>
              <w:t>不符合《长江干线过</w:t>
            </w:r>
          </w:p>
          <w:p w14:paraId="5AD91387">
            <w:pPr>
              <w:pStyle w:val="6"/>
              <w:spacing w:before="22" w:line="219" w:lineRule="auto"/>
              <w:ind w:left="129"/>
              <w:rPr>
                <w:sz w:val="22"/>
                <w:szCs w:val="22"/>
              </w:rPr>
            </w:pPr>
            <w:r>
              <w:rPr>
                <w:spacing w:val="1"/>
                <w:sz w:val="22"/>
                <w:szCs w:val="22"/>
              </w:rPr>
              <w:t>江通道布局规划》的</w:t>
            </w:r>
          </w:p>
          <w:p w14:paraId="7AB8714B">
            <w:pPr>
              <w:pStyle w:val="6"/>
              <w:spacing w:before="24" w:line="221" w:lineRule="auto"/>
              <w:ind w:left="348"/>
              <w:rPr>
                <w:sz w:val="22"/>
                <w:szCs w:val="22"/>
              </w:rPr>
            </w:pPr>
            <w:r>
              <w:rPr>
                <w:spacing w:val="-2"/>
                <w:sz w:val="22"/>
                <w:szCs w:val="22"/>
              </w:rPr>
              <w:t>过长江通道项目</w:t>
            </w:r>
          </w:p>
        </w:tc>
        <w:tc>
          <w:tcPr>
            <w:tcW w:w="1358" w:type="dxa"/>
            <w:vMerge w:val="restart"/>
            <w:tcBorders>
              <w:bottom w:val="nil"/>
            </w:tcBorders>
            <w:vAlign w:val="top"/>
          </w:tcPr>
          <w:p w14:paraId="523C6352">
            <w:pPr>
              <w:spacing w:line="392" w:lineRule="auto"/>
              <w:rPr>
                <w:rFonts w:ascii="Arial"/>
                <w:sz w:val="21"/>
              </w:rPr>
            </w:pPr>
          </w:p>
          <w:p w14:paraId="07B26201">
            <w:pPr>
              <w:pStyle w:val="6"/>
              <w:spacing w:before="72"/>
              <w:ind w:left="140" w:right="120"/>
              <w:jc w:val="both"/>
              <w:rPr>
                <w:sz w:val="22"/>
                <w:szCs w:val="22"/>
              </w:rPr>
            </w:pPr>
            <w:r>
              <w:rPr>
                <w:spacing w:val="-2"/>
                <w:sz w:val="22"/>
                <w:szCs w:val="22"/>
              </w:rPr>
              <w:t>本项目不属</w:t>
            </w:r>
            <w:r>
              <w:rPr>
                <w:spacing w:val="25"/>
                <w:sz w:val="22"/>
                <w:szCs w:val="22"/>
              </w:rPr>
              <w:t>于码头项</w:t>
            </w:r>
            <w:r>
              <w:rPr>
                <w:spacing w:val="-2"/>
                <w:sz w:val="22"/>
                <w:szCs w:val="22"/>
              </w:rPr>
              <w:t>目，且也不涉及过长江</w:t>
            </w:r>
            <w:r>
              <w:rPr>
                <w:spacing w:val="25"/>
                <w:sz w:val="22"/>
                <w:szCs w:val="22"/>
              </w:rPr>
              <w:t>通道项目</w:t>
            </w:r>
          </w:p>
        </w:tc>
        <w:tc>
          <w:tcPr>
            <w:tcW w:w="714" w:type="dxa"/>
            <w:vMerge w:val="restart"/>
            <w:tcBorders>
              <w:bottom w:val="nil"/>
            </w:tcBorders>
            <w:vAlign w:val="top"/>
          </w:tcPr>
          <w:p w14:paraId="4850FF28">
            <w:pPr>
              <w:rPr>
                <w:rFonts w:ascii="Arial"/>
                <w:sz w:val="21"/>
              </w:rPr>
            </w:pPr>
          </w:p>
          <w:p w14:paraId="5FF17316">
            <w:pPr>
              <w:rPr>
                <w:rFonts w:ascii="Arial"/>
                <w:sz w:val="21"/>
              </w:rPr>
            </w:pPr>
          </w:p>
          <w:p w14:paraId="1D641065">
            <w:pPr>
              <w:rPr>
                <w:rFonts w:ascii="Arial"/>
                <w:sz w:val="21"/>
              </w:rPr>
            </w:pPr>
          </w:p>
          <w:p w14:paraId="7BF0071B">
            <w:pPr>
              <w:rPr>
                <w:rFonts w:ascii="Arial"/>
                <w:sz w:val="21"/>
              </w:rPr>
            </w:pPr>
          </w:p>
          <w:p w14:paraId="421E2E2C">
            <w:pPr>
              <w:pStyle w:val="6"/>
              <w:spacing w:before="71" w:line="220" w:lineRule="auto"/>
              <w:ind w:left="151"/>
              <w:rPr>
                <w:sz w:val="22"/>
                <w:szCs w:val="22"/>
              </w:rPr>
            </w:pPr>
            <w:r>
              <w:rPr>
                <w:spacing w:val="-5"/>
                <w:sz w:val="22"/>
                <w:szCs w:val="22"/>
              </w:rPr>
              <w:t>符合</w:t>
            </w:r>
          </w:p>
        </w:tc>
        <w:tc>
          <w:tcPr>
            <w:tcW w:w="126" w:type="dxa"/>
            <w:tcBorders>
              <w:top w:val="nil"/>
              <w:bottom w:val="nil"/>
              <w:right w:val="single" w:color="000000" w:sz="6" w:space="0"/>
            </w:tcBorders>
            <w:vAlign w:val="top"/>
          </w:tcPr>
          <w:p w14:paraId="180B1823">
            <w:pPr>
              <w:rPr>
                <w:rFonts w:ascii="Arial"/>
                <w:sz w:val="21"/>
              </w:rPr>
            </w:pPr>
          </w:p>
        </w:tc>
      </w:tr>
      <w:tr w14:paraId="36CFF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9" w:hRule="atLeast"/>
        </w:trPr>
        <w:tc>
          <w:tcPr>
            <w:tcW w:w="1400" w:type="dxa"/>
            <w:vMerge w:val="continue"/>
            <w:tcBorders>
              <w:top w:val="nil"/>
              <w:left w:val="single" w:color="000000" w:sz="6" w:space="0"/>
              <w:bottom w:val="nil"/>
            </w:tcBorders>
            <w:vAlign w:val="top"/>
          </w:tcPr>
          <w:p w14:paraId="7A2119BF">
            <w:pPr>
              <w:rPr>
                <w:rFonts w:ascii="Arial"/>
                <w:sz w:val="21"/>
              </w:rPr>
            </w:pPr>
          </w:p>
        </w:tc>
        <w:tc>
          <w:tcPr>
            <w:tcW w:w="113" w:type="dxa"/>
            <w:tcBorders>
              <w:top w:val="nil"/>
              <w:bottom w:val="nil"/>
            </w:tcBorders>
            <w:vAlign w:val="top"/>
          </w:tcPr>
          <w:p w14:paraId="1945DB9A">
            <w:pPr>
              <w:rPr>
                <w:rFonts w:ascii="Arial"/>
                <w:sz w:val="21"/>
              </w:rPr>
            </w:pPr>
          </w:p>
        </w:tc>
        <w:tc>
          <w:tcPr>
            <w:tcW w:w="2942" w:type="dxa"/>
            <w:vAlign w:val="top"/>
          </w:tcPr>
          <w:p w14:paraId="2132C74E">
            <w:pPr>
              <w:pStyle w:val="6"/>
              <w:spacing w:before="47" w:line="231" w:lineRule="auto"/>
              <w:ind w:left="110" w:right="9" w:firstLine="44"/>
              <w:jc w:val="both"/>
              <w:rPr>
                <w:sz w:val="22"/>
                <w:szCs w:val="22"/>
              </w:rPr>
            </w:pPr>
            <w:r>
              <w:rPr>
                <w:spacing w:val="-1"/>
                <w:sz w:val="22"/>
                <w:szCs w:val="22"/>
              </w:rPr>
              <w:t>禁止新建、改建和扩建不符</w:t>
            </w:r>
            <w:r>
              <w:rPr>
                <w:spacing w:val="3"/>
                <w:sz w:val="22"/>
                <w:szCs w:val="22"/>
              </w:rPr>
              <w:t>合《长江干线过江通道布局</w:t>
            </w:r>
            <w:r>
              <w:rPr>
                <w:sz w:val="22"/>
                <w:szCs w:val="22"/>
              </w:rPr>
              <w:t>规划（</w:t>
            </w:r>
            <w:r>
              <w:rPr>
                <w:rFonts w:ascii="Times New Roman" w:hAnsi="Times New Roman" w:eastAsia="Times New Roman" w:cs="Times New Roman"/>
                <w:sz w:val="22"/>
                <w:szCs w:val="22"/>
              </w:rPr>
              <w:t>2020-2035</w:t>
            </w:r>
            <w:r>
              <w:rPr>
                <w:sz w:val="22"/>
                <w:szCs w:val="22"/>
              </w:rPr>
              <w:t>）》的过长</w:t>
            </w:r>
            <w:r>
              <w:rPr>
                <w:spacing w:val="-4"/>
                <w:sz w:val="22"/>
                <w:szCs w:val="22"/>
              </w:rPr>
              <w:t>江通道项目（含桥梁、隧道）</w:t>
            </w:r>
          </w:p>
        </w:tc>
        <w:tc>
          <w:tcPr>
            <w:tcW w:w="2221" w:type="dxa"/>
            <w:vMerge w:val="continue"/>
            <w:tcBorders>
              <w:top w:val="nil"/>
            </w:tcBorders>
            <w:vAlign w:val="top"/>
          </w:tcPr>
          <w:p w14:paraId="619AE205">
            <w:pPr>
              <w:rPr>
                <w:rFonts w:ascii="Arial"/>
                <w:sz w:val="21"/>
              </w:rPr>
            </w:pPr>
          </w:p>
        </w:tc>
        <w:tc>
          <w:tcPr>
            <w:tcW w:w="1358" w:type="dxa"/>
            <w:vMerge w:val="continue"/>
            <w:tcBorders>
              <w:top w:val="nil"/>
            </w:tcBorders>
            <w:vAlign w:val="top"/>
          </w:tcPr>
          <w:p w14:paraId="0A558CAF">
            <w:pPr>
              <w:rPr>
                <w:rFonts w:ascii="Arial"/>
                <w:sz w:val="21"/>
              </w:rPr>
            </w:pPr>
          </w:p>
        </w:tc>
        <w:tc>
          <w:tcPr>
            <w:tcW w:w="714" w:type="dxa"/>
            <w:vMerge w:val="continue"/>
            <w:tcBorders>
              <w:top w:val="nil"/>
            </w:tcBorders>
            <w:vAlign w:val="top"/>
          </w:tcPr>
          <w:p w14:paraId="383F8C38">
            <w:pPr>
              <w:rPr>
                <w:rFonts w:ascii="Arial"/>
                <w:sz w:val="21"/>
              </w:rPr>
            </w:pPr>
          </w:p>
        </w:tc>
        <w:tc>
          <w:tcPr>
            <w:tcW w:w="126" w:type="dxa"/>
            <w:tcBorders>
              <w:top w:val="nil"/>
              <w:bottom w:val="nil"/>
              <w:right w:val="single" w:color="000000" w:sz="6" w:space="0"/>
            </w:tcBorders>
            <w:vAlign w:val="top"/>
          </w:tcPr>
          <w:p w14:paraId="7B8BFBEC">
            <w:pPr>
              <w:rPr>
                <w:rFonts w:ascii="Arial"/>
                <w:sz w:val="21"/>
              </w:rPr>
            </w:pPr>
          </w:p>
        </w:tc>
      </w:tr>
      <w:tr w14:paraId="6D1D7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trPr>
        <w:tc>
          <w:tcPr>
            <w:tcW w:w="1400" w:type="dxa"/>
            <w:vMerge w:val="continue"/>
            <w:tcBorders>
              <w:top w:val="nil"/>
              <w:left w:val="single" w:color="000000" w:sz="6" w:space="0"/>
              <w:bottom w:val="nil"/>
            </w:tcBorders>
            <w:vAlign w:val="top"/>
          </w:tcPr>
          <w:p w14:paraId="310BB290">
            <w:pPr>
              <w:rPr>
                <w:rFonts w:ascii="Arial"/>
                <w:sz w:val="21"/>
              </w:rPr>
            </w:pPr>
          </w:p>
        </w:tc>
        <w:tc>
          <w:tcPr>
            <w:tcW w:w="113" w:type="dxa"/>
            <w:tcBorders>
              <w:top w:val="nil"/>
              <w:bottom w:val="nil"/>
            </w:tcBorders>
            <w:vAlign w:val="top"/>
          </w:tcPr>
          <w:p w14:paraId="3F6486B3">
            <w:pPr>
              <w:rPr>
                <w:rFonts w:ascii="Arial"/>
                <w:sz w:val="21"/>
              </w:rPr>
            </w:pPr>
          </w:p>
        </w:tc>
        <w:tc>
          <w:tcPr>
            <w:tcW w:w="2942" w:type="dxa"/>
            <w:vAlign w:val="top"/>
          </w:tcPr>
          <w:p w14:paraId="63F6C025">
            <w:pPr>
              <w:pStyle w:val="6"/>
              <w:spacing w:before="38" w:line="220" w:lineRule="auto"/>
              <w:ind w:left="154"/>
              <w:rPr>
                <w:sz w:val="22"/>
                <w:szCs w:val="22"/>
              </w:rPr>
            </w:pPr>
            <w:r>
              <w:rPr>
                <w:spacing w:val="-1"/>
                <w:sz w:val="22"/>
                <w:szCs w:val="22"/>
              </w:rPr>
              <w:t>禁止在自然保护区核心区、</w:t>
            </w:r>
          </w:p>
          <w:p w14:paraId="001A3467">
            <w:pPr>
              <w:pStyle w:val="6"/>
              <w:spacing w:before="21" w:line="220" w:lineRule="auto"/>
              <w:ind w:left="157"/>
              <w:rPr>
                <w:sz w:val="22"/>
                <w:szCs w:val="22"/>
              </w:rPr>
            </w:pPr>
            <w:r>
              <w:rPr>
                <w:spacing w:val="-1"/>
                <w:sz w:val="22"/>
                <w:szCs w:val="22"/>
              </w:rPr>
              <w:t>缓冲区的岸线和河段范围内</w:t>
            </w:r>
          </w:p>
          <w:p w14:paraId="15442624">
            <w:pPr>
              <w:pStyle w:val="6"/>
              <w:spacing w:before="23" w:line="220" w:lineRule="auto"/>
              <w:ind w:left="157"/>
              <w:rPr>
                <w:sz w:val="22"/>
                <w:szCs w:val="22"/>
              </w:rPr>
            </w:pPr>
            <w:r>
              <w:rPr>
                <w:spacing w:val="-1"/>
                <w:sz w:val="22"/>
                <w:szCs w:val="22"/>
              </w:rPr>
              <w:t>投资建设旅游和生产经营项</w:t>
            </w:r>
          </w:p>
          <w:p w14:paraId="083719FC">
            <w:pPr>
              <w:pStyle w:val="6"/>
              <w:spacing w:before="23" w:line="220" w:lineRule="auto"/>
              <w:ind w:left="197"/>
              <w:rPr>
                <w:sz w:val="22"/>
                <w:szCs w:val="22"/>
              </w:rPr>
            </w:pPr>
            <w:r>
              <w:rPr>
                <w:spacing w:val="-5"/>
                <w:sz w:val="22"/>
                <w:szCs w:val="22"/>
              </w:rPr>
              <w:t>目。自然保护区的内部未分</w:t>
            </w:r>
          </w:p>
          <w:p w14:paraId="20F8A24D">
            <w:pPr>
              <w:pStyle w:val="6"/>
              <w:spacing w:before="23" w:line="219" w:lineRule="auto"/>
              <w:ind w:left="171"/>
              <w:rPr>
                <w:sz w:val="22"/>
                <w:szCs w:val="22"/>
              </w:rPr>
            </w:pPr>
            <w:r>
              <w:rPr>
                <w:spacing w:val="-2"/>
                <w:sz w:val="22"/>
                <w:szCs w:val="22"/>
              </w:rPr>
              <w:t>区的，依照核心区和缓冲区</w:t>
            </w:r>
          </w:p>
          <w:p w14:paraId="0CF40550">
            <w:pPr>
              <w:pStyle w:val="6"/>
              <w:spacing w:before="23" w:line="191" w:lineRule="auto"/>
              <w:ind w:left="943"/>
              <w:rPr>
                <w:sz w:val="22"/>
                <w:szCs w:val="22"/>
              </w:rPr>
            </w:pPr>
            <w:r>
              <w:rPr>
                <w:spacing w:val="-5"/>
                <w:sz w:val="22"/>
                <w:szCs w:val="22"/>
              </w:rPr>
              <w:t>的规定管控</w:t>
            </w:r>
          </w:p>
        </w:tc>
        <w:tc>
          <w:tcPr>
            <w:tcW w:w="2221" w:type="dxa"/>
            <w:vMerge w:val="restart"/>
            <w:tcBorders>
              <w:bottom w:val="nil"/>
            </w:tcBorders>
            <w:vAlign w:val="top"/>
          </w:tcPr>
          <w:p w14:paraId="7856B64E">
            <w:pPr>
              <w:spacing w:line="268" w:lineRule="auto"/>
              <w:rPr>
                <w:rFonts w:ascii="Arial"/>
                <w:sz w:val="21"/>
              </w:rPr>
            </w:pPr>
          </w:p>
          <w:p w14:paraId="2A0125FF">
            <w:pPr>
              <w:spacing w:line="269" w:lineRule="auto"/>
              <w:rPr>
                <w:rFonts w:ascii="Arial"/>
                <w:sz w:val="21"/>
              </w:rPr>
            </w:pPr>
          </w:p>
          <w:p w14:paraId="52E2D081">
            <w:pPr>
              <w:pStyle w:val="6"/>
              <w:spacing w:before="71" w:line="220" w:lineRule="auto"/>
              <w:ind w:left="128"/>
              <w:rPr>
                <w:sz w:val="22"/>
                <w:szCs w:val="22"/>
              </w:rPr>
            </w:pPr>
            <w:r>
              <w:rPr>
                <w:spacing w:val="-1"/>
                <w:sz w:val="22"/>
                <w:szCs w:val="22"/>
              </w:rPr>
              <w:t>禁止在自然保护区核</w:t>
            </w:r>
          </w:p>
          <w:p w14:paraId="0456C876">
            <w:pPr>
              <w:pStyle w:val="6"/>
              <w:spacing w:before="23" w:line="220" w:lineRule="auto"/>
              <w:ind w:left="136"/>
              <w:rPr>
                <w:sz w:val="22"/>
                <w:szCs w:val="22"/>
              </w:rPr>
            </w:pPr>
            <w:r>
              <w:rPr>
                <w:spacing w:val="-2"/>
                <w:sz w:val="22"/>
                <w:szCs w:val="22"/>
              </w:rPr>
              <w:t>心区、缓冲区的岸线</w:t>
            </w:r>
          </w:p>
          <w:p w14:paraId="45C6C13E">
            <w:pPr>
              <w:pStyle w:val="6"/>
              <w:spacing w:before="23" w:line="220" w:lineRule="auto"/>
              <w:ind w:left="129"/>
              <w:rPr>
                <w:sz w:val="22"/>
                <w:szCs w:val="22"/>
              </w:rPr>
            </w:pPr>
            <w:r>
              <w:rPr>
                <w:spacing w:val="-1"/>
                <w:sz w:val="22"/>
                <w:szCs w:val="22"/>
              </w:rPr>
              <w:t>和河段范围内投资建</w:t>
            </w:r>
          </w:p>
          <w:p w14:paraId="0BF72142">
            <w:pPr>
              <w:pStyle w:val="6"/>
              <w:spacing w:before="21" w:line="220" w:lineRule="auto"/>
              <w:ind w:left="132"/>
              <w:rPr>
                <w:sz w:val="22"/>
                <w:szCs w:val="22"/>
              </w:rPr>
            </w:pPr>
            <w:r>
              <w:rPr>
                <w:spacing w:val="-2"/>
                <w:sz w:val="22"/>
                <w:szCs w:val="22"/>
              </w:rPr>
              <w:t>设旅游和生产经营项</w:t>
            </w:r>
          </w:p>
          <w:p w14:paraId="47AC8D58">
            <w:pPr>
              <w:pStyle w:val="6"/>
              <w:spacing w:before="25" w:line="220" w:lineRule="auto"/>
              <w:ind w:left="171"/>
              <w:rPr>
                <w:sz w:val="22"/>
                <w:szCs w:val="22"/>
              </w:rPr>
            </w:pPr>
            <w:r>
              <w:rPr>
                <w:spacing w:val="-6"/>
                <w:sz w:val="22"/>
                <w:szCs w:val="22"/>
              </w:rPr>
              <w:t>目。禁止在风景名胜</w:t>
            </w:r>
          </w:p>
          <w:p w14:paraId="58C3A0EB">
            <w:pPr>
              <w:pStyle w:val="6"/>
              <w:spacing w:before="21" w:line="220" w:lineRule="auto"/>
              <w:ind w:left="145"/>
              <w:rPr>
                <w:sz w:val="22"/>
                <w:szCs w:val="22"/>
              </w:rPr>
            </w:pPr>
            <w:r>
              <w:rPr>
                <w:spacing w:val="-3"/>
                <w:sz w:val="22"/>
                <w:szCs w:val="22"/>
              </w:rPr>
              <w:t>区核心景区的岸线和</w:t>
            </w:r>
          </w:p>
          <w:p w14:paraId="41AF623A">
            <w:pPr>
              <w:pStyle w:val="6"/>
              <w:spacing w:before="23" w:line="220" w:lineRule="auto"/>
              <w:ind w:left="127"/>
              <w:rPr>
                <w:sz w:val="22"/>
                <w:szCs w:val="22"/>
              </w:rPr>
            </w:pPr>
            <w:r>
              <w:rPr>
                <w:spacing w:val="-1"/>
                <w:sz w:val="22"/>
                <w:szCs w:val="22"/>
              </w:rPr>
              <w:t>河段范围内投资建设</w:t>
            </w:r>
          </w:p>
          <w:p w14:paraId="626FFC2C">
            <w:pPr>
              <w:pStyle w:val="6"/>
              <w:spacing w:before="24" w:line="220" w:lineRule="auto"/>
              <w:ind w:left="133"/>
              <w:rPr>
                <w:sz w:val="22"/>
                <w:szCs w:val="22"/>
              </w:rPr>
            </w:pPr>
            <w:r>
              <w:rPr>
                <w:spacing w:val="-2"/>
                <w:sz w:val="22"/>
                <w:szCs w:val="22"/>
              </w:rPr>
              <w:t>与风景名胜资源保护</w:t>
            </w:r>
          </w:p>
          <w:p w14:paraId="7CF71D43">
            <w:pPr>
              <w:pStyle w:val="6"/>
              <w:spacing w:before="23" w:line="221" w:lineRule="auto"/>
              <w:ind w:left="569"/>
              <w:rPr>
                <w:sz w:val="22"/>
                <w:szCs w:val="22"/>
              </w:rPr>
            </w:pPr>
            <w:r>
              <w:rPr>
                <w:spacing w:val="-2"/>
                <w:sz w:val="22"/>
                <w:szCs w:val="22"/>
              </w:rPr>
              <w:t>无关的项目</w:t>
            </w:r>
          </w:p>
        </w:tc>
        <w:tc>
          <w:tcPr>
            <w:tcW w:w="1358" w:type="dxa"/>
            <w:vMerge w:val="restart"/>
            <w:tcBorders>
              <w:bottom w:val="nil"/>
            </w:tcBorders>
            <w:vAlign w:val="top"/>
          </w:tcPr>
          <w:p w14:paraId="661EED33">
            <w:pPr>
              <w:spacing w:line="249" w:lineRule="auto"/>
              <w:rPr>
                <w:rFonts w:ascii="Arial"/>
                <w:sz w:val="21"/>
              </w:rPr>
            </w:pPr>
          </w:p>
          <w:p w14:paraId="47264AFD">
            <w:pPr>
              <w:spacing w:line="249" w:lineRule="auto"/>
              <w:rPr>
                <w:rFonts w:ascii="Arial"/>
                <w:sz w:val="21"/>
              </w:rPr>
            </w:pPr>
          </w:p>
          <w:p w14:paraId="5F9F603A">
            <w:pPr>
              <w:spacing w:line="249" w:lineRule="auto"/>
              <w:rPr>
                <w:rFonts w:ascii="Arial"/>
                <w:sz w:val="21"/>
              </w:rPr>
            </w:pPr>
          </w:p>
          <w:p w14:paraId="4823BCF4">
            <w:pPr>
              <w:spacing w:line="249" w:lineRule="auto"/>
              <w:rPr>
                <w:rFonts w:ascii="Arial"/>
                <w:sz w:val="21"/>
              </w:rPr>
            </w:pPr>
          </w:p>
          <w:p w14:paraId="39D12457">
            <w:pPr>
              <w:spacing w:line="249" w:lineRule="auto"/>
              <w:rPr>
                <w:rFonts w:ascii="Arial"/>
                <w:sz w:val="21"/>
              </w:rPr>
            </w:pPr>
          </w:p>
          <w:p w14:paraId="738BEF84">
            <w:pPr>
              <w:pStyle w:val="6"/>
              <w:spacing w:before="72" w:line="219" w:lineRule="auto"/>
              <w:ind w:left="140"/>
              <w:rPr>
                <w:sz w:val="22"/>
                <w:szCs w:val="22"/>
              </w:rPr>
            </w:pPr>
            <w:r>
              <w:rPr>
                <w:spacing w:val="-2"/>
                <w:sz w:val="22"/>
                <w:szCs w:val="22"/>
              </w:rPr>
              <w:t>本项目不在</w:t>
            </w:r>
          </w:p>
          <w:p w14:paraId="3AA21DB3">
            <w:pPr>
              <w:pStyle w:val="6"/>
              <w:spacing w:before="23" w:line="221" w:lineRule="auto"/>
              <w:ind w:left="176"/>
              <w:rPr>
                <w:sz w:val="22"/>
                <w:szCs w:val="22"/>
              </w:rPr>
            </w:pPr>
            <w:r>
              <w:rPr>
                <w:spacing w:val="-9"/>
                <w:sz w:val="22"/>
                <w:szCs w:val="22"/>
              </w:rPr>
              <w:t>自然保护区</w:t>
            </w:r>
          </w:p>
          <w:p w14:paraId="4E5D852E">
            <w:pPr>
              <w:pStyle w:val="6"/>
              <w:spacing w:before="22" w:line="220" w:lineRule="auto"/>
              <w:ind w:left="140"/>
              <w:rPr>
                <w:sz w:val="22"/>
                <w:szCs w:val="22"/>
              </w:rPr>
            </w:pPr>
            <w:r>
              <w:rPr>
                <w:spacing w:val="-2"/>
                <w:sz w:val="22"/>
                <w:szCs w:val="22"/>
              </w:rPr>
              <w:t>和风景名胜</w:t>
            </w:r>
          </w:p>
          <w:p w14:paraId="6DE1AABF">
            <w:pPr>
              <w:pStyle w:val="6"/>
              <w:spacing w:before="21" w:line="220" w:lineRule="auto"/>
              <w:ind w:left="487"/>
              <w:rPr>
                <w:sz w:val="22"/>
                <w:szCs w:val="22"/>
              </w:rPr>
            </w:pPr>
            <w:r>
              <w:rPr>
                <w:spacing w:val="-12"/>
                <w:sz w:val="22"/>
                <w:szCs w:val="22"/>
              </w:rPr>
              <w:t>区内</w:t>
            </w:r>
          </w:p>
        </w:tc>
        <w:tc>
          <w:tcPr>
            <w:tcW w:w="714" w:type="dxa"/>
            <w:vMerge w:val="restart"/>
            <w:tcBorders>
              <w:bottom w:val="nil"/>
            </w:tcBorders>
            <w:vAlign w:val="top"/>
          </w:tcPr>
          <w:p w14:paraId="05AD6CF8">
            <w:pPr>
              <w:spacing w:line="278" w:lineRule="auto"/>
              <w:rPr>
                <w:rFonts w:ascii="Arial"/>
                <w:sz w:val="21"/>
              </w:rPr>
            </w:pPr>
          </w:p>
          <w:p w14:paraId="1ADCF865">
            <w:pPr>
              <w:spacing w:line="278" w:lineRule="auto"/>
              <w:rPr>
                <w:rFonts w:ascii="Arial"/>
                <w:sz w:val="21"/>
              </w:rPr>
            </w:pPr>
          </w:p>
          <w:p w14:paraId="0C4DD75A">
            <w:pPr>
              <w:spacing w:line="279" w:lineRule="auto"/>
              <w:rPr>
                <w:rFonts w:ascii="Arial"/>
                <w:sz w:val="21"/>
              </w:rPr>
            </w:pPr>
          </w:p>
          <w:p w14:paraId="0A65CDA4">
            <w:pPr>
              <w:spacing w:line="279" w:lineRule="auto"/>
              <w:rPr>
                <w:rFonts w:ascii="Arial"/>
                <w:sz w:val="21"/>
              </w:rPr>
            </w:pPr>
          </w:p>
          <w:p w14:paraId="1D6B46CF">
            <w:pPr>
              <w:spacing w:line="279" w:lineRule="auto"/>
              <w:rPr>
                <w:rFonts w:ascii="Arial"/>
                <w:sz w:val="21"/>
              </w:rPr>
            </w:pPr>
          </w:p>
          <w:p w14:paraId="7C504080">
            <w:pPr>
              <w:spacing w:line="279" w:lineRule="auto"/>
              <w:rPr>
                <w:rFonts w:ascii="Arial"/>
                <w:sz w:val="21"/>
              </w:rPr>
            </w:pPr>
          </w:p>
          <w:p w14:paraId="76660970">
            <w:pPr>
              <w:pStyle w:val="6"/>
              <w:spacing w:before="72" w:line="220" w:lineRule="auto"/>
              <w:ind w:left="151"/>
              <w:rPr>
                <w:sz w:val="22"/>
                <w:szCs w:val="22"/>
              </w:rPr>
            </w:pPr>
            <w:r>
              <w:rPr>
                <w:spacing w:val="-5"/>
                <w:sz w:val="22"/>
                <w:szCs w:val="22"/>
              </w:rPr>
              <w:t>符合</w:t>
            </w:r>
          </w:p>
        </w:tc>
        <w:tc>
          <w:tcPr>
            <w:tcW w:w="126" w:type="dxa"/>
            <w:tcBorders>
              <w:top w:val="nil"/>
              <w:bottom w:val="nil"/>
              <w:right w:val="single" w:color="000000" w:sz="6" w:space="0"/>
            </w:tcBorders>
            <w:vAlign w:val="top"/>
          </w:tcPr>
          <w:p w14:paraId="0587EEF4">
            <w:pPr>
              <w:rPr>
                <w:rFonts w:ascii="Arial"/>
                <w:sz w:val="21"/>
              </w:rPr>
            </w:pPr>
          </w:p>
        </w:tc>
      </w:tr>
      <w:tr w14:paraId="69CB0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4" w:hRule="atLeast"/>
        </w:trPr>
        <w:tc>
          <w:tcPr>
            <w:tcW w:w="1400" w:type="dxa"/>
            <w:vMerge w:val="continue"/>
            <w:tcBorders>
              <w:top w:val="nil"/>
              <w:left w:val="single" w:color="000000" w:sz="6" w:space="0"/>
              <w:bottom w:val="nil"/>
            </w:tcBorders>
            <w:vAlign w:val="top"/>
          </w:tcPr>
          <w:p w14:paraId="6362FDE1">
            <w:pPr>
              <w:rPr>
                <w:rFonts w:ascii="Arial"/>
                <w:sz w:val="21"/>
              </w:rPr>
            </w:pPr>
          </w:p>
        </w:tc>
        <w:tc>
          <w:tcPr>
            <w:tcW w:w="113" w:type="dxa"/>
            <w:tcBorders>
              <w:top w:val="nil"/>
              <w:bottom w:val="nil"/>
            </w:tcBorders>
            <w:vAlign w:val="top"/>
          </w:tcPr>
          <w:p w14:paraId="5FC03D46">
            <w:pPr>
              <w:rPr>
                <w:rFonts w:ascii="Arial"/>
                <w:sz w:val="21"/>
              </w:rPr>
            </w:pPr>
          </w:p>
        </w:tc>
        <w:tc>
          <w:tcPr>
            <w:tcW w:w="2942" w:type="dxa"/>
            <w:vAlign w:val="top"/>
          </w:tcPr>
          <w:p w14:paraId="2AD008D8">
            <w:pPr>
              <w:pStyle w:val="6"/>
              <w:spacing w:before="53" w:line="220" w:lineRule="auto"/>
              <w:ind w:left="154"/>
              <w:rPr>
                <w:sz w:val="22"/>
                <w:szCs w:val="22"/>
              </w:rPr>
            </w:pPr>
            <w:r>
              <w:rPr>
                <w:spacing w:val="-1"/>
                <w:sz w:val="22"/>
                <w:szCs w:val="22"/>
              </w:rPr>
              <w:t>禁止违反风景名胜区规划，</w:t>
            </w:r>
          </w:p>
          <w:p w14:paraId="752C6E59">
            <w:pPr>
              <w:pStyle w:val="6"/>
              <w:spacing w:before="23" w:line="220" w:lineRule="auto"/>
              <w:ind w:left="153"/>
              <w:rPr>
                <w:sz w:val="22"/>
                <w:szCs w:val="22"/>
              </w:rPr>
            </w:pPr>
            <w:r>
              <w:rPr>
                <w:spacing w:val="-1"/>
                <w:sz w:val="22"/>
                <w:szCs w:val="22"/>
              </w:rPr>
              <w:t>在风景名胜区内设立各类开</w:t>
            </w:r>
          </w:p>
          <w:p w14:paraId="0EAC955A">
            <w:pPr>
              <w:pStyle w:val="6"/>
              <w:spacing w:before="23" w:line="220" w:lineRule="auto"/>
              <w:ind w:left="158"/>
              <w:rPr>
                <w:sz w:val="22"/>
                <w:szCs w:val="22"/>
              </w:rPr>
            </w:pPr>
            <w:r>
              <w:rPr>
                <w:spacing w:val="-1"/>
                <w:sz w:val="22"/>
                <w:szCs w:val="22"/>
              </w:rPr>
              <w:t>发区。禁止在风景名胜区核</w:t>
            </w:r>
          </w:p>
          <w:p w14:paraId="6150E216">
            <w:pPr>
              <w:pStyle w:val="6"/>
              <w:spacing w:before="21" w:line="220" w:lineRule="auto"/>
              <w:ind w:left="162"/>
              <w:rPr>
                <w:sz w:val="22"/>
                <w:szCs w:val="22"/>
              </w:rPr>
            </w:pPr>
            <w:r>
              <w:rPr>
                <w:spacing w:val="-2"/>
                <w:sz w:val="22"/>
                <w:szCs w:val="22"/>
              </w:rPr>
              <w:t>心景区的岸线和河段范围内</w:t>
            </w:r>
          </w:p>
          <w:p w14:paraId="6C31C285">
            <w:pPr>
              <w:pStyle w:val="6"/>
              <w:spacing w:before="23" w:line="220" w:lineRule="auto"/>
              <w:ind w:left="157"/>
              <w:rPr>
                <w:sz w:val="22"/>
                <w:szCs w:val="22"/>
              </w:rPr>
            </w:pPr>
            <w:r>
              <w:rPr>
                <w:spacing w:val="-1"/>
                <w:sz w:val="22"/>
                <w:szCs w:val="22"/>
              </w:rPr>
              <w:t>建设宾馆、招待所、培训中</w:t>
            </w:r>
          </w:p>
          <w:p w14:paraId="2E7548E5">
            <w:pPr>
              <w:pStyle w:val="6"/>
              <w:spacing w:before="23" w:line="220" w:lineRule="auto"/>
              <w:ind w:left="162"/>
              <w:rPr>
                <w:sz w:val="22"/>
                <w:szCs w:val="22"/>
              </w:rPr>
            </w:pPr>
            <w:r>
              <w:rPr>
                <w:spacing w:val="-2"/>
                <w:sz w:val="22"/>
                <w:szCs w:val="22"/>
              </w:rPr>
              <w:t>心、疗养院以及与风景名胜</w:t>
            </w:r>
          </w:p>
          <w:p w14:paraId="072FA827">
            <w:pPr>
              <w:pStyle w:val="6"/>
              <w:spacing w:before="23" w:line="201" w:lineRule="auto"/>
              <w:ind w:left="493"/>
              <w:rPr>
                <w:sz w:val="22"/>
                <w:szCs w:val="22"/>
              </w:rPr>
            </w:pPr>
            <w:r>
              <w:rPr>
                <w:spacing w:val="-2"/>
                <w:sz w:val="22"/>
                <w:szCs w:val="22"/>
              </w:rPr>
              <w:t>资源保护无关的项目</w:t>
            </w:r>
          </w:p>
        </w:tc>
        <w:tc>
          <w:tcPr>
            <w:tcW w:w="2221" w:type="dxa"/>
            <w:vMerge w:val="continue"/>
            <w:tcBorders>
              <w:top w:val="nil"/>
            </w:tcBorders>
            <w:vAlign w:val="top"/>
          </w:tcPr>
          <w:p w14:paraId="21B4D097">
            <w:pPr>
              <w:rPr>
                <w:rFonts w:ascii="Arial"/>
                <w:sz w:val="21"/>
              </w:rPr>
            </w:pPr>
          </w:p>
        </w:tc>
        <w:tc>
          <w:tcPr>
            <w:tcW w:w="1358" w:type="dxa"/>
            <w:vMerge w:val="continue"/>
            <w:tcBorders>
              <w:top w:val="nil"/>
            </w:tcBorders>
            <w:vAlign w:val="top"/>
          </w:tcPr>
          <w:p w14:paraId="1C255752">
            <w:pPr>
              <w:rPr>
                <w:rFonts w:ascii="Arial"/>
                <w:sz w:val="21"/>
              </w:rPr>
            </w:pPr>
          </w:p>
        </w:tc>
        <w:tc>
          <w:tcPr>
            <w:tcW w:w="714" w:type="dxa"/>
            <w:vMerge w:val="continue"/>
            <w:tcBorders>
              <w:top w:val="nil"/>
            </w:tcBorders>
            <w:vAlign w:val="top"/>
          </w:tcPr>
          <w:p w14:paraId="1D82F412">
            <w:pPr>
              <w:rPr>
                <w:rFonts w:ascii="Arial"/>
                <w:sz w:val="21"/>
              </w:rPr>
            </w:pPr>
          </w:p>
        </w:tc>
        <w:tc>
          <w:tcPr>
            <w:tcW w:w="126" w:type="dxa"/>
            <w:tcBorders>
              <w:top w:val="nil"/>
              <w:bottom w:val="nil"/>
              <w:right w:val="single" w:color="000000" w:sz="6" w:space="0"/>
            </w:tcBorders>
            <w:vAlign w:val="top"/>
          </w:tcPr>
          <w:p w14:paraId="3F7E1838">
            <w:pPr>
              <w:rPr>
                <w:rFonts w:ascii="Arial"/>
                <w:sz w:val="21"/>
              </w:rPr>
            </w:pPr>
          </w:p>
        </w:tc>
      </w:tr>
      <w:tr w14:paraId="5AED3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0" w:hRule="atLeast"/>
        </w:trPr>
        <w:tc>
          <w:tcPr>
            <w:tcW w:w="1400" w:type="dxa"/>
            <w:vMerge w:val="continue"/>
            <w:tcBorders>
              <w:top w:val="nil"/>
              <w:left w:val="single" w:color="000000" w:sz="6" w:space="0"/>
              <w:bottom w:val="nil"/>
            </w:tcBorders>
            <w:vAlign w:val="top"/>
          </w:tcPr>
          <w:p w14:paraId="4D840F86">
            <w:pPr>
              <w:rPr>
                <w:rFonts w:ascii="Arial"/>
                <w:sz w:val="21"/>
              </w:rPr>
            </w:pPr>
          </w:p>
        </w:tc>
        <w:tc>
          <w:tcPr>
            <w:tcW w:w="113" w:type="dxa"/>
            <w:tcBorders>
              <w:top w:val="nil"/>
              <w:bottom w:val="nil"/>
            </w:tcBorders>
            <w:vAlign w:val="top"/>
          </w:tcPr>
          <w:p w14:paraId="7B8897A2">
            <w:pPr>
              <w:rPr>
                <w:rFonts w:ascii="Arial"/>
                <w:sz w:val="21"/>
              </w:rPr>
            </w:pPr>
          </w:p>
        </w:tc>
        <w:tc>
          <w:tcPr>
            <w:tcW w:w="2942" w:type="dxa"/>
            <w:vAlign w:val="top"/>
          </w:tcPr>
          <w:p w14:paraId="64E0A9B6">
            <w:pPr>
              <w:pStyle w:val="6"/>
              <w:spacing w:before="40" w:line="220" w:lineRule="auto"/>
              <w:ind w:left="154"/>
              <w:rPr>
                <w:sz w:val="22"/>
                <w:szCs w:val="22"/>
              </w:rPr>
            </w:pPr>
            <w:r>
              <w:rPr>
                <w:spacing w:val="-1"/>
                <w:sz w:val="22"/>
                <w:szCs w:val="22"/>
              </w:rPr>
              <w:t>禁止在饮用水水源准保护区</w:t>
            </w:r>
          </w:p>
          <w:p w14:paraId="0DD2EAD8">
            <w:pPr>
              <w:pStyle w:val="6"/>
              <w:spacing w:before="23" w:line="220" w:lineRule="auto"/>
              <w:ind w:left="172"/>
              <w:rPr>
                <w:sz w:val="22"/>
                <w:szCs w:val="22"/>
              </w:rPr>
            </w:pPr>
            <w:r>
              <w:rPr>
                <w:spacing w:val="-3"/>
                <w:sz w:val="22"/>
                <w:szCs w:val="22"/>
              </w:rPr>
              <w:t>的岸线和河段范围内新建、</w:t>
            </w:r>
          </w:p>
          <w:p w14:paraId="217E08AB">
            <w:pPr>
              <w:pStyle w:val="6"/>
              <w:spacing w:before="23" w:line="220" w:lineRule="auto"/>
              <w:ind w:left="154"/>
              <w:rPr>
                <w:sz w:val="22"/>
                <w:szCs w:val="22"/>
              </w:rPr>
            </w:pPr>
            <w:r>
              <w:rPr>
                <w:spacing w:val="-1"/>
                <w:sz w:val="22"/>
                <w:szCs w:val="22"/>
              </w:rPr>
              <w:t>扩建对水体污染严重的建设</w:t>
            </w:r>
          </w:p>
          <w:p w14:paraId="764EECAD">
            <w:pPr>
              <w:pStyle w:val="6"/>
              <w:spacing w:before="23" w:line="220" w:lineRule="auto"/>
              <w:ind w:left="158"/>
              <w:rPr>
                <w:sz w:val="22"/>
                <w:szCs w:val="22"/>
              </w:rPr>
            </w:pPr>
            <w:r>
              <w:rPr>
                <w:spacing w:val="-1"/>
                <w:sz w:val="22"/>
                <w:szCs w:val="22"/>
              </w:rPr>
              <w:t>项目，禁止改建增加排污量</w:t>
            </w:r>
          </w:p>
          <w:p w14:paraId="16695125">
            <w:pPr>
              <w:pStyle w:val="6"/>
              <w:spacing w:before="23" w:line="182" w:lineRule="auto"/>
              <w:ind w:left="943"/>
              <w:rPr>
                <w:sz w:val="22"/>
                <w:szCs w:val="22"/>
              </w:rPr>
            </w:pPr>
            <w:r>
              <w:rPr>
                <w:spacing w:val="-5"/>
                <w:sz w:val="22"/>
                <w:szCs w:val="22"/>
              </w:rPr>
              <w:t>的建设项目</w:t>
            </w:r>
          </w:p>
        </w:tc>
        <w:tc>
          <w:tcPr>
            <w:tcW w:w="2221" w:type="dxa"/>
            <w:vMerge w:val="restart"/>
            <w:tcBorders>
              <w:bottom w:val="nil"/>
            </w:tcBorders>
            <w:vAlign w:val="top"/>
          </w:tcPr>
          <w:p w14:paraId="2D7065EF">
            <w:pPr>
              <w:spacing w:line="273" w:lineRule="auto"/>
              <w:rPr>
                <w:rFonts w:ascii="Arial"/>
                <w:sz w:val="21"/>
              </w:rPr>
            </w:pPr>
          </w:p>
          <w:p w14:paraId="291EAAB3">
            <w:pPr>
              <w:spacing w:line="273" w:lineRule="auto"/>
              <w:rPr>
                <w:rFonts w:ascii="Arial"/>
                <w:sz w:val="21"/>
              </w:rPr>
            </w:pPr>
          </w:p>
          <w:p w14:paraId="3043840F">
            <w:pPr>
              <w:pStyle w:val="6"/>
              <w:spacing w:before="72" w:line="220" w:lineRule="auto"/>
              <w:ind w:left="128"/>
              <w:rPr>
                <w:sz w:val="22"/>
                <w:szCs w:val="22"/>
              </w:rPr>
            </w:pPr>
            <w:r>
              <w:rPr>
                <w:sz w:val="22"/>
                <w:szCs w:val="22"/>
              </w:rPr>
              <w:t>禁止在饮用水水源一</w:t>
            </w:r>
          </w:p>
          <w:p w14:paraId="6EF5BF2B">
            <w:pPr>
              <w:pStyle w:val="6"/>
              <w:spacing w:before="23" w:line="221" w:lineRule="auto"/>
              <w:ind w:left="132"/>
              <w:rPr>
                <w:sz w:val="22"/>
                <w:szCs w:val="22"/>
              </w:rPr>
            </w:pPr>
            <w:r>
              <w:rPr>
                <w:spacing w:val="-2"/>
                <w:sz w:val="22"/>
                <w:szCs w:val="22"/>
              </w:rPr>
              <w:t>级保护区的岸线和河</w:t>
            </w:r>
          </w:p>
          <w:p w14:paraId="26D38780">
            <w:pPr>
              <w:pStyle w:val="6"/>
              <w:spacing w:before="20" w:line="220" w:lineRule="auto"/>
              <w:jc w:val="right"/>
              <w:rPr>
                <w:sz w:val="22"/>
                <w:szCs w:val="22"/>
              </w:rPr>
            </w:pPr>
            <w:r>
              <w:rPr>
                <w:spacing w:val="-13"/>
                <w:sz w:val="22"/>
                <w:szCs w:val="22"/>
              </w:rPr>
              <w:t>段范围内新建、改建、</w:t>
            </w:r>
          </w:p>
          <w:p w14:paraId="3A942F41">
            <w:pPr>
              <w:pStyle w:val="6"/>
              <w:spacing w:before="23" w:line="219" w:lineRule="auto"/>
              <w:ind w:left="128"/>
              <w:rPr>
                <w:sz w:val="22"/>
                <w:szCs w:val="22"/>
              </w:rPr>
            </w:pPr>
            <w:r>
              <w:rPr>
                <w:spacing w:val="-1"/>
                <w:sz w:val="22"/>
                <w:szCs w:val="22"/>
              </w:rPr>
              <w:t>扩建与供水设施和保</w:t>
            </w:r>
          </w:p>
          <w:p w14:paraId="0F52F90F">
            <w:pPr>
              <w:pStyle w:val="6"/>
              <w:spacing w:before="24" w:line="220" w:lineRule="auto"/>
              <w:ind w:left="129"/>
              <w:rPr>
                <w:sz w:val="22"/>
                <w:szCs w:val="22"/>
              </w:rPr>
            </w:pPr>
            <w:r>
              <w:rPr>
                <w:spacing w:val="-1"/>
                <w:sz w:val="22"/>
                <w:szCs w:val="22"/>
              </w:rPr>
              <w:t>护水源无关的项目，</w:t>
            </w:r>
          </w:p>
          <w:p w14:paraId="4BE5C0C2">
            <w:pPr>
              <w:pStyle w:val="6"/>
              <w:spacing w:before="23" w:line="220" w:lineRule="auto"/>
              <w:ind w:left="153"/>
              <w:rPr>
                <w:sz w:val="22"/>
                <w:szCs w:val="22"/>
              </w:rPr>
            </w:pPr>
            <w:r>
              <w:rPr>
                <w:spacing w:val="-4"/>
                <w:sz w:val="22"/>
                <w:szCs w:val="22"/>
              </w:rPr>
              <w:t>以及网箱养殖、畜禽</w:t>
            </w:r>
          </w:p>
          <w:p w14:paraId="5623594B">
            <w:pPr>
              <w:pStyle w:val="6"/>
              <w:spacing w:before="23" w:line="220" w:lineRule="auto"/>
              <w:ind w:left="129"/>
              <w:rPr>
                <w:sz w:val="22"/>
                <w:szCs w:val="22"/>
              </w:rPr>
            </w:pPr>
            <w:r>
              <w:rPr>
                <w:spacing w:val="-1"/>
                <w:sz w:val="22"/>
                <w:szCs w:val="22"/>
              </w:rPr>
              <w:t>养殖、旅游等可能污</w:t>
            </w:r>
          </w:p>
          <w:p w14:paraId="146B0214">
            <w:pPr>
              <w:pStyle w:val="6"/>
              <w:spacing w:before="23" w:line="220" w:lineRule="auto"/>
              <w:ind w:left="132"/>
              <w:rPr>
                <w:sz w:val="22"/>
                <w:szCs w:val="22"/>
              </w:rPr>
            </w:pPr>
            <w:r>
              <w:rPr>
                <w:spacing w:val="-2"/>
                <w:sz w:val="22"/>
                <w:szCs w:val="22"/>
              </w:rPr>
              <w:t>染饮用水水体的投资</w:t>
            </w:r>
          </w:p>
          <w:p w14:paraId="7A29F8BA">
            <w:pPr>
              <w:pStyle w:val="6"/>
              <w:spacing w:before="24" w:line="220" w:lineRule="auto"/>
              <w:ind w:left="131"/>
              <w:rPr>
                <w:sz w:val="22"/>
                <w:szCs w:val="22"/>
              </w:rPr>
            </w:pPr>
            <w:r>
              <w:rPr>
                <w:spacing w:val="-2"/>
                <w:sz w:val="22"/>
                <w:szCs w:val="22"/>
              </w:rPr>
              <w:t>建设项目。禁止在饮</w:t>
            </w:r>
          </w:p>
          <w:p w14:paraId="6947B002">
            <w:pPr>
              <w:pStyle w:val="6"/>
              <w:spacing w:before="23" w:line="220" w:lineRule="auto"/>
              <w:ind w:left="130"/>
              <w:rPr>
                <w:sz w:val="22"/>
                <w:szCs w:val="22"/>
              </w:rPr>
            </w:pPr>
            <w:r>
              <w:rPr>
                <w:spacing w:val="-1"/>
                <w:sz w:val="22"/>
                <w:szCs w:val="22"/>
              </w:rPr>
              <w:t>用水水源二级保护区</w:t>
            </w:r>
          </w:p>
          <w:p w14:paraId="20996630">
            <w:pPr>
              <w:pStyle w:val="6"/>
              <w:spacing w:before="23" w:line="220" w:lineRule="auto"/>
              <w:ind w:left="146"/>
              <w:rPr>
                <w:sz w:val="22"/>
                <w:szCs w:val="22"/>
              </w:rPr>
            </w:pPr>
            <w:r>
              <w:rPr>
                <w:spacing w:val="-3"/>
                <w:sz w:val="22"/>
                <w:szCs w:val="22"/>
              </w:rPr>
              <w:t>的岸线和河段范围内</w:t>
            </w:r>
          </w:p>
          <w:p w14:paraId="03281499">
            <w:pPr>
              <w:pStyle w:val="6"/>
              <w:spacing w:before="21" w:line="220" w:lineRule="auto"/>
              <w:ind w:left="129"/>
              <w:rPr>
                <w:sz w:val="22"/>
                <w:szCs w:val="22"/>
              </w:rPr>
            </w:pPr>
            <w:r>
              <w:rPr>
                <w:spacing w:val="-1"/>
                <w:sz w:val="22"/>
                <w:szCs w:val="22"/>
              </w:rPr>
              <w:t>新建、改建、扩建排</w:t>
            </w:r>
          </w:p>
          <w:p w14:paraId="7F9ACBAC">
            <w:pPr>
              <w:pStyle w:val="6"/>
              <w:spacing w:before="24" w:line="221" w:lineRule="auto"/>
              <w:ind w:left="128"/>
              <w:rPr>
                <w:sz w:val="22"/>
                <w:szCs w:val="22"/>
              </w:rPr>
            </w:pPr>
            <w:r>
              <w:rPr>
                <w:spacing w:val="-1"/>
                <w:sz w:val="22"/>
                <w:szCs w:val="22"/>
              </w:rPr>
              <w:t>放污染物的投资建设</w:t>
            </w:r>
          </w:p>
          <w:p w14:paraId="29FEBF3E">
            <w:pPr>
              <w:pStyle w:val="6"/>
              <w:spacing w:before="22" w:line="221" w:lineRule="auto"/>
              <w:ind w:left="902"/>
              <w:rPr>
                <w:sz w:val="22"/>
                <w:szCs w:val="22"/>
              </w:rPr>
            </w:pPr>
            <w:r>
              <w:rPr>
                <w:spacing w:val="-6"/>
                <w:sz w:val="22"/>
                <w:szCs w:val="22"/>
              </w:rPr>
              <w:t>项目</w:t>
            </w:r>
          </w:p>
        </w:tc>
        <w:tc>
          <w:tcPr>
            <w:tcW w:w="1358" w:type="dxa"/>
            <w:vMerge w:val="restart"/>
            <w:tcBorders>
              <w:bottom w:val="nil"/>
            </w:tcBorders>
            <w:vAlign w:val="top"/>
          </w:tcPr>
          <w:p w14:paraId="720871B7">
            <w:pPr>
              <w:spacing w:line="279" w:lineRule="auto"/>
              <w:rPr>
                <w:rFonts w:ascii="Arial"/>
                <w:sz w:val="21"/>
              </w:rPr>
            </w:pPr>
          </w:p>
          <w:p w14:paraId="2EBBF6E4">
            <w:pPr>
              <w:spacing w:line="279" w:lineRule="auto"/>
              <w:rPr>
                <w:rFonts w:ascii="Arial"/>
                <w:sz w:val="21"/>
              </w:rPr>
            </w:pPr>
          </w:p>
          <w:p w14:paraId="2707301D">
            <w:pPr>
              <w:spacing w:line="279" w:lineRule="auto"/>
              <w:rPr>
                <w:rFonts w:ascii="Arial"/>
                <w:sz w:val="21"/>
              </w:rPr>
            </w:pPr>
          </w:p>
          <w:p w14:paraId="7824ACCA">
            <w:pPr>
              <w:spacing w:line="279" w:lineRule="auto"/>
              <w:rPr>
                <w:rFonts w:ascii="Arial"/>
                <w:sz w:val="21"/>
              </w:rPr>
            </w:pPr>
          </w:p>
          <w:p w14:paraId="029E6F50">
            <w:pPr>
              <w:spacing w:line="280" w:lineRule="auto"/>
              <w:rPr>
                <w:rFonts w:ascii="Arial"/>
                <w:sz w:val="21"/>
              </w:rPr>
            </w:pPr>
          </w:p>
          <w:p w14:paraId="54FBF382">
            <w:pPr>
              <w:pStyle w:val="6"/>
              <w:spacing w:before="72"/>
              <w:ind w:left="138" w:right="120" w:firstLine="1"/>
              <w:jc w:val="both"/>
              <w:rPr>
                <w:sz w:val="22"/>
                <w:szCs w:val="22"/>
              </w:rPr>
            </w:pPr>
            <w:r>
              <w:rPr>
                <w:spacing w:val="-2"/>
                <w:sz w:val="22"/>
                <w:szCs w:val="22"/>
              </w:rPr>
              <w:t>本项目不在饮用水水源一级、二级及准保护区内，且不涉</w:t>
            </w:r>
            <w:r>
              <w:rPr>
                <w:spacing w:val="25"/>
                <w:sz w:val="22"/>
                <w:szCs w:val="22"/>
              </w:rPr>
              <w:t>及水产养</w:t>
            </w:r>
            <w:r>
              <w:rPr>
                <w:spacing w:val="-2"/>
                <w:sz w:val="22"/>
                <w:szCs w:val="22"/>
              </w:rPr>
              <w:t>殖、网箱养</w:t>
            </w:r>
            <w:r>
              <w:rPr>
                <w:spacing w:val="25"/>
                <w:sz w:val="22"/>
                <w:szCs w:val="22"/>
              </w:rPr>
              <w:t>殖等项目</w:t>
            </w:r>
          </w:p>
        </w:tc>
        <w:tc>
          <w:tcPr>
            <w:tcW w:w="714" w:type="dxa"/>
            <w:vMerge w:val="restart"/>
            <w:tcBorders>
              <w:bottom w:val="nil"/>
            </w:tcBorders>
            <w:vAlign w:val="top"/>
          </w:tcPr>
          <w:p w14:paraId="525C329E">
            <w:pPr>
              <w:spacing w:line="265" w:lineRule="auto"/>
              <w:rPr>
                <w:rFonts w:ascii="Arial"/>
                <w:sz w:val="21"/>
              </w:rPr>
            </w:pPr>
          </w:p>
          <w:p w14:paraId="59B7C5B4">
            <w:pPr>
              <w:spacing w:line="265" w:lineRule="auto"/>
              <w:rPr>
                <w:rFonts w:ascii="Arial"/>
                <w:sz w:val="21"/>
              </w:rPr>
            </w:pPr>
          </w:p>
          <w:p w14:paraId="31B1DA48">
            <w:pPr>
              <w:spacing w:line="265" w:lineRule="auto"/>
              <w:rPr>
                <w:rFonts w:ascii="Arial"/>
                <w:sz w:val="21"/>
              </w:rPr>
            </w:pPr>
          </w:p>
          <w:p w14:paraId="6507CA7A">
            <w:pPr>
              <w:spacing w:line="265" w:lineRule="auto"/>
              <w:rPr>
                <w:rFonts w:ascii="Arial"/>
                <w:sz w:val="21"/>
              </w:rPr>
            </w:pPr>
          </w:p>
          <w:p w14:paraId="1D8EE3BB">
            <w:pPr>
              <w:spacing w:line="265" w:lineRule="auto"/>
              <w:rPr>
                <w:rFonts w:ascii="Arial"/>
                <w:sz w:val="21"/>
              </w:rPr>
            </w:pPr>
          </w:p>
          <w:p w14:paraId="2E996873">
            <w:pPr>
              <w:spacing w:line="265" w:lineRule="auto"/>
              <w:rPr>
                <w:rFonts w:ascii="Arial"/>
                <w:sz w:val="21"/>
              </w:rPr>
            </w:pPr>
          </w:p>
          <w:p w14:paraId="5F551837">
            <w:pPr>
              <w:spacing w:line="265" w:lineRule="auto"/>
              <w:rPr>
                <w:rFonts w:ascii="Arial"/>
                <w:sz w:val="21"/>
              </w:rPr>
            </w:pPr>
          </w:p>
          <w:p w14:paraId="3EA46478">
            <w:pPr>
              <w:spacing w:line="266" w:lineRule="auto"/>
              <w:rPr>
                <w:rFonts w:ascii="Arial"/>
                <w:sz w:val="21"/>
              </w:rPr>
            </w:pPr>
          </w:p>
          <w:p w14:paraId="296224F3">
            <w:pPr>
              <w:spacing w:line="266" w:lineRule="auto"/>
              <w:rPr>
                <w:rFonts w:ascii="Arial"/>
                <w:sz w:val="21"/>
              </w:rPr>
            </w:pPr>
          </w:p>
          <w:p w14:paraId="3584DA08">
            <w:pPr>
              <w:pStyle w:val="6"/>
              <w:spacing w:before="72" w:line="220" w:lineRule="auto"/>
              <w:ind w:left="151"/>
              <w:rPr>
                <w:sz w:val="22"/>
                <w:szCs w:val="22"/>
              </w:rPr>
            </w:pPr>
            <w:r>
              <w:rPr>
                <w:spacing w:val="-5"/>
                <w:sz w:val="22"/>
                <w:szCs w:val="22"/>
              </w:rPr>
              <w:t>符合</w:t>
            </w:r>
          </w:p>
        </w:tc>
        <w:tc>
          <w:tcPr>
            <w:tcW w:w="126" w:type="dxa"/>
            <w:tcBorders>
              <w:top w:val="nil"/>
              <w:bottom w:val="nil"/>
              <w:right w:val="single" w:color="000000" w:sz="6" w:space="0"/>
            </w:tcBorders>
            <w:vAlign w:val="top"/>
          </w:tcPr>
          <w:p w14:paraId="7BE8C06C">
            <w:pPr>
              <w:rPr>
                <w:rFonts w:ascii="Arial"/>
                <w:sz w:val="21"/>
              </w:rPr>
            </w:pPr>
          </w:p>
        </w:tc>
      </w:tr>
      <w:tr w14:paraId="7FB74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0" w:hRule="atLeast"/>
        </w:trPr>
        <w:tc>
          <w:tcPr>
            <w:tcW w:w="1400" w:type="dxa"/>
            <w:vMerge w:val="continue"/>
            <w:tcBorders>
              <w:top w:val="nil"/>
              <w:left w:val="single" w:color="000000" w:sz="6" w:space="0"/>
              <w:bottom w:val="nil"/>
            </w:tcBorders>
            <w:vAlign w:val="top"/>
          </w:tcPr>
          <w:p w14:paraId="0261DCD7">
            <w:pPr>
              <w:rPr>
                <w:rFonts w:ascii="Arial"/>
                <w:sz w:val="21"/>
              </w:rPr>
            </w:pPr>
          </w:p>
        </w:tc>
        <w:tc>
          <w:tcPr>
            <w:tcW w:w="113" w:type="dxa"/>
            <w:tcBorders>
              <w:top w:val="nil"/>
              <w:bottom w:val="nil"/>
            </w:tcBorders>
            <w:vAlign w:val="top"/>
          </w:tcPr>
          <w:p w14:paraId="4E406C3B">
            <w:pPr>
              <w:rPr>
                <w:rFonts w:ascii="Arial"/>
                <w:sz w:val="21"/>
              </w:rPr>
            </w:pPr>
          </w:p>
        </w:tc>
        <w:tc>
          <w:tcPr>
            <w:tcW w:w="2942" w:type="dxa"/>
            <w:vAlign w:val="top"/>
          </w:tcPr>
          <w:p w14:paraId="16221A80">
            <w:pPr>
              <w:pStyle w:val="6"/>
              <w:spacing w:before="63" w:line="220" w:lineRule="auto"/>
              <w:ind w:left="154"/>
              <w:rPr>
                <w:sz w:val="22"/>
                <w:szCs w:val="22"/>
              </w:rPr>
            </w:pPr>
            <w:r>
              <w:rPr>
                <w:spacing w:val="-1"/>
                <w:sz w:val="22"/>
                <w:szCs w:val="22"/>
              </w:rPr>
              <w:t>饮用水水源二级保护区的岸</w:t>
            </w:r>
          </w:p>
          <w:p w14:paraId="420F2BA6">
            <w:pPr>
              <w:pStyle w:val="6"/>
              <w:spacing w:before="21" w:line="220" w:lineRule="auto"/>
              <w:ind w:left="157"/>
              <w:rPr>
                <w:sz w:val="22"/>
                <w:szCs w:val="22"/>
              </w:rPr>
            </w:pPr>
            <w:r>
              <w:rPr>
                <w:spacing w:val="-1"/>
                <w:sz w:val="22"/>
                <w:szCs w:val="22"/>
              </w:rPr>
              <w:t>线和河段范围内，除遵守准</w:t>
            </w:r>
          </w:p>
          <w:p w14:paraId="403890B5">
            <w:pPr>
              <w:pStyle w:val="6"/>
              <w:spacing w:before="23" w:line="220" w:lineRule="auto"/>
              <w:ind w:left="155"/>
              <w:rPr>
                <w:sz w:val="22"/>
                <w:szCs w:val="22"/>
              </w:rPr>
            </w:pPr>
            <w:r>
              <w:rPr>
                <w:spacing w:val="-1"/>
                <w:sz w:val="22"/>
                <w:szCs w:val="22"/>
              </w:rPr>
              <w:t>保护区规定外，禁止新建、</w:t>
            </w:r>
          </w:p>
          <w:p w14:paraId="6FCF825E">
            <w:pPr>
              <w:pStyle w:val="6"/>
              <w:spacing w:before="23" w:line="220" w:lineRule="auto"/>
              <w:ind w:left="162"/>
              <w:rPr>
                <w:sz w:val="22"/>
                <w:szCs w:val="22"/>
              </w:rPr>
            </w:pPr>
            <w:r>
              <w:rPr>
                <w:spacing w:val="-2"/>
                <w:sz w:val="22"/>
                <w:szCs w:val="22"/>
              </w:rPr>
              <w:t>改建、扩建排放污染物的投</w:t>
            </w:r>
          </w:p>
          <w:p w14:paraId="45EB98E4">
            <w:pPr>
              <w:pStyle w:val="6"/>
              <w:spacing w:before="23" w:line="213" w:lineRule="auto"/>
              <w:ind w:left="133"/>
              <w:rPr>
                <w:sz w:val="22"/>
                <w:szCs w:val="22"/>
              </w:rPr>
            </w:pPr>
            <w:r>
              <w:rPr>
                <w:spacing w:val="-2"/>
                <w:sz w:val="22"/>
                <w:szCs w:val="22"/>
              </w:rPr>
              <w:t>资建设项目</w:t>
            </w:r>
            <w:r>
              <w:rPr>
                <w:rFonts w:ascii="Times New Roman" w:hAnsi="Times New Roman" w:eastAsia="Times New Roman" w:cs="Times New Roman"/>
                <w:spacing w:val="-2"/>
                <w:sz w:val="22"/>
                <w:szCs w:val="22"/>
              </w:rPr>
              <w:t>;</w:t>
            </w:r>
            <w:r>
              <w:rPr>
                <w:spacing w:val="-2"/>
                <w:sz w:val="22"/>
                <w:szCs w:val="22"/>
              </w:rPr>
              <w:t>禁止从事对水体</w:t>
            </w:r>
          </w:p>
          <w:p w14:paraId="6496D692">
            <w:pPr>
              <w:pStyle w:val="6"/>
              <w:spacing w:before="32" w:line="194" w:lineRule="auto"/>
              <w:ind w:left="266"/>
              <w:rPr>
                <w:sz w:val="22"/>
                <w:szCs w:val="22"/>
              </w:rPr>
            </w:pPr>
            <w:r>
              <w:rPr>
                <w:spacing w:val="-1"/>
                <w:sz w:val="22"/>
                <w:szCs w:val="22"/>
              </w:rPr>
              <w:t>有污染的水产养殖等活动</w:t>
            </w:r>
          </w:p>
        </w:tc>
        <w:tc>
          <w:tcPr>
            <w:tcW w:w="2221" w:type="dxa"/>
            <w:vMerge w:val="continue"/>
            <w:tcBorders>
              <w:top w:val="nil"/>
              <w:bottom w:val="nil"/>
            </w:tcBorders>
            <w:vAlign w:val="top"/>
          </w:tcPr>
          <w:p w14:paraId="339B8D47">
            <w:pPr>
              <w:rPr>
                <w:rFonts w:ascii="Arial"/>
                <w:sz w:val="21"/>
              </w:rPr>
            </w:pPr>
          </w:p>
        </w:tc>
        <w:tc>
          <w:tcPr>
            <w:tcW w:w="1358" w:type="dxa"/>
            <w:vMerge w:val="continue"/>
            <w:tcBorders>
              <w:top w:val="nil"/>
              <w:bottom w:val="nil"/>
            </w:tcBorders>
            <w:vAlign w:val="top"/>
          </w:tcPr>
          <w:p w14:paraId="1D56EAB2">
            <w:pPr>
              <w:rPr>
                <w:rFonts w:ascii="Arial"/>
                <w:sz w:val="21"/>
              </w:rPr>
            </w:pPr>
          </w:p>
        </w:tc>
        <w:tc>
          <w:tcPr>
            <w:tcW w:w="714" w:type="dxa"/>
            <w:vMerge w:val="continue"/>
            <w:tcBorders>
              <w:top w:val="nil"/>
              <w:bottom w:val="nil"/>
            </w:tcBorders>
            <w:vAlign w:val="top"/>
          </w:tcPr>
          <w:p w14:paraId="081BBC59">
            <w:pPr>
              <w:rPr>
                <w:rFonts w:ascii="Arial"/>
                <w:sz w:val="21"/>
              </w:rPr>
            </w:pPr>
          </w:p>
        </w:tc>
        <w:tc>
          <w:tcPr>
            <w:tcW w:w="126" w:type="dxa"/>
            <w:tcBorders>
              <w:top w:val="nil"/>
              <w:bottom w:val="nil"/>
              <w:right w:val="single" w:color="000000" w:sz="6" w:space="0"/>
            </w:tcBorders>
            <w:vAlign w:val="top"/>
          </w:tcPr>
          <w:p w14:paraId="71B9A001">
            <w:pPr>
              <w:rPr>
                <w:rFonts w:ascii="Arial"/>
                <w:sz w:val="21"/>
              </w:rPr>
            </w:pPr>
          </w:p>
        </w:tc>
      </w:tr>
      <w:tr w14:paraId="5A168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7" w:hRule="atLeast"/>
        </w:trPr>
        <w:tc>
          <w:tcPr>
            <w:tcW w:w="1400" w:type="dxa"/>
            <w:vMerge w:val="continue"/>
            <w:tcBorders>
              <w:top w:val="nil"/>
              <w:left w:val="single" w:color="000000" w:sz="6" w:space="0"/>
              <w:bottom w:val="single" w:color="000000" w:sz="6" w:space="0"/>
            </w:tcBorders>
            <w:vAlign w:val="top"/>
          </w:tcPr>
          <w:p w14:paraId="2E77F17C">
            <w:pPr>
              <w:rPr>
                <w:rFonts w:ascii="Arial"/>
                <w:sz w:val="21"/>
              </w:rPr>
            </w:pPr>
          </w:p>
        </w:tc>
        <w:tc>
          <w:tcPr>
            <w:tcW w:w="113" w:type="dxa"/>
            <w:tcBorders>
              <w:top w:val="nil"/>
              <w:bottom w:val="single" w:color="000000" w:sz="6" w:space="0"/>
            </w:tcBorders>
            <w:vAlign w:val="top"/>
          </w:tcPr>
          <w:p w14:paraId="075FF32D">
            <w:pPr>
              <w:rPr>
                <w:rFonts w:ascii="Arial"/>
                <w:sz w:val="21"/>
              </w:rPr>
            </w:pPr>
          </w:p>
        </w:tc>
        <w:tc>
          <w:tcPr>
            <w:tcW w:w="2942" w:type="dxa"/>
            <w:tcBorders>
              <w:bottom w:val="single" w:color="000000" w:sz="6" w:space="0"/>
            </w:tcBorders>
            <w:vAlign w:val="top"/>
          </w:tcPr>
          <w:p w14:paraId="124BF90B">
            <w:pPr>
              <w:pStyle w:val="6"/>
              <w:spacing w:before="50" w:line="237" w:lineRule="auto"/>
              <w:ind w:left="112" w:right="27" w:firstLine="42"/>
              <w:jc w:val="both"/>
              <w:rPr>
                <w:sz w:val="22"/>
                <w:szCs w:val="22"/>
              </w:rPr>
            </w:pPr>
            <w:r>
              <w:rPr>
                <w:spacing w:val="-1"/>
                <w:sz w:val="22"/>
                <w:szCs w:val="22"/>
              </w:rPr>
              <w:t>饮用水水源一级保护区的岸</w:t>
            </w:r>
            <w:r>
              <w:rPr>
                <w:spacing w:val="2"/>
                <w:sz w:val="22"/>
                <w:szCs w:val="22"/>
              </w:rPr>
              <w:t>线和河段范围内，除遵守二</w:t>
            </w:r>
            <w:r>
              <w:rPr>
                <w:spacing w:val="-5"/>
                <w:sz w:val="22"/>
                <w:szCs w:val="22"/>
              </w:rPr>
              <w:t>级保护区规定外，禁止新建、</w:t>
            </w:r>
            <w:r>
              <w:rPr>
                <w:spacing w:val="2"/>
                <w:sz w:val="22"/>
                <w:szCs w:val="22"/>
              </w:rPr>
              <w:t>改建、扩建与供水设施和保护水源无关的项目，以及网箱养殖、畜禽养殖、旅游等可能污染饮用水水体的投资</w:t>
            </w:r>
          </w:p>
        </w:tc>
        <w:tc>
          <w:tcPr>
            <w:tcW w:w="2221" w:type="dxa"/>
            <w:vMerge w:val="continue"/>
            <w:tcBorders>
              <w:top w:val="nil"/>
              <w:bottom w:val="single" w:color="000000" w:sz="6" w:space="0"/>
            </w:tcBorders>
            <w:vAlign w:val="top"/>
          </w:tcPr>
          <w:p w14:paraId="36872781">
            <w:pPr>
              <w:rPr>
                <w:rFonts w:ascii="Arial"/>
                <w:sz w:val="21"/>
              </w:rPr>
            </w:pPr>
          </w:p>
        </w:tc>
        <w:tc>
          <w:tcPr>
            <w:tcW w:w="1358" w:type="dxa"/>
            <w:vMerge w:val="continue"/>
            <w:tcBorders>
              <w:top w:val="nil"/>
              <w:bottom w:val="single" w:color="000000" w:sz="6" w:space="0"/>
            </w:tcBorders>
            <w:vAlign w:val="top"/>
          </w:tcPr>
          <w:p w14:paraId="622A8824">
            <w:pPr>
              <w:rPr>
                <w:rFonts w:ascii="Arial"/>
                <w:sz w:val="21"/>
              </w:rPr>
            </w:pPr>
          </w:p>
        </w:tc>
        <w:tc>
          <w:tcPr>
            <w:tcW w:w="714" w:type="dxa"/>
            <w:vMerge w:val="continue"/>
            <w:tcBorders>
              <w:top w:val="nil"/>
              <w:bottom w:val="single" w:color="000000" w:sz="6" w:space="0"/>
            </w:tcBorders>
            <w:vAlign w:val="top"/>
          </w:tcPr>
          <w:p w14:paraId="03C02F1E">
            <w:pPr>
              <w:rPr>
                <w:rFonts w:ascii="Arial"/>
                <w:sz w:val="21"/>
              </w:rPr>
            </w:pPr>
          </w:p>
        </w:tc>
        <w:tc>
          <w:tcPr>
            <w:tcW w:w="126" w:type="dxa"/>
            <w:tcBorders>
              <w:top w:val="nil"/>
              <w:bottom w:val="single" w:color="000000" w:sz="6" w:space="0"/>
              <w:right w:val="single" w:color="000000" w:sz="6" w:space="0"/>
            </w:tcBorders>
            <w:vAlign w:val="top"/>
          </w:tcPr>
          <w:p w14:paraId="32B8AABA">
            <w:pPr>
              <w:rPr>
                <w:rFonts w:ascii="Arial"/>
                <w:sz w:val="21"/>
              </w:rPr>
            </w:pPr>
          </w:p>
        </w:tc>
      </w:tr>
    </w:tbl>
    <w:p w14:paraId="113D2067">
      <w:pPr>
        <w:pStyle w:val="2"/>
        <w:rPr>
          <w:sz w:val="21"/>
        </w:rPr>
      </w:pPr>
    </w:p>
    <w:p w14:paraId="07CAFE55">
      <w:pPr>
        <w:rPr>
          <w:sz w:val="21"/>
          <w:szCs w:val="21"/>
        </w:rPr>
        <w:sectPr>
          <w:footerReference r:id="rId17" w:type="default"/>
          <w:pgSz w:w="11906" w:h="16839"/>
          <w:pgMar w:top="400" w:right="1508" w:bottom="1234" w:left="1508" w:header="0" w:footer="1002" w:gutter="0"/>
          <w:cols w:space="720" w:num="1"/>
        </w:sectPr>
      </w:pPr>
    </w:p>
    <w:p w14:paraId="26A058FC">
      <w:pPr>
        <w:spacing w:before="19"/>
      </w:pPr>
    </w:p>
    <w:p w14:paraId="1AD4E475">
      <w:pPr>
        <w:spacing w:before="19"/>
      </w:pPr>
    </w:p>
    <w:p w14:paraId="0173BC27">
      <w:pPr>
        <w:spacing w:before="19"/>
      </w:pPr>
    </w:p>
    <w:p w14:paraId="727BE2DD">
      <w:pPr>
        <w:spacing w:before="18"/>
      </w:pPr>
    </w:p>
    <w:p w14:paraId="7BE1B523">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113"/>
        <w:gridCol w:w="2942"/>
        <w:gridCol w:w="2221"/>
        <w:gridCol w:w="1358"/>
        <w:gridCol w:w="714"/>
        <w:gridCol w:w="126"/>
      </w:tblGrid>
      <w:tr w14:paraId="0798E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400" w:type="dxa"/>
            <w:vMerge w:val="restart"/>
            <w:tcBorders>
              <w:top w:val="single" w:color="000000" w:sz="6" w:space="0"/>
              <w:left w:val="single" w:color="000000" w:sz="6" w:space="0"/>
              <w:bottom w:val="nil"/>
            </w:tcBorders>
            <w:vAlign w:val="top"/>
          </w:tcPr>
          <w:p w14:paraId="1E54EF55">
            <w:pPr>
              <w:rPr>
                <w:rFonts w:ascii="Arial"/>
                <w:sz w:val="21"/>
              </w:rPr>
            </w:pPr>
          </w:p>
        </w:tc>
        <w:tc>
          <w:tcPr>
            <w:tcW w:w="113" w:type="dxa"/>
            <w:tcBorders>
              <w:top w:val="single" w:color="000000" w:sz="6" w:space="0"/>
              <w:bottom w:val="nil"/>
            </w:tcBorders>
            <w:vAlign w:val="top"/>
          </w:tcPr>
          <w:p w14:paraId="77143CDB">
            <w:pPr>
              <w:rPr>
                <w:rFonts w:ascii="Arial"/>
                <w:sz w:val="21"/>
              </w:rPr>
            </w:pPr>
          </w:p>
        </w:tc>
        <w:tc>
          <w:tcPr>
            <w:tcW w:w="2942" w:type="dxa"/>
            <w:vAlign w:val="top"/>
          </w:tcPr>
          <w:p w14:paraId="648D578D">
            <w:pPr>
              <w:pStyle w:val="6"/>
              <w:spacing w:before="46" w:line="221" w:lineRule="auto"/>
              <w:ind w:left="1035"/>
              <w:rPr>
                <w:sz w:val="22"/>
                <w:szCs w:val="22"/>
              </w:rPr>
            </w:pPr>
            <w:r>
              <w:rPr>
                <w:spacing w:val="-3"/>
                <w:sz w:val="22"/>
                <w:szCs w:val="22"/>
              </w:rPr>
              <w:t>建设项目</w:t>
            </w:r>
          </w:p>
        </w:tc>
        <w:tc>
          <w:tcPr>
            <w:tcW w:w="2221" w:type="dxa"/>
            <w:vAlign w:val="top"/>
          </w:tcPr>
          <w:p w14:paraId="488EFCA0">
            <w:pPr>
              <w:rPr>
                <w:rFonts w:ascii="Arial"/>
                <w:sz w:val="21"/>
              </w:rPr>
            </w:pPr>
          </w:p>
        </w:tc>
        <w:tc>
          <w:tcPr>
            <w:tcW w:w="1358" w:type="dxa"/>
            <w:vAlign w:val="top"/>
          </w:tcPr>
          <w:p w14:paraId="4BDB7402">
            <w:pPr>
              <w:rPr>
                <w:rFonts w:ascii="Arial"/>
                <w:sz w:val="21"/>
              </w:rPr>
            </w:pPr>
          </w:p>
        </w:tc>
        <w:tc>
          <w:tcPr>
            <w:tcW w:w="714" w:type="dxa"/>
            <w:vAlign w:val="top"/>
          </w:tcPr>
          <w:p w14:paraId="02BD9DAD">
            <w:pPr>
              <w:rPr>
                <w:rFonts w:ascii="Arial"/>
                <w:sz w:val="21"/>
              </w:rPr>
            </w:pPr>
          </w:p>
        </w:tc>
        <w:tc>
          <w:tcPr>
            <w:tcW w:w="126" w:type="dxa"/>
            <w:tcBorders>
              <w:top w:val="single" w:color="000000" w:sz="6" w:space="0"/>
              <w:bottom w:val="nil"/>
              <w:right w:val="single" w:color="000000" w:sz="6" w:space="0"/>
            </w:tcBorders>
            <w:vAlign w:val="top"/>
          </w:tcPr>
          <w:p w14:paraId="7FC0508C">
            <w:pPr>
              <w:rPr>
                <w:rFonts w:ascii="Arial"/>
                <w:sz w:val="21"/>
              </w:rPr>
            </w:pPr>
          </w:p>
        </w:tc>
      </w:tr>
      <w:tr w14:paraId="42912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2" w:hRule="atLeast"/>
        </w:trPr>
        <w:tc>
          <w:tcPr>
            <w:tcW w:w="1400" w:type="dxa"/>
            <w:vMerge w:val="continue"/>
            <w:tcBorders>
              <w:top w:val="nil"/>
              <w:left w:val="single" w:color="000000" w:sz="6" w:space="0"/>
              <w:bottom w:val="nil"/>
            </w:tcBorders>
            <w:vAlign w:val="top"/>
          </w:tcPr>
          <w:p w14:paraId="799B78D3">
            <w:pPr>
              <w:rPr>
                <w:rFonts w:ascii="Arial"/>
                <w:sz w:val="21"/>
              </w:rPr>
            </w:pPr>
          </w:p>
        </w:tc>
        <w:tc>
          <w:tcPr>
            <w:tcW w:w="113" w:type="dxa"/>
            <w:tcBorders>
              <w:top w:val="nil"/>
              <w:bottom w:val="nil"/>
            </w:tcBorders>
            <w:vAlign w:val="top"/>
          </w:tcPr>
          <w:p w14:paraId="776E3C82">
            <w:pPr>
              <w:rPr>
                <w:rFonts w:ascii="Arial"/>
                <w:sz w:val="21"/>
              </w:rPr>
            </w:pPr>
          </w:p>
        </w:tc>
        <w:tc>
          <w:tcPr>
            <w:tcW w:w="2942" w:type="dxa"/>
            <w:vAlign w:val="top"/>
          </w:tcPr>
          <w:p w14:paraId="0F373A13">
            <w:pPr>
              <w:pStyle w:val="6"/>
              <w:spacing w:before="32" w:line="220" w:lineRule="auto"/>
              <w:ind w:left="154"/>
              <w:rPr>
                <w:sz w:val="22"/>
                <w:szCs w:val="22"/>
              </w:rPr>
            </w:pPr>
            <w:r>
              <w:rPr>
                <w:spacing w:val="-1"/>
                <w:sz w:val="22"/>
                <w:szCs w:val="22"/>
              </w:rPr>
              <w:t>禁止在水产种质资源保护区</w:t>
            </w:r>
          </w:p>
          <w:p w14:paraId="3B281400">
            <w:pPr>
              <w:pStyle w:val="6"/>
              <w:spacing w:before="23" w:line="220" w:lineRule="auto"/>
              <w:ind w:left="154"/>
              <w:rPr>
                <w:sz w:val="22"/>
                <w:szCs w:val="22"/>
              </w:rPr>
            </w:pPr>
            <w:r>
              <w:rPr>
                <w:spacing w:val="-1"/>
                <w:sz w:val="22"/>
                <w:szCs w:val="22"/>
              </w:rPr>
              <w:t>岸线和河段范围内新建围湖</w:t>
            </w:r>
          </w:p>
          <w:p w14:paraId="3CAD2988">
            <w:pPr>
              <w:pStyle w:val="6"/>
              <w:spacing w:before="23" w:line="219" w:lineRule="auto"/>
              <w:ind w:left="153"/>
              <w:rPr>
                <w:sz w:val="22"/>
                <w:szCs w:val="22"/>
              </w:rPr>
            </w:pPr>
            <w:r>
              <w:rPr>
                <w:spacing w:val="-1"/>
                <w:sz w:val="22"/>
                <w:szCs w:val="22"/>
              </w:rPr>
              <w:t>造田、围湖造地或挖沙采石</w:t>
            </w:r>
          </w:p>
          <w:p w14:paraId="60862802">
            <w:pPr>
              <w:pStyle w:val="6"/>
              <w:spacing w:before="21" w:line="206" w:lineRule="auto"/>
              <w:ind w:left="706"/>
              <w:rPr>
                <w:sz w:val="22"/>
                <w:szCs w:val="22"/>
              </w:rPr>
            </w:pPr>
            <w:r>
              <w:rPr>
                <w:spacing w:val="-2"/>
                <w:sz w:val="22"/>
                <w:szCs w:val="22"/>
              </w:rPr>
              <w:t>等投资建设项目</w:t>
            </w:r>
          </w:p>
        </w:tc>
        <w:tc>
          <w:tcPr>
            <w:tcW w:w="2221" w:type="dxa"/>
            <w:vMerge w:val="restart"/>
            <w:tcBorders>
              <w:bottom w:val="nil"/>
            </w:tcBorders>
            <w:vAlign w:val="top"/>
          </w:tcPr>
          <w:p w14:paraId="5B12F4EF">
            <w:pPr>
              <w:spacing w:line="336" w:lineRule="auto"/>
              <w:rPr>
                <w:rFonts w:ascii="Arial"/>
                <w:sz w:val="21"/>
              </w:rPr>
            </w:pPr>
          </w:p>
          <w:p w14:paraId="6D55CD30">
            <w:pPr>
              <w:spacing w:line="337" w:lineRule="auto"/>
              <w:rPr>
                <w:rFonts w:ascii="Arial"/>
                <w:sz w:val="21"/>
              </w:rPr>
            </w:pPr>
          </w:p>
          <w:p w14:paraId="3B0DFCE6">
            <w:pPr>
              <w:pStyle w:val="6"/>
              <w:spacing w:before="72"/>
              <w:ind w:left="127" w:right="115"/>
              <w:rPr>
                <w:sz w:val="22"/>
                <w:szCs w:val="22"/>
              </w:rPr>
            </w:pPr>
            <w:r>
              <w:rPr>
                <w:spacing w:val="-1"/>
                <w:sz w:val="22"/>
                <w:szCs w:val="22"/>
              </w:rPr>
              <w:t>禁止在水产种质资源保护区的岸线和河段</w:t>
            </w:r>
            <w:r>
              <w:rPr>
                <w:spacing w:val="13"/>
                <w:sz w:val="22"/>
                <w:szCs w:val="22"/>
              </w:rPr>
              <w:t>范围内新建围湖造</w:t>
            </w:r>
            <w:r>
              <w:rPr>
                <w:spacing w:val="-1"/>
                <w:sz w:val="22"/>
                <w:szCs w:val="22"/>
              </w:rPr>
              <w:t>田、围海造地或围填海等投资建设项目。禁止在国家湿地公园的岸线和河段范围内挖沙、采矿，以及任何不符合主体功能定</w:t>
            </w:r>
            <w:r>
              <w:rPr>
                <w:spacing w:val="13"/>
                <w:sz w:val="22"/>
                <w:szCs w:val="22"/>
              </w:rPr>
              <w:t>位的投资建设项目</w:t>
            </w:r>
          </w:p>
        </w:tc>
        <w:tc>
          <w:tcPr>
            <w:tcW w:w="1358" w:type="dxa"/>
            <w:vMerge w:val="restart"/>
            <w:tcBorders>
              <w:bottom w:val="nil"/>
            </w:tcBorders>
            <w:vAlign w:val="top"/>
          </w:tcPr>
          <w:p w14:paraId="4A09B1A0">
            <w:pPr>
              <w:spacing w:line="319" w:lineRule="auto"/>
              <w:rPr>
                <w:rFonts w:ascii="Arial"/>
                <w:sz w:val="21"/>
              </w:rPr>
            </w:pPr>
          </w:p>
          <w:p w14:paraId="650A912D">
            <w:pPr>
              <w:spacing w:line="319" w:lineRule="auto"/>
              <w:rPr>
                <w:rFonts w:ascii="Arial"/>
                <w:sz w:val="21"/>
              </w:rPr>
            </w:pPr>
          </w:p>
          <w:p w14:paraId="7BB1F7D0">
            <w:pPr>
              <w:spacing w:line="319" w:lineRule="auto"/>
              <w:rPr>
                <w:rFonts w:ascii="Arial"/>
                <w:sz w:val="21"/>
              </w:rPr>
            </w:pPr>
          </w:p>
          <w:p w14:paraId="243A60E5">
            <w:pPr>
              <w:pStyle w:val="6"/>
              <w:spacing w:before="71"/>
              <w:ind w:left="138" w:right="120" w:firstLine="1"/>
              <w:jc w:val="both"/>
              <w:rPr>
                <w:sz w:val="22"/>
                <w:szCs w:val="22"/>
              </w:rPr>
            </w:pPr>
            <w:r>
              <w:rPr>
                <w:spacing w:val="-2"/>
                <w:sz w:val="22"/>
                <w:szCs w:val="22"/>
              </w:rPr>
              <w:t>本项目不涉及水产种质</w:t>
            </w:r>
            <w:r>
              <w:rPr>
                <w:spacing w:val="25"/>
                <w:sz w:val="22"/>
                <w:szCs w:val="22"/>
              </w:rPr>
              <w:t>资源保护</w:t>
            </w:r>
            <w:r>
              <w:rPr>
                <w:spacing w:val="-2"/>
                <w:sz w:val="22"/>
                <w:szCs w:val="22"/>
              </w:rPr>
              <w:t>区；本项目</w:t>
            </w:r>
            <w:r>
              <w:rPr>
                <w:spacing w:val="25"/>
                <w:sz w:val="22"/>
                <w:szCs w:val="22"/>
              </w:rPr>
              <w:t>非工业项</w:t>
            </w:r>
            <w:r>
              <w:rPr>
                <w:spacing w:val="-2"/>
                <w:sz w:val="22"/>
                <w:szCs w:val="22"/>
              </w:rPr>
              <w:t>目，不属于挖沙、采矿等类型项目</w:t>
            </w:r>
          </w:p>
        </w:tc>
        <w:tc>
          <w:tcPr>
            <w:tcW w:w="714" w:type="dxa"/>
            <w:vMerge w:val="restart"/>
            <w:tcBorders>
              <w:bottom w:val="nil"/>
            </w:tcBorders>
            <w:vAlign w:val="top"/>
          </w:tcPr>
          <w:p w14:paraId="46ECA049">
            <w:pPr>
              <w:spacing w:line="243" w:lineRule="auto"/>
              <w:rPr>
                <w:rFonts w:ascii="Arial"/>
                <w:sz w:val="21"/>
              </w:rPr>
            </w:pPr>
          </w:p>
          <w:p w14:paraId="24C032BC">
            <w:pPr>
              <w:spacing w:line="243" w:lineRule="auto"/>
              <w:rPr>
                <w:rFonts w:ascii="Arial"/>
                <w:sz w:val="21"/>
              </w:rPr>
            </w:pPr>
          </w:p>
          <w:p w14:paraId="25A34F47">
            <w:pPr>
              <w:spacing w:line="244" w:lineRule="auto"/>
              <w:rPr>
                <w:rFonts w:ascii="Arial"/>
                <w:sz w:val="21"/>
              </w:rPr>
            </w:pPr>
          </w:p>
          <w:p w14:paraId="50C0B33D">
            <w:pPr>
              <w:spacing w:line="244" w:lineRule="auto"/>
              <w:rPr>
                <w:rFonts w:ascii="Arial"/>
                <w:sz w:val="21"/>
              </w:rPr>
            </w:pPr>
          </w:p>
          <w:p w14:paraId="681F7080">
            <w:pPr>
              <w:spacing w:line="244" w:lineRule="auto"/>
              <w:rPr>
                <w:rFonts w:ascii="Arial"/>
                <w:sz w:val="21"/>
              </w:rPr>
            </w:pPr>
          </w:p>
          <w:p w14:paraId="71EC4AA2">
            <w:pPr>
              <w:spacing w:line="244" w:lineRule="auto"/>
              <w:rPr>
                <w:rFonts w:ascii="Arial"/>
                <w:sz w:val="21"/>
              </w:rPr>
            </w:pPr>
          </w:p>
          <w:p w14:paraId="688C8BC2">
            <w:pPr>
              <w:spacing w:line="244" w:lineRule="auto"/>
              <w:rPr>
                <w:rFonts w:ascii="Arial"/>
                <w:sz w:val="21"/>
              </w:rPr>
            </w:pPr>
          </w:p>
          <w:p w14:paraId="0838E750">
            <w:pPr>
              <w:spacing w:line="244" w:lineRule="auto"/>
              <w:rPr>
                <w:rFonts w:ascii="Arial"/>
                <w:sz w:val="21"/>
              </w:rPr>
            </w:pPr>
          </w:p>
          <w:p w14:paraId="1A392FBF">
            <w:pPr>
              <w:pStyle w:val="6"/>
              <w:spacing w:before="72" w:line="220" w:lineRule="auto"/>
              <w:ind w:left="151"/>
              <w:rPr>
                <w:sz w:val="22"/>
                <w:szCs w:val="22"/>
              </w:rPr>
            </w:pPr>
            <w:r>
              <w:rPr>
                <w:spacing w:val="-5"/>
                <w:sz w:val="22"/>
                <w:szCs w:val="22"/>
              </w:rPr>
              <w:t>符合</w:t>
            </w:r>
          </w:p>
        </w:tc>
        <w:tc>
          <w:tcPr>
            <w:tcW w:w="126" w:type="dxa"/>
            <w:tcBorders>
              <w:top w:val="nil"/>
              <w:bottom w:val="nil"/>
              <w:right w:val="single" w:color="000000" w:sz="6" w:space="0"/>
            </w:tcBorders>
            <w:vAlign w:val="top"/>
          </w:tcPr>
          <w:p w14:paraId="2A540C01">
            <w:pPr>
              <w:rPr>
                <w:rFonts w:ascii="Arial"/>
                <w:sz w:val="21"/>
              </w:rPr>
            </w:pPr>
          </w:p>
        </w:tc>
      </w:tr>
      <w:tr w14:paraId="759EF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3" w:hRule="atLeast"/>
        </w:trPr>
        <w:tc>
          <w:tcPr>
            <w:tcW w:w="1400" w:type="dxa"/>
            <w:vMerge w:val="continue"/>
            <w:tcBorders>
              <w:top w:val="nil"/>
              <w:left w:val="single" w:color="000000" w:sz="6" w:space="0"/>
              <w:bottom w:val="nil"/>
            </w:tcBorders>
            <w:vAlign w:val="top"/>
          </w:tcPr>
          <w:p w14:paraId="106D9D5A">
            <w:pPr>
              <w:rPr>
                <w:rFonts w:ascii="Arial"/>
                <w:sz w:val="21"/>
              </w:rPr>
            </w:pPr>
          </w:p>
        </w:tc>
        <w:tc>
          <w:tcPr>
            <w:tcW w:w="113" w:type="dxa"/>
            <w:tcBorders>
              <w:top w:val="nil"/>
              <w:bottom w:val="nil"/>
            </w:tcBorders>
            <w:vAlign w:val="top"/>
          </w:tcPr>
          <w:p w14:paraId="023514F3">
            <w:pPr>
              <w:rPr>
                <w:rFonts w:ascii="Arial"/>
                <w:sz w:val="21"/>
              </w:rPr>
            </w:pPr>
          </w:p>
        </w:tc>
        <w:tc>
          <w:tcPr>
            <w:tcW w:w="2942" w:type="dxa"/>
            <w:vAlign w:val="top"/>
          </w:tcPr>
          <w:p w14:paraId="40C61A28">
            <w:pPr>
              <w:pStyle w:val="6"/>
              <w:spacing w:before="37" w:line="220" w:lineRule="auto"/>
              <w:ind w:left="154"/>
              <w:rPr>
                <w:sz w:val="22"/>
                <w:szCs w:val="22"/>
              </w:rPr>
            </w:pPr>
            <w:r>
              <w:rPr>
                <w:spacing w:val="-1"/>
                <w:sz w:val="22"/>
                <w:szCs w:val="22"/>
              </w:rPr>
              <w:t>禁止在国家湿地公园的岸线</w:t>
            </w:r>
          </w:p>
          <w:p w14:paraId="7A698037">
            <w:pPr>
              <w:pStyle w:val="6"/>
              <w:spacing w:before="23" w:line="211" w:lineRule="auto"/>
              <w:ind w:left="110"/>
              <w:rPr>
                <w:sz w:val="22"/>
                <w:szCs w:val="22"/>
              </w:rPr>
            </w:pPr>
            <w:r>
              <w:rPr>
                <w:spacing w:val="-5"/>
                <w:sz w:val="22"/>
                <w:szCs w:val="22"/>
              </w:rPr>
              <w:t>和河段范围内开</w:t>
            </w:r>
            <w:r>
              <w:rPr>
                <w:rFonts w:ascii="Times New Roman" w:hAnsi="Times New Roman" w:eastAsia="Times New Roman" w:cs="Times New Roman"/>
                <w:spacing w:val="-5"/>
                <w:sz w:val="22"/>
                <w:szCs w:val="22"/>
              </w:rPr>
              <w:t>(</w:t>
            </w:r>
            <w:r>
              <w:rPr>
                <w:spacing w:val="-5"/>
                <w:sz w:val="22"/>
                <w:szCs w:val="22"/>
              </w:rPr>
              <w:t>围</w:t>
            </w:r>
            <w:r>
              <w:rPr>
                <w:rFonts w:ascii="Times New Roman" w:hAnsi="Times New Roman" w:eastAsia="Times New Roman" w:cs="Times New Roman"/>
                <w:spacing w:val="-5"/>
                <w:sz w:val="22"/>
                <w:szCs w:val="22"/>
              </w:rPr>
              <w:t>)</w:t>
            </w:r>
            <w:r>
              <w:rPr>
                <w:spacing w:val="-5"/>
                <w:sz w:val="22"/>
                <w:szCs w:val="22"/>
              </w:rPr>
              <w:t>垦、填埋</w:t>
            </w:r>
          </w:p>
          <w:p w14:paraId="7FE7C186">
            <w:pPr>
              <w:pStyle w:val="6"/>
              <w:spacing w:before="32" w:line="219" w:lineRule="auto"/>
              <w:ind w:left="157"/>
              <w:rPr>
                <w:sz w:val="22"/>
                <w:szCs w:val="22"/>
              </w:rPr>
            </w:pPr>
            <w:r>
              <w:rPr>
                <w:spacing w:val="-1"/>
                <w:sz w:val="22"/>
                <w:szCs w:val="22"/>
              </w:rPr>
              <w:t>或者排干湿地，截断湿地水</w:t>
            </w:r>
          </w:p>
          <w:p w14:paraId="2654785F">
            <w:pPr>
              <w:pStyle w:val="6"/>
              <w:spacing w:before="24" w:line="219" w:lineRule="auto"/>
              <w:ind w:left="153"/>
              <w:rPr>
                <w:sz w:val="22"/>
                <w:szCs w:val="22"/>
              </w:rPr>
            </w:pPr>
            <w:r>
              <w:rPr>
                <w:spacing w:val="-1"/>
                <w:sz w:val="22"/>
                <w:szCs w:val="22"/>
              </w:rPr>
              <w:t>源，挖沙、采矿，倾倒有毒</w:t>
            </w:r>
          </w:p>
          <w:p w14:paraId="39C24B67">
            <w:pPr>
              <w:pStyle w:val="6"/>
              <w:spacing w:before="24" w:line="220" w:lineRule="auto"/>
              <w:ind w:left="155"/>
              <w:rPr>
                <w:sz w:val="22"/>
                <w:szCs w:val="22"/>
              </w:rPr>
            </w:pPr>
            <w:r>
              <w:rPr>
                <w:spacing w:val="-1"/>
                <w:sz w:val="22"/>
                <w:szCs w:val="22"/>
              </w:rPr>
              <w:t>有害物质、废弃物、垃圾，</w:t>
            </w:r>
          </w:p>
          <w:p w14:paraId="393EE830">
            <w:pPr>
              <w:pStyle w:val="6"/>
              <w:spacing w:before="23" w:line="219" w:lineRule="auto"/>
              <w:ind w:left="157"/>
              <w:rPr>
                <w:sz w:val="22"/>
                <w:szCs w:val="22"/>
              </w:rPr>
            </w:pPr>
            <w:r>
              <w:rPr>
                <w:spacing w:val="-1"/>
                <w:sz w:val="22"/>
                <w:szCs w:val="22"/>
              </w:rPr>
              <w:t>从事房地产、度假村、高尔</w:t>
            </w:r>
          </w:p>
          <w:p w14:paraId="7626262E">
            <w:pPr>
              <w:pStyle w:val="6"/>
              <w:spacing w:before="25" w:line="219" w:lineRule="auto"/>
              <w:ind w:left="158"/>
              <w:rPr>
                <w:sz w:val="22"/>
                <w:szCs w:val="22"/>
              </w:rPr>
            </w:pPr>
            <w:r>
              <w:rPr>
                <w:spacing w:val="-1"/>
                <w:sz w:val="22"/>
                <w:szCs w:val="22"/>
              </w:rPr>
              <w:t>夫球场、风力发电、光伏发</w:t>
            </w:r>
          </w:p>
          <w:p w14:paraId="0FB936D3">
            <w:pPr>
              <w:pStyle w:val="6"/>
              <w:spacing w:before="24" w:line="220" w:lineRule="auto"/>
              <w:ind w:left="180"/>
              <w:rPr>
                <w:sz w:val="22"/>
                <w:szCs w:val="22"/>
              </w:rPr>
            </w:pPr>
            <w:r>
              <w:rPr>
                <w:spacing w:val="-3"/>
                <w:sz w:val="22"/>
                <w:szCs w:val="22"/>
              </w:rPr>
              <w:t>电等任何不符合主体功能定</w:t>
            </w:r>
          </w:p>
          <w:p w14:paraId="57B83BA6">
            <w:pPr>
              <w:pStyle w:val="6"/>
              <w:spacing w:before="23" w:line="221" w:lineRule="auto"/>
              <w:ind w:left="154"/>
              <w:rPr>
                <w:sz w:val="22"/>
                <w:szCs w:val="22"/>
              </w:rPr>
            </w:pPr>
            <w:r>
              <w:rPr>
                <w:spacing w:val="-1"/>
                <w:sz w:val="22"/>
                <w:szCs w:val="22"/>
              </w:rPr>
              <w:t>位的建设项目和开发活动，</w:t>
            </w:r>
          </w:p>
          <w:p w14:paraId="42AC9E54">
            <w:pPr>
              <w:pStyle w:val="6"/>
              <w:spacing w:before="20" w:line="221" w:lineRule="auto"/>
              <w:ind w:left="153"/>
              <w:rPr>
                <w:sz w:val="22"/>
                <w:szCs w:val="22"/>
              </w:rPr>
            </w:pPr>
            <w:r>
              <w:rPr>
                <w:spacing w:val="-1"/>
                <w:sz w:val="22"/>
                <w:szCs w:val="22"/>
              </w:rPr>
              <w:t>破坏野生动物栖息地和迁徙</w:t>
            </w:r>
          </w:p>
          <w:p w14:paraId="7D9D1B3F">
            <w:pPr>
              <w:pStyle w:val="6"/>
              <w:spacing w:before="25" w:line="203" w:lineRule="auto"/>
              <w:ind w:left="483"/>
              <w:rPr>
                <w:sz w:val="22"/>
                <w:szCs w:val="22"/>
              </w:rPr>
            </w:pPr>
            <w:r>
              <w:rPr>
                <w:spacing w:val="-1"/>
                <w:sz w:val="22"/>
                <w:szCs w:val="22"/>
              </w:rPr>
              <w:t>通道、鱼类洄游通道</w:t>
            </w:r>
          </w:p>
        </w:tc>
        <w:tc>
          <w:tcPr>
            <w:tcW w:w="2221" w:type="dxa"/>
            <w:vMerge w:val="continue"/>
            <w:tcBorders>
              <w:top w:val="nil"/>
            </w:tcBorders>
            <w:vAlign w:val="top"/>
          </w:tcPr>
          <w:p w14:paraId="6969B1CD">
            <w:pPr>
              <w:rPr>
                <w:rFonts w:ascii="Arial"/>
                <w:sz w:val="21"/>
              </w:rPr>
            </w:pPr>
          </w:p>
        </w:tc>
        <w:tc>
          <w:tcPr>
            <w:tcW w:w="1358" w:type="dxa"/>
            <w:vMerge w:val="continue"/>
            <w:tcBorders>
              <w:top w:val="nil"/>
            </w:tcBorders>
            <w:vAlign w:val="top"/>
          </w:tcPr>
          <w:p w14:paraId="57757760">
            <w:pPr>
              <w:rPr>
                <w:rFonts w:ascii="Arial"/>
                <w:sz w:val="21"/>
              </w:rPr>
            </w:pPr>
          </w:p>
        </w:tc>
        <w:tc>
          <w:tcPr>
            <w:tcW w:w="714" w:type="dxa"/>
            <w:vMerge w:val="continue"/>
            <w:tcBorders>
              <w:top w:val="nil"/>
            </w:tcBorders>
            <w:vAlign w:val="top"/>
          </w:tcPr>
          <w:p w14:paraId="3F84C9DF">
            <w:pPr>
              <w:rPr>
                <w:rFonts w:ascii="Arial"/>
                <w:sz w:val="21"/>
              </w:rPr>
            </w:pPr>
          </w:p>
        </w:tc>
        <w:tc>
          <w:tcPr>
            <w:tcW w:w="126" w:type="dxa"/>
            <w:tcBorders>
              <w:top w:val="nil"/>
              <w:bottom w:val="nil"/>
              <w:right w:val="single" w:color="000000" w:sz="6" w:space="0"/>
            </w:tcBorders>
            <w:vAlign w:val="top"/>
          </w:tcPr>
          <w:p w14:paraId="5857DB87">
            <w:pPr>
              <w:rPr>
                <w:rFonts w:ascii="Arial"/>
                <w:sz w:val="21"/>
              </w:rPr>
            </w:pPr>
          </w:p>
        </w:tc>
      </w:tr>
      <w:tr w14:paraId="4F027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7" w:hRule="atLeast"/>
        </w:trPr>
        <w:tc>
          <w:tcPr>
            <w:tcW w:w="1400" w:type="dxa"/>
            <w:vMerge w:val="continue"/>
            <w:tcBorders>
              <w:top w:val="nil"/>
              <w:left w:val="single" w:color="000000" w:sz="6" w:space="0"/>
              <w:bottom w:val="nil"/>
            </w:tcBorders>
            <w:vAlign w:val="top"/>
          </w:tcPr>
          <w:p w14:paraId="5C0B9C01">
            <w:pPr>
              <w:rPr>
                <w:rFonts w:ascii="Arial"/>
                <w:sz w:val="21"/>
              </w:rPr>
            </w:pPr>
          </w:p>
        </w:tc>
        <w:tc>
          <w:tcPr>
            <w:tcW w:w="113" w:type="dxa"/>
            <w:tcBorders>
              <w:top w:val="nil"/>
              <w:bottom w:val="nil"/>
            </w:tcBorders>
            <w:vAlign w:val="top"/>
          </w:tcPr>
          <w:p w14:paraId="41348504">
            <w:pPr>
              <w:rPr>
                <w:rFonts w:ascii="Arial"/>
                <w:sz w:val="21"/>
              </w:rPr>
            </w:pPr>
          </w:p>
        </w:tc>
        <w:tc>
          <w:tcPr>
            <w:tcW w:w="2942" w:type="dxa"/>
            <w:vAlign w:val="top"/>
          </w:tcPr>
          <w:p w14:paraId="6489DF95">
            <w:pPr>
              <w:pStyle w:val="6"/>
              <w:spacing w:before="38" w:line="232" w:lineRule="auto"/>
              <w:ind w:left="153" w:right="150"/>
              <w:jc w:val="both"/>
              <w:rPr>
                <w:sz w:val="22"/>
                <w:szCs w:val="22"/>
              </w:rPr>
            </w:pPr>
            <w:r>
              <w:rPr>
                <w:spacing w:val="-5"/>
                <w:sz w:val="22"/>
                <w:szCs w:val="22"/>
              </w:rPr>
              <w:t>禁止违法利用、</w:t>
            </w:r>
            <w:r>
              <w:rPr>
                <w:spacing w:val="-60"/>
                <w:sz w:val="22"/>
                <w:szCs w:val="22"/>
              </w:rPr>
              <w:t xml:space="preserve"> </w:t>
            </w:r>
            <w:r>
              <w:rPr>
                <w:spacing w:val="-5"/>
                <w:sz w:val="22"/>
                <w:szCs w:val="22"/>
              </w:rPr>
              <w:t>占用长江流</w:t>
            </w:r>
            <w:r>
              <w:rPr>
                <w:spacing w:val="-1"/>
                <w:sz w:val="22"/>
                <w:szCs w:val="22"/>
              </w:rPr>
              <w:t>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2221" w:type="dxa"/>
            <w:vMerge w:val="restart"/>
            <w:tcBorders>
              <w:bottom w:val="nil"/>
            </w:tcBorders>
            <w:vAlign w:val="top"/>
          </w:tcPr>
          <w:p w14:paraId="7CA0722E">
            <w:pPr>
              <w:pStyle w:val="6"/>
              <w:spacing w:before="36" w:line="220" w:lineRule="auto"/>
              <w:ind w:left="128"/>
              <w:rPr>
                <w:sz w:val="22"/>
                <w:szCs w:val="22"/>
              </w:rPr>
            </w:pPr>
            <w:r>
              <w:rPr>
                <w:spacing w:val="-6"/>
                <w:sz w:val="22"/>
                <w:szCs w:val="22"/>
              </w:rPr>
              <w:t>禁止违法利用、</w:t>
            </w:r>
            <w:r>
              <w:rPr>
                <w:spacing w:val="-64"/>
                <w:sz w:val="22"/>
                <w:szCs w:val="22"/>
              </w:rPr>
              <w:t xml:space="preserve"> </w:t>
            </w:r>
            <w:r>
              <w:rPr>
                <w:spacing w:val="-6"/>
                <w:sz w:val="22"/>
                <w:szCs w:val="22"/>
              </w:rPr>
              <w:t>占用</w:t>
            </w:r>
          </w:p>
          <w:p w14:paraId="5D7514CD">
            <w:pPr>
              <w:pStyle w:val="6"/>
              <w:spacing w:before="23" w:line="221" w:lineRule="auto"/>
              <w:ind w:left="129"/>
              <w:rPr>
                <w:sz w:val="22"/>
                <w:szCs w:val="22"/>
              </w:rPr>
            </w:pPr>
            <w:r>
              <w:rPr>
                <w:spacing w:val="-1"/>
                <w:sz w:val="22"/>
                <w:szCs w:val="22"/>
              </w:rPr>
              <w:t>长江流域河湖岸线。</w:t>
            </w:r>
          </w:p>
          <w:p w14:paraId="7F0816FA">
            <w:pPr>
              <w:pStyle w:val="6"/>
              <w:spacing w:before="22" w:line="220" w:lineRule="auto"/>
              <w:ind w:left="128"/>
              <w:rPr>
                <w:sz w:val="22"/>
                <w:szCs w:val="22"/>
              </w:rPr>
            </w:pPr>
            <w:r>
              <w:rPr>
                <w:spacing w:val="-1"/>
                <w:sz w:val="22"/>
                <w:szCs w:val="22"/>
              </w:rPr>
              <w:t>禁止在《长江岸线保</w:t>
            </w:r>
          </w:p>
          <w:p w14:paraId="0DCAA97A">
            <w:pPr>
              <w:pStyle w:val="6"/>
              <w:spacing w:before="23" w:line="221" w:lineRule="auto"/>
              <w:ind w:left="129"/>
              <w:rPr>
                <w:sz w:val="22"/>
                <w:szCs w:val="22"/>
              </w:rPr>
            </w:pPr>
            <w:r>
              <w:rPr>
                <w:spacing w:val="-1"/>
                <w:sz w:val="22"/>
                <w:szCs w:val="22"/>
              </w:rPr>
              <w:t>护和开发利用总体规</w:t>
            </w:r>
          </w:p>
          <w:p w14:paraId="46E0783B">
            <w:pPr>
              <w:pStyle w:val="6"/>
              <w:spacing w:before="22" w:line="221" w:lineRule="auto"/>
              <w:ind w:left="127"/>
              <w:rPr>
                <w:sz w:val="22"/>
                <w:szCs w:val="22"/>
              </w:rPr>
            </w:pPr>
            <w:r>
              <w:rPr>
                <w:spacing w:val="-1"/>
                <w:sz w:val="22"/>
                <w:szCs w:val="22"/>
              </w:rPr>
              <w:t>划》划定的岸线保护</w:t>
            </w:r>
          </w:p>
          <w:p w14:paraId="4CFFDC7F">
            <w:pPr>
              <w:pStyle w:val="6"/>
              <w:spacing w:before="22" w:line="220" w:lineRule="auto"/>
              <w:ind w:left="145"/>
              <w:rPr>
                <w:sz w:val="22"/>
                <w:szCs w:val="22"/>
              </w:rPr>
            </w:pPr>
            <w:r>
              <w:rPr>
                <w:spacing w:val="-3"/>
                <w:sz w:val="22"/>
                <w:szCs w:val="22"/>
              </w:rPr>
              <w:t>区和保留区内投资建</w:t>
            </w:r>
          </w:p>
          <w:p w14:paraId="3DE7273E">
            <w:pPr>
              <w:pStyle w:val="6"/>
              <w:spacing w:before="21" w:line="220" w:lineRule="auto"/>
              <w:ind w:left="132"/>
              <w:rPr>
                <w:sz w:val="22"/>
                <w:szCs w:val="22"/>
              </w:rPr>
            </w:pPr>
            <w:r>
              <w:rPr>
                <w:spacing w:val="-2"/>
                <w:sz w:val="22"/>
                <w:szCs w:val="22"/>
              </w:rPr>
              <w:t>设除事关公共安全及</w:t>
            </w:r>
          </w:p>
          <w:p w14:paraId="735CB20B">
            <w:pPr>
              <w:pStyle w:val="6"/>
              <w:spacing w:before="25" w:line="220" w:lineRule="auto"/>
              <w:ind w:left="246"/>
              <w:rPr>
                <w:sz w:val="22"/>
                <w:szCs w:val="22"/>
              </w:rPr>
            </w:pPr>
            <w:r>
              <w:rPr>
                <w:spacing w:val="-2"/>
                <w:sz w:val="22"/>
                <w:szCs w:val="22"/>
              </w:rPr>
              <w:t>公众利益的防洪护</w:t>
            </w:r>
          </w:p>
          <w:p w14:paraId="0ADC6A54">
            <w:pPr>
              <w:pStyle w:val="6"/>
              <w:spacing w:before="21" w:line="219" w:lineRule="auto"/>
              <w:jc w:val="right"/>
              <w:rPr>
                <w:sz w:val="22"/>
                <w:szCs w:val="22"/>
              </w:rPr>
            </w:pPr>
            <w:r>
              <w:rPr>
                <w:spacing w:val="-13"/>
                <w:sz w:val="22"/>
                <w:szCs w:val="22"/>
              </w:rPr>
              <w:t>岸、河道治理、供水、</w:t>
            </w:r>
          </w:p>
          <w:p w14:paraId="6DED323D">
            <w:pPr>
              <w:pStyle w:val="6"/>
              <w:spacing w:before="24" w:line="221" w:lineRule="auto"/>
              <w:ind w:left="130"/>
              <w:rPr>
                <w:sz w:val="22"/>
                <w:szCs w:val="22"/>
              </w:rPr>
            </w:pPr>
            <w:r>
              <w:rPr>
                <w:spacing w:val="-1"/>
                <w:sz w:val="22"/>
                <w:szCs w:val="22"/>
              </w:rPr>
              <w:t>生态环境保护、航道</w:t>
            </w:r>
          </w:p>
          <w:p w14:paraId="1D0B28F8">
            <w:pPr>
              <w:pStyle w:val="6"/>
              <w:spacing w:before="23" w:line="221" w:lineRule="auto"/>
              <w:ind w:left="129"/>
              <w:rPr>
                <w:sz w:val="22"/>
                <w:szCs w:val="22"/>
              </w:rPr>
            </w:pPr>
            <w:r>
              <w:rPr>
                <w:spacing w:val="-1"/>
                <w:sz w:val="22"/>
                <w:szCs w:val="22"/>
              </w:rPr>
              <w:t>整治、国家重要基础</w:t>
            </w:r>
          </w:p>
          <w:p w14:paraId="06C0255A">
            <w:pPr>
              <w:pStyle w:val="6"/>
              <w:spacing w:before="22" w:line="220" w:lineRule="auto"/>
              <w:ind w:left="132"/>
              <w:rPr>
                <w:sz w:val="22"/>
                <w:szCs w:val="22"/>
              </w:rPr>
            </w:pPr>
            <w:r>
              <w:rPr>
                <w:spacing w:val="-1"/>
                <w:sz w:val="22"/>
                <w:szCs w:val="22"/>
              </w:rPr>
              <w:t>设施以外的项目。禁</w:t>
            </w:r>
          </w:p>
          <w:p w14:paraId="3FAD298A">
            <w:pPr>
              <w:pStyle w:val="6"/>
              <w:spacing w:before="24" w:line="222" w:lineRule="auto"/>
              <w:ind w:left="129"/>
              <w:rPr>
                <w:sz w:val="22"/>
                <w:szCs w:val="22"/>
              </w:rPr>
            </w:pPr>
            <w:r>
              <w:rPr>
                <w:spacing w:val="-1"/>
                <w:sz w:val="22"/>
                <w:szCs w:val="22"/>
              </w:rPr>
              <w:t>止在《全国重要江河</w:t>
            </w:r>
          </w:p>
          <w:p w14:paraId="2A1020A6">
            <w:pPr>
              <w:pStyle w:val="6"/>
              <w:spacing w:before="21" w:line="220" w:lineRule="auto"/>
              <w:ind w:left="127"/>
              <w:rPr>
                <w:sz w:val="22"/>
                <w:szCs w:val="22"/>
              </w:rPr>
            </w:pPr>
            <w:r>
              <w:rPr>
                <w:spacing w:val="-1"/>
                <w:sz w:val="22"/>
                <w:szCs w:val="22"/>
              </w:rPr>
              <w:t>湖泊水功能区划》划</w:t>
            </w:r>
          </w:p>
          <w:p w14:paraId="46B33C47">
            <w:pPr>
              <w:pStyle w:val="6"/>
              <w:spacing w:before="23" w:line="221" w:lineRule="auto"/>
              <w:ind w:left="134"/>
              <w:rPr>
                <w:sz w:val="22"/>
                <w:szCs w:val="22"/>
              </w:rPr>
            </w:pPr>
            <w:r>
              <w:rPr>
                <w:spacing w:val="-2"/>
                <w:sz w:val="22"/>
                <w:szCs w:val="22"/>
              </w:rPr>
              <w:t>定的河段及湖泊保护</w:t>
            </w:r>
          </w:p>
          <w:p w14:paraId="664D4B7E">
            <w:pPr>
              <w:pStyle w:val="6"/>
              <w:spacing w:before="20" w:line="220" w:lineRule="auto"/>
              <w:ind w:left="145"/>
              <w:rPr>
                <w:sz w:val="22"/>
                <w:szCs w:val="22"/>
              </w:rPr>
            </w:pPr>
            <w:r>
              <w:rPr>
                <w:spacing w:val="-3"/>
                <w:sz w:val="22"/>
                <w:szCs w:val="22"/>
              </w:rPr>
              <w:t>区、保留区内投资建</w:t>
            </w:r>
          </w:p>
          <w:p w14:paraId="716985E9">
            <w:pPr>
              <w:pStyle w:val="6"/>
              <w:spacing w:before="26" w:line="220" w:lineRule="auto"/>
              <w:ind w:left="132"/>
              <w:rPr>
                <w:sz w:val="22"/>
                <w:szCs w:val="22"/>
              </w:rPr>
            </w:pPr>
            <w:r>
              <w:rPr>
                <w:spacing w:val="-2"/>
                <w:sz w:val="22"/>
                <w:szCs w:val="22"/>
              </w:rPr>
              <w:t>设不利于水资源及自</w:t>
            </w:r>
          </w:p>
          <w:p w14:paraId="6FCFCBB5">
            <w:pPr>
              <w:pStyle w:val="6"/>
              <w:spacing w:before="21" w:line="199" w:lineRule="auto"/>
              <w:ind w:left="240"/>
              <w:rPr>
                <w:sz w:val="22"/>
                <w:szCs w:val="22"/>
              </w:rPr>
            </w:pPr>
            <w:r>
              <w:rPr>
                <w:spacing w:val="-1"/>
                <w:sz w:val="22"/>
                <w:szCs w:val="22"/>
              </w:rPr>
              <w:t>然生态保护的项目</w:t>
            </w:r>
          </w:p>
        </w:tc>
        <w:tc>
          <w:tcPr>
            <w:tcW w:w="1358" w:type="dxa"/>
            <w:vMerge w:val="restart"/>
            <w:tcBorders>
              <w:bottom w:val="nil"/>
            </w:tcBorders>
            <w:vAlign w:val="top"/>
          </w:tcPr>
          <w:p w14:paraId="72411259">
            <w:pPr>
              <w:spacing w:line="258" w:lineRule="auto"/>
              <w:rPr>
                <w:rFonts w:ascii="Arial"/>
                <w:sz w:val="21"/>
              </w:rPr>
            </w:pPr>
          </w:p>
          <w:p w14:paraId="42AA48A5">
            <w:pPr>
              <w:spacing w:line="258" w:lineRule="auto"/>
              <w:rPr>
                <w:rFonts w:ascii="Arial"/>
                <w:sz w:val="21"/>
              </w:rPr>
            </w:pPr>
          </w:p>
          <w:p w14:paraId="18955555">
            <w:pPr>
              <w:spacing w:line="258" w:lineRule="auto"/>
              <w:rPr>
                <w:rFonts w:ascii="Arial"/>
                <w:sz w:val="21"/>
              </w:rPr>
            </w:pPr>
          </w:p>
          <w:p w14:paraId="18FC878D">
            <w:pPr>
              <w:spacing w:line="258" w:lineRule="auto"/>
              <w:rPr>
                <w:rFonts w:ascii="Arial"/>
                <w:sz w:val="21"/>
              </w:rPr>
            </w:pPr>
          </w:p>
          <w:p w14:paraId="4F453BDA">
            <w:pPr>
              <w:spacing w:line="259" w:lineRule="auto"/>
              <w:rPr>
                <w:rFonts w:ascii="Arial"/>
                <w:sz w:val="21"/>
              </w:rPr>
            </w:pPr>
          </w:p>
          <w:p w14:paraId="7D198588">
            <w:pPr>
              <w:spacing w:line="259" w:lineRule="auto"/>
              <w:rPr>
                <w:rFonts w:ascii="Arial"/>
                <w:sz w:val="21"/>
              </w:rPr>
            </w:pPr>
          </w:p>
          <w:p w14:paraId="325997DE">
            <w:pPr>
              <w:spacing w:line="259" w:lineRule="auto"/>
              <w:rPr>
                <w:rFonts w:ascii="Arial"/>
                <w:sz w:val="21"/>
              </w:rPr>
            </w:pPr>
          </w:p>
          <w:p w14:paraId="754C257E">
            <w:pPr>
              <w:pStyle w:val="6"/>
              <w:spacing w:before="71" w:line="219" w:lineRule="auto"/>
              <w:ind w:left="140"/>
              <w:rPr>
                <w:sz w:val="22"/>
                <w:szCs w:val="22"/>
              </w:rPr>
            </w:pPr>
            <w:r>
              <w:rPr>
                <w:spacing w:val="-2"/>
                <w:sz w:val="22"/>
                <w:szCs w:val="22"/>
              </w:rPr>
              <w:t>本项目不涉</w:t>
            </w:r>
          </w:p>
          <w:p w14:paraId="4EF3D0B2">
            <w:pPr>
              <w:pStyle w:val="6"/>
              <w:spacing w:before="24" w:line="219" w:lineRule="auto"/>
              <w:ind w:left="138"/>
              <w:rPr>
                <w:sz w:val="22"/>
                <w:szCs w:val="22"/>
              </w:rPr>
            </w:pPr>
            <w:r>
              <w:rPr>
                <w:spacing w:val="-2"/>
                <w:sz w:val="22"/>
                <w:szCs w:val="22"/>
              </w:rPr>
              <w:t>及长江干支</w:t>
            </w:r>
          </w:p>
          <w:p w14:paraId="1B42DD79">
            <w:pPr>
              <w:pStyle w:val="6"/>
              <w:spacing w:before="21" w:line="221" w:lineRule="auto"/>
              <w:ind w:left="140"/>
              <w:rPr>
                <w:sz w:val="22"/>
                <w:szCs w:val="22"/>
              </w:rPr>
            </w:pPr>
            <w:r>
              <w:rPr>
                <w:spacing w:val="-2"/>
                <w:sz w:val="22"/>
                <w:szCs w:val="22"/>
              </w:rPr>
              <w:t>流岸线保护</w:t>
            </w:r>
          </w:p>
          <w:p w14:paraId="2ACB355A">
            <w:pPr>
              <w:pStyle w:val="6"/>
              <w:spacing w:before="22" w:line="221" w:lineRule="auto"/>
              <w:ind w:left="156"/>
              <w:rPr>
                <w:sz w:val="22"/>
                <w:szCs w:val="22"/>
              </w:rPr>
            </w:pPr>
            <w:r>
              <w:rPr>
                <w:spacing w:val="-5"/>
                <w:sz w:val="22"/>
                <w:szCs w:val="22"/>
              </w:rPr>
              <w:t>区和保留区</w:t>
            </w:r>
          </w:p>
          <w:p w14:paraId="761F5044">
            <w:pPr>
              <w:pStyle w:val="6"/>
              <w:spacing w:before="22" w:line="220" w:lineRule="auto"/>
              <w:ind w:left="605"/>
              <w:rPr>
                <w:sz w:val="22"/>
                <w:szCs w:val="22"/>
              </w:rPr>
            </w:pPr>
            <w:r>
              <w:rPr>
                <w:sz w:val="22"/>
                <w:szCs w:val="22"/>
              </w:rPr>
              <w:t>内</w:t>
            </w:r>
          </w:p>
        </w:tc>
        <w:tc>
          <w:tcPr>
            <w:tcW w:w="714" w:type="dxa"/>
            <w:vMerge w:val="restart"/>
            <w:tcBorders>
              <w:bottom w:val="nil"/>
            </w:tcBorders>
            <w:vAlign w:val="top"/>
          </w:tcPr>
          <w:p w14:paraId="19B12F94">
            <w:pPr>
              <w:spacing w:line="263" w:lineRule="auto"/>
              <w:rPr>
                <w:rFonts w:ascii="Arial"/>
                <w:sz w:val="21"/>
              </w:rPr>
            </w:pPr>
          </w:p>
          <w:p w14:paraId="2F03B535">
            <w:pPr>
              <w:spacing w:line="263" w:lineRule="auto"/>
              <w:rPr>
                <w:rFonts w:ascii="Arial"/>
                <w:sz w:val="21"/>
              </w:rPr>
            </w:pPr>
          </w:p>
          <w:p w14:paraId="62D50F1F">
            <w:pPr>
              <w:spacing w:line="264" w:lineRule="auto"/>
              <w:rPr>
                <w:rFonts w:ascii="Arial"/>
                <w:sz w:val="21"/>
              </w:rPr>
            </w:pPr>
          </w:p>
          <w:p w14:paraId="43BBE9D0">
            <w:pPr>
              <w:spacing w:line="264" w:lineRule="auto"/>
              <w:rPr>
                <w:rFonts w:ascii="Arial"/>
                <w:sz w:val="21"/>
              </w:rPr>
            </w:pPr>
          </w:p>
          <w:p w14:paraId="6915E4F2">
            <w:pPr>
              <w:spacing w:line="264" w:lineRule="auto"/>
              <w:rPr>
                <w:rFonts w:ascii="Arial"/>
                <w:sz w:val="21"/>
              </w:rPr>
            </w:pPr>
          </w:p>
          <w:p w14:paraId="21BFD9F4">
            <w:pPr>
              <w:spacing w:line="264" w:lineRule="auto"/>
              <w:rPr>
                <w:rFonts w:ascii="Arial"/>
                <w:sz w:val="21"/>
              </w:rPr>
            </w:pPr>
          </w:p>
          <w:p w14:paraId="297EF6C2">
            <w:pPr>
              <w:spacing w:line="264" w:lineRule="auto"/>
              <w:rPr>
                <w:rFonts w:ascii="Arial"/>
                <w:sz w:val="21"/>
              </w:rPr>
            </w:pPr>
          </w:p>
          <w:p w14:paraId="759FB0CE">
            <w:pPr>
              <w:spacing w:line="264" w:lineRule="auto"/>
              <w:rPr>
                <w:rFonts w:ascii="Arial"/>
                <w:sz w:val="21"/>
              </w:rPr>
            </w:pPr>
          </w:p>
          <w:p w14:paraId="0426B9AC">
            <w:pPr>
              <w:spacing w:line="264" w:lineRule="auto"/>
              <w:rPr>
                <w:rFonts w:ascii="Arial"/>
                <w:sz w:val="21"/>
              </w:rPr>
            </w:pPr>
          </w:p>
          <w:p w14:paraId="5698443B">
            <w:pPr>
              <w:pStyle w:val="6"/>
              <w:spacing w:before="71" w:line="220" w:lineRule="auto"/>
              <w:ind w:left="151"/>
              <w:rPr>
                <w:sz w:val="22"/>
                <w:szCs w:val="22"/>
              </w:rPr>
            </w:pPr>
            <w:r>
              <w:rPr>
                <w:spacing w:val="-5"/>
                <w:sz w:val="22"/>
                <w:szCs w:val="22"/>
              </w:rPr>
              <w:t>符合</w:t>
            </w:r>
          </w:p>
        </w:tc>
        <w:tc>
          <w:tcPr>
            <w:tcW w:w="126" w:type="dxa"/>
            <w:tcBorders>
              <w:top w:val="nil"/>
              <w:bottom w:val="nil"/>
              <w:right w:val="single" w:color="000000" w:sz="6" w:space="0"/>
            </w:tcBorders>
            <w:vAlign w:val="top"/>
          </w:tcPr>
          <w:p w14:paraId="327E47EE">
            <w:pPr>
              <w:rPr>
                <w:rFonts w:ascii="Arial"/>
                <w:sz w:val="21"/>
              </w:rPr>
            </w:pPr>
          </w:p>
        </w:tc>
      </w:tr>
      <w:tr w14:paraId="173D1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2" w:hRule="atLeast"/>
        </w:trPr>
        <w:tc>
          <w:tcPr>
            <w:tcW w:w="1400" w:type="dxa"/>
            <w:vMerge w:val="continue"/>
            <w:tcBorders>
              <w:top w:val="nil"/>
              <w:left w:val="single" w:color="000000" w:sz="6" w:space="0"/>
              <w:bottom w:val="nil"/>
            </w:tcBorders>
            <w:vAlign w:val="top"/>
          </w:tcPr>
          <w:p w14:paraId="0FBD5E2A">
            <w:pPr>
              <w:rPr>
                <w:rFonts w:ascii="Arial"/>
                <w:sz w:val="21"/>
              </w:rPr>
            </w:pPr>
          </w:p>
        </w:tc>
        <w:tc>
          <w:tcPr>
            <w:tcW w:w="113" w:type="dxa"/>
            <w:tcBorders>
              <w:top w:val="nil"/>
              <w:bottom w:val="nil"/>
            </w:tcBorders>
            <w:vAlign w:val="top"/>
          </w:tcPr>
          <w:p w14:paraId="2DF8E523">
            <w:pPr>
              <w:rPr>
                <w:rFonts w:ascii="Arial"/>
                <w:sz w:val="21"/>
              </w:rPr>
            </w:pPr>
          </w:p>
        </w:tc>
        <w:tc>
          <w:tcPr>
            <w:tcW w:w="2942" w:type="dxa"/>
            <w:vAlign w:val="top"/>
          </w:tcPr>
          <w:p w14:paraId="3DA5A746">
            <w:pPr>
              <w:spacing w:line="281" w:lineRule="auto"/>
              <w:rPr>
                <w:rFonts w:ascii="Arial"/>
                <w:sz w:val="21"/>
              </w:rPr>
            </w:pPr>
          </w:p>
          <w:p w14:paraId="466240F4">
            <w:pPr>
              <w:spacing w:line="282" w:lineRule="auto"/>
              <w:rPr>
                <w:rFonts w:ascii="Arial"/>
                <w:sz w:val="21"/>
              </w:rPr>
            </w:pPr>
          </w:p>
          <w:p w14:paraId="3E996F19">
            <w:pPr>
              <w:pStyle w:val="6"/>
              <w:spacing w:before="71" w:line="220" w:lineRule="auto"/>
              <w:ind w:left="154"/>
              <w:rPr>
                <w:sz w:val="22"/>
                <w:szCs w:val="22"/>
              </w:rPr>
            </w:pPr>
            <w:r>
              <w:rPr>
                <w:spacing w:val="-1"/>
                <w:sz w:val="22"/>
                <w:szCs w:val="22"/>
              </w:rPr>
              <w:t>禁止在《全国重要江河湖泊</w:t>
            </w:r>
          </w:p>
          <w:p w14:paraId="0F397781">
            <w:pPr>
              <w:pStyle w:val="6"/>
              <w:spacing w:before="23" w:line="220" w:lineRule="auto"/>
              <w:ind w:left="157"/>
              <w:rPr>
                <w:sz w:val="22"/>
                <w:szCs w:val="22"/>
              </w:rPr>
            </w:pPr>
            <w:r>
              <w:rPr>
                <w:spacing w:val="-1"/>
                <w:sz w:val="22"/>
                <w:szCs w:val="22"/>
              </w:rPr>
              <w:t>水功能区划》划定的河段及</w:t>
            </w:r>
          </w:p>
          <w:p w14:paraId="0D92317B">
            <w:pPr>
              <w:pStyle w:val="6"/>
              <w:spacing w:before="23" w:line="220" w:lineRule="auto"/>
              <w:ind w:left="153"/>
              <w:rPr>
                <w:sz w:val="22"/>
                <w:szCs w:val="22"/>
              </w:rPr>
            </w:pPr>
            <w:r>
              <w:rPr>
                <w:spacing w:val="-1"/>
                <w:sz w:val="22"/>
                <w:szCs w:val="22"/>
              </w:rPr>
              <w:t>湖泊保护区、保留区内投资</w:t>
            </w:r>
          </w:p>
          <w:p w14:paraId="25AD5475">
            <w:pPr>
              <w:pStyle w:val="6"/>
              <w:spacing w:before="21" w:line="220" w:lineRule="auto"/>
              <w:ind w:left="157"/>
              <w:rPr>
                <w:sz w:val="22"/>
                <w:szCs w:val="22"/>
              </w:rPr>
            </w:pPr>
            <w:r>
              <w:rPr>
                <w:spacing w:val="-1"/>
                <w:sz w:val="22"/>
                <w:szCs w:val="22"/>
              </w:rPr>
              <w:t>建设不利于水资源及自然生</w:t>
            </w:r>
          </w:p>
          <w:p w14:paraId="08B0456F">
            <w:pPr>
              <w:pStyle w:val="6"/>
              <w:spacing w:before="23" w:line="221" w:lineRule="auto"/>
              <w:ind w:left="814"/>
              <w:rPr>
                <w:sz w:val="22"/>
                <w:szCs w:val="22"/>
              </w:rPr>
            </w:pPr>
            <w:r>
              <w:rPr>
                <w:spacing w:val="-2"/>
                <w:sz w:val="22"/>
                <w:szCs w:val="22"/>
              </w:rPr>
              <w:t>态保护的项目</w:t>
            </w:r>
          </w:p>
        </w:tc>
        <w:tc>
          <w:tcPr>
            <w:tcW w:w="2221" w:type="dxa"/>
            <w:vMerge w:val="continue"/>
            <w:tcBorders>
              <w:top w:val="nil"/>
            </w:tcBorders>
            <w:vAlign w:val="top"/>
          </w:tcPr>
          <w:p w14:paraId="3FE11915">
            <w:pPr>
              <w:rPr>
                <w:rFonts w:ascii="Arial"/>
                <w:sz w:val="21"/>
              </w:rPr>
            </w:pPr>
          </w:p>
        </w:tc>
        <w:tc>
          <w:tcPr>
            <w:tcW w:w="1358" w:type="dxa"/>
            <w:vMerge w:val="continue"/>
            <w:tcBorders>
              <w:top w:val="nil"/>
            </w:tcBorders>
            <w:vAlign w:val="top"/>
          </w:tcPr>
          <w:p w14:paraId="36E8744D">
            <w:pPr>
              <w:rPr>
                <w:rFonts w:ascii="Arial"/>
                <w:sz w:val="21"/>
              </w:rPr>
            </w:pPr>
          </w:p>
        </w:tc>
        <w:tc>
          <w:tcPr>
            <w:tcW w:w="714" w:type="dxa"/>
            <w:vMerge w:val="continue"/>
            <w:tcBorders>
              <w:top w:val="nil"/>
            </w:tcBorders>
            <w:vAlign w:val="top"/>
          </w:tcPr>
          <w:p w14:paraId="203034F8">
            <w:pPr>
              <w:rPr>
                <w:rFonts w:ascii="Arial"/>
                <w:sz w:val="21"/>
              </w:rPr>
            </w:pPr>
          </w:p>
        </w:tc>
        <w:tc>
          <w:tcPr>
            <w:tcW w:w="126" w:type="dxa"/>
            <w:tcBorders>
              <w:top w:val="nil"/>
              <w:bottom w:val="nil"/>
              <w:right w:val="single" w:color="000000" w:sz="6" w:space="0"/>
            </w:tcBorders>
            <w:vAlign w:val="top"/>
          </w:tcPr>
          <w:p w14:paraId="29007459">
            <w:pPr>
              <w:rPr>
                <w:rFonts w:ascii="Arial"/>
                <w:sz w:val="21"/>
              </w:rPr>
            </w:pPr>
          </w:p>
        </w:tc>
      </w:tr>
      <w:tr w14:paraId="1E2DE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0" w:hRule="atLeast"/>
        </w:trPr>
        <w:tc>
          <w:tcPr>
            <w:tcW w:w="1400" w:type="dxa"/>
            <w:vMerge w:val="continue"/>
            <w:tcBorders>
              <w:top w:val="nil"/>
              <w:left w:val="single" w:color="000000" w:sz="6" w:space="0"/>
              <w:bottom w:val="nil"/>
            </w:tcBorders>
            <w:vAlign w:val="top"/>
          </w:tcPr>
          <w:p w14:paraId="35C09C4B">
            <w:pPr>
              <w:rPr>
                <w:rFonts w:ascii="Arial"/>
                <w:sz w:val="21"/>
              </w:rPr>
            </w:pPr>
          </w:p>
        </w:tc>
        <w:tc>
          <w:tcPr>
            <w:tcW w:w="113" w:type="dxa"/>
            <w:tcBorders>
              <w:top w:val="nil"/>
              <w:bottom w:val="nil"/>
            </w:tcBorders>
            <w:vAlign w:val="top"/>
          </w:tcPr>
          <w:p w14:paraId="68D4C6A2">
            <w:pPr>
              <w:rPr>
                <w:rFonts w:ascii="Arial"/>
                <w:sz w:val="21"/>
              </w:rPr>
            </w:pPr>
          </w:p>
        </w:tc>
        <w:tc>
          <w:tcPr>
            <w:tcW w:w="2942" w:type="dxa"/>
            <w:vAlign w:val="top"/>
          </w:tcPr>
          <w:p w14:paraId="67DE36CD">
            <w:pPr>
              <w:pStyle w:val="6"/>
              <w:spacing w:before="43" w:line="231" w:lineRule="auto"/>
              <w:ind w:left="110" w:right="44" w:firstLine="44"/>
              <w:jc w:val="right"/>
              <w:rPr>
                <w:sz w:val="22"/>
                <w:szCs w:val="22"/>
              </w:rPr>
            </w:pPr>
            <w:r>
              <w:rPr>
                <w:spacing w:val="-1"/>
                <w:sz w:val="22"/>
                <w:szCs w:val="22"/>
              </w:rPr>
              <w:t>禁止在长江流域江河、湖泊</w:t>
            </w:r>
            <w:r>
              <w:rPr>
                <w:spacing w:val="-6"/>
                <w:sz w:val="22"/>
                <w:szCs w:val="22"/>
              </w:rPr>
              <w:t>新设、改设或者扩大排污口，</w:t>
            </w:r>
            <w:r>
              <w:rPr>
                <w:spacing w:val="3"/>
                <w:sz w:val="22"/>
                <w:szCs w:val="22"/>
              </w:rPr>
              <w:t>经有管辖权的生态环境主管部门或者长江流域生态环境</w:t>
            </w:r>
            <w:r>
              <w:rPr>
                <w:spacing w:val="-1"/>
                <w:sz w:val="22"/>
                <w:szCs w:val="22"/>
              </w:rPr>
              <w:t>监督管理机构同意的除外</w:t>
            </w:r>
          </w:p>
        </w:tc>
        <w:tc>
          <w:tcPr>
            <w:tcW w:w="2221" w:type="dxa"/>
            <w:vAlign w:val="top"/>
          </w:tcPr>
          <w:p w14:paraId="2F018432">
            <w:pPr>
              <w:spacing w:line="255" w:lineRule="auto"/>
              <w:rPr>
                <w:rFonts w:ascii="Arial"/>
                <w:sz w:val="21"/>
              </w:rPr>
            </w:pPr>
          </w:p>
          <w:p w14:paraId="714EBFA2">
            <w:pPr>
              <w:pStyle w:val="6"/>
              <w:spacing w:before="71" w:line="220" w:lineRule="auto"/>
              <w:ind w:left="128"/>
              <w:rPr>
                <w:sz w:val="22"/>
                <w:szCs w:val="22"/>
              </w:rPr>
            </w:pPr>
            <w:r>
              <w:rPr>
                <w:spacing w:val="-1"/>
                <w:sz w:val="22"/>
                <w:szCs w:val="22"/>
              </w:rPr>
              <w:t>禁止未经许可在长江</w:t>
            </w:r>
          </w:p>
          <w:p w14:paraId="572A7508">
            <w:pPr>
              <w:pStyle w:val="6"/>
              <w:spacing w:before="23" w:line="219" w:lineRule="auto"/>
              <w:ind w:left="127"/>
              <w:rPr>
                <w:sz w:val="22"/>
                <w:szCs w:val="22"/>
              </w:rPr>
            </w:pPr>
            <w:r>
              <w:rPr>
                <w:spacing w:val="-1"/>
                <w:sz w:val="22"/>
                <w:szCs w:val="22"/>
              </w:rPr>
              <w:t>干支流及湖泊新设、</w:t>
            </w:r>
          </w:p>
          <w:p w14:paraId="046A5680">
            <w:pPr>
              <w:pStyle w:val="6"/>
              <w:spacing w:before="24" w:line="220" w:lineRule="auto"/>
              <w:ind w:left="354"/>
              <w:rPr>
                <w:sz w:val="22"/>
                <w:szCs w:val="22"/>
              </w:rPr>
            </w:pPr>
            <w:r>
              <w:rPr>
                <w:spacing w:val="-3"/>
                <w:sz w:val="22"/>
                <w:szCs w:val="22"/>
              </w:rPr>
              <w:t>改设或扩大排污</w:t>
            </w:r>
          </w:p>
        </w:tc>
        <w:tc>
          <w:tcPr>
            <w:tcW w:w="1358" w:type="dxa"/>
            <w:vAlign w:val="top"/>
          </w:tcPr>
          <w:p w14:paraId="10AD8C75">
            <w:pPr>
              <w:pStyle w:val="6"/>
              <w:spacing w:before="45" w:line="219" w:lineRule="auto"/>
              <w:ind w:left="140"/>
              <w:rPr>
                <w:sz w:val="22"/>
                <w:szCs w:val="22"/>
              </w:rPr>
            </w:pPr>
            <w:r>
              <w:rPr>
                <w:spacing w:val="-2"/>
                <w:sz w:val="22"/>
                <w:szCs w:val="22"/>
              </w:rPr>
              <w:t>本项目不涉</w:t>
            </w:r>
          </w:p>
          <w:p w14:paraId="471599F8">
            <w:pPr>
              <w:pStyle w:val="6"/>
              <w:spacing w:before="22" w:line="219" w:lineRule="auto"/>
              <w:ind w:left="138"/>
              <w:rPr>
                <w:sz w:val="22"/>
                <w:szCs w:val="22"/>
              </w:rPr>
            </w:pPr>
            <w:r>
              <w:rPr>
                <w:spacing w:val="-2"/>
                <w:sz w:val="22"/>
                <w:szCs w:val="22"/>
              </w:rPr>
              <w:t>及长江干支</w:t>
            </w:r>
          </w:p>
          <w:p w14:paraId="36280A72">
            <w:pPr>
              <w:pStyle w:val="6"/>
              <w:spacing w:before="24" w:line="220" w:lineRule="auto"/>
              <w:ind w:left="140"/>
              <w:rPr>
                <w:sz w:val="22"/>
                <w:szCs w:val="22"/>
              </w:rPr>
            </w:pPr>
            <w:r>
              <w:rPr>
                <w:spacing w:val="1"/>
                <w:sz w:val="22"/>
                <w:szCs w:val="22"/>
              </w:rPr>
              <w:t>流新增、改</w:t>
            </w:r>
          </w:p>
          <w:p w14:paraId="773D3D78">
            <w:pPr>
              <w:pStyle w:val="6"/>
              <w:spacing w:before="24" w:line="218" w:lineRule="auto"/>
              <w:ind w:left="360" w:right="120" w:hanging="217"/>
              <w:rPr>
                <w:sz w:val="22"/>
                <w:szCs w:val="22"/>
              </w:rPr>
            </w:pPr>
            <w:r>
              <w:rPr>
                <w:spacing w:val="-3"/>
                <w:sz w:val="22"/>
                <w:szCs w:val="22"/>
              </w:rPr>
              <w:t>设或者扩大排污口</w:t>
            </w:r>
          </w:p>
        </w:tc>
        <w:tc>
          <w:tcPr>
            <w:tcW w:w="714" w:type="dxa"/>
            <w:vAlign w:val="top"/>
          </w:tcPr>
          <w:p w14:paraId="2E033608">
            <w:pPr>
              <w:spacing w:line="269" w:lineRule="auto"/>
              <w:rPr>
                <w:rFonts w:ascii="Arial"/>
                <w:sz w:val="21"/>
              </w:rPr>
            </w:pPr>
          </w:p>
          <w:p w14:paraId="419D8255">
            <w:pPr>
              <w:spacing w:line="270" w:lineRule="auto"/>
              <w:rPr>
                <w:rFonts w:ascii="Arial"/>
                <w:sz w:val="21"/>
              </w:rPr>
            </w:pPr>
          </w:p>
          <w:p w14:paraId="55AC56DD">
            <w:pPr>
              <w:pStyle w:val="6"/>
              <w:spacing w:before="71" w:line="220" w:lineRule="auto"/>
              <w:ind w:left="151"/>
              <w:rPr>
                <w:sz w:val="22"/>
                <w:szCs w:val="22"/>
              </w:rPr>
            </w:pPr>
            <w:r>
              <w:rPr>
                <w:spacing w:val="-5"/>
                <w:sz w:val="22"/>
                <w:szCs w:val="22"/>
              </w:rPr>
              <w:t>符合</w:t>
            </w:r>
          </w:p>
        </w:tc>
        <w:tc>
          <w:tcPr>
            <w:tcW w:w="126" w:type="dxa"/>
            <w:tcBorders>
              <w:top w:val="nil"/>
              <w:bottom w:val="nil"/>
              <w:right w:val="single" w:color="000000" w:sz="6" w:space="0"/>
            </w:tcBorders>
            <w:vAlign w:val="top"/>
          </w:tcPr>
          <w:p w14:paraId="60CF50A5">
            <w:pPr>
              <w:rPr>
                <w:rFonts w:ascii="Arial"/>
                <w:sz w:val="21"/>
              </w:rPr>
            </w:pPr>
          </w:p>
        </w:tc>
      </w:tr>
      <w:tr w14:paraId="257A5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0" w:hRule="atLeast"/>
        </w:trPr>
        <w:tc>
          <w:tcPr>
            <w:tcW w:w="1400" w:type="dxa"/>
            <w:vMerge w:val="continue"/>
            <w:tcBorders>
              <w:top w:val="nil"/>
              <w:left w:val="single" w:color="000000" w:sz="6" w:space="0"/>
              <w:bottom w:val="nil"/>
            </w:tcBorders>
            <w:vAlign w:val="top"/>
          </w:tcPr>
          <w:p w14:paraId="3E543F58">
            <w:pPr>
              <w:rPr>
                <w:rFonts w:ascii="Arial"/>
                <w:sz w:val="21"/>
              </w:rPr>
            </w:pPr>
          </w:p>
        </w:tc>
        <w:tc>
          <w:tcPr>
            <w:tcW w:w="113" w:type="dxa"/>
            <w:tcBorders>
              <w:top w:val="nil"/>
              <w:bottom w:val="nil"/>
            </w:tcBorders>
            <w:vAlign w:val="top"/>
          </w:tcPr>
          <w:p w14:paraId="51533DFF">
            <w:pPr>
              <w:rPr>
                <w:rFonts w:ascii="Arial"/>
                <w:sz w:val="21"/>
              </w:rPr>
            </w:pPr>
          </w:p>
        </w:tc>
        <w:tc>
          <w:tcPr>
            <w:tcW w:w="2942" w:type="dxa"/>
            <w:vAlign w:val="top"/>
          </w:tcPr>
          <w:p w14:paraId="67ADFFE5">
            <w:pPr>
              <w:pStyle w:val="6"/>
              <w:spacing w:before="45" w:line="219" w:lineRule="auto"/>
              <w:ind w:left="154"/>
              <w:rPr>
                <w:sz w:val="22"/>
                <w:szCs w:val="22"/>
              </w:rPr>
            </w:pPr>
            <w:r>
              <w:rPr>
                <w:spacing w:val="-1"/>
                <w:sz w:val="22"/>
                <w:szCs w:val="22"/>
              </w:rPr>
              <w:t>禁止在长江干流、大渡河、</w:t>
            </w:r>
          </w:p>
          <w:p w14:paraId="1ABB7941">
            <w:pPr>
              <w:pStyle w:val="6"/>
              <w:spacing w:before="24" w:line="220" w:lineRule="auto"/>
              <w:ind w:left="162"/>
              <w:rPr>
                <w:sz w:val="22"/>
                <w:szCs w:val="22"/>
              </w:rPr>
            </w:pPr>
            <w:r>
              <w:rPr>
                <w:spacing w:val="-2"/>
                <w:sz w:val="22"/>
                <w:szCs w:val="22"/>
              </w:rPr>
              <w:t>岷江、赤水河、沱江、嘉陵</w:t>
            </w:r>
          </w:p>
          <w:p w14:paraId="7C24B7F2">
            <w:pPr>
              <w:pStyle w:val="6"/>
              <w:spacing w:before="20" w:line="213" w:lineRule="auto"/>
              <w:ind w:left="110"/>
              <w:rPr>
                <w:sz w:val="22"/>
                <w:szCs w:val="22"/>
              </w:rPr>
            </w:pPr>
            <w:r>
              <w:rPr>
                <w:spacing w:val="-8"/>
                <w:sz w:val="22"/>
                <w:szCs w:val="22"/>
              </w:rPr>
              <w:t>江、乌江、汉江和</w:t>
            </w:r>
            <w:r>
              <w:rPr>
                <w:spacing w:val="-35"/>
                <w:sz w:val="22"/>
                <w:szCs w:val="22"/>
              </w:rPr>
              <w:t xml:space="preserve"> </w:t>
            </w:r>
            <w:r>
              <w:rPr>
                <w:rFonts w:ascii="Times New Roman" w:hAnsi="Times New Roman" w:eastAsia="Times New Roman" w:cs="Times New Roman"/>
                <w:spacing w:val="-8"/>
                <w:sz w:val="22"/>
                <w:szCs w:val="22"/>
              </w:rPr>
              <w:t xml:space="preserve">51 </w:t>
            </w:r>
            <w:r>
              <w:rPr>
                <w:spacing w:val="-8"/>
                <w:sz w:val="22"/>
                <w:szCs w:val="22"/>
              </w:rPr>
              <w:t>个</w:t>
            </w:r>
            <w:r>
              <w:rPr>
                <w:rFonts w:ascii="Times New Roman" w:hAnsi="Times New Roman" w:eastAsia="Times New Roman" w:cs="Times New Roman"/>
                <w:spacing w:val="-8"/>
                <w:sz w:val="22"/>
                <w:szCs w:val="22"/>
              </w:rPr>
              <w:t>(</w:t>
            </w:r>
            <w:r>
              <w:rPr>
                <w:spacing w:val="-8"/>
                <w:sz w:val="22"/>
                <w:szCs w:val="22"/>
              </w:rPr>
              <w:t>四川</w:t>
            </w:r>
          </w:p>
          <w:p w14:paraId="1F6751BF">
            <w:pPr>
              <w:pStyle w:val="6"/>
              <w:spacing w:before="31" w:line="213" w:lineRule="auto"/>
              <w:ind w:left="112"/>
              <w:rPr>
                <w:sz w:val="22"/>
                <w:szCs w:val="22"/>
              </w:rPr>
            </w:pPr>
            <w:r>
              <w:rPr>
                <w:spacing w:val="-8"/>
                <w:sz w:val="22"/>
                <w:szCs w:val="22"/>
              </w:rPr>
              <w:t>省</w:t>
            </w:r>
            <w:r>
              <w:rPr>
                <w:spacing w:val="-40"/>
                <w:sz w:val="22"/>
                <w:szCs w:val="22"/>
              </w:rPr>
              <w:t xml:space="preserve"> </w:t>
            </w:r>
            <w:r>
              <w:rPr>
                <w:rFonts w:ascii="Times New Roman" w:hAnsi="Times New Roman" w:eastAsia="Times New Roman" w:cs="Times New Roman"/>
                <w:spacing w:val="-8"/>
                <w:sz w:val="22"/>
                <w:szCs w:val="22"/>
              </w:rPr>
              <w:t xml:space="preserve">45 </w:t>
            </w:r>
            <w:r>
              <w:rPr>
                <w:spacing w:val="-8"/>
                <w:sz w:val="22"/>
                <w:szCs w:val="22"/>
              </w:rPr>
              <w:t>个、重庆市</w:t>
            </w:r>
            <w:r>
              <w:rPr>
                <w:spacing w:val="-46"/>
                <w:sz w:val="22"/>
                <w:szCs w:val="22"/>
              </w:rPr>
              <w:t xml:space="preserve"> </w:t>
            </w:r>
            <w:r>
              <w:rPr>
                <w:rFonts w:ascii="Times New Roman" w:hAnsi="Times New Roman" w:eastAsia="Times New Roman" w:cs="Times New Roman"/>
                <w:spacing w:val="-8"/>
                <w:sz w:val="22"/>
                <w:szCs w:val="22"/>
              </w:rPr>
              <w:t xml:space="preserve">6 </w:t>
            </w:r>
            <w:r>
              <w:rPr>
                <w:spacing w:val="-8"/>
                <w:sz w:val="22"/>
                <w:szCs w:val="22"/>
              </w:rPr>
              <w:t>个</w:t>
            </w:r>
            <w:r>
              <w:rPr>
                <w:rFonts w:ascii="Times New Roman" w:hAnsi="Times New Roman" w:eastAsia="Times New Roman" w:cs="Times New Roman"/>
                <w:spacing w:val="-8"/>
                <w:sz w:val="22"/>
                <w:szCs w:val="22"/>
              </w:rPr>
              <w:t>)</w:t>
            </w:r>
            <w:r>
              <w:rPr>
                <w:spacing w:val="-8"/>
                <w:sz w:val="22"/>
                <w:szCs w:val="22"/>
              </w:rPr>
              <w:t>水生生</w:t>
            </w:r>
          </w:p>
          <w:p w14:paraId="0F88F943">
            <w:pPr>
              <w:pStyle w:val="6"/>
              <w:spacing w:before="32" w:line="197" w:lineRule="auto"/>
              <w:ind w:left="265"/>
              <w:rPr>
                <w:sz w:val="22"/>
                <w:szCs w:val="22"/>
              </w:rPr>
            </w:pPr>
            <w:r>
              <w:rPr>
                <w:spacing w:val="-1"/>
                <w:sz w:val="22"/>
                <w:szCs w:val="22"/>
              </w:rPr>
              <w:t>物保护区开展生产性捕捞</w:t>
            </w:r>
          </w:p>
        </w:tc>
        <w:tc>
          <w:tcPr>
            <w:tcW w:w="2221" w:type="dxa"/>
            <w:vAlign w:val="top"/>
          </w:tcPr>
          <w:p w14:paraId="7FC2282F">
            <w:pPr>
              <w:pStyle w:val="6"/>
              <w:spacing w:before="186" w:line="220" w:lineRule="auto"/>
              <w:ind w:left="188"/>
              <w:rPr>
                <w:sz w:val="22"/>
                <w:szCs w:val="22"/>
              </w:rPr>
            </w:pPr>
            <w:r>
              <w:rPr>
                <w:spacing w:val="-1"/>
                <w:sz w:val="22"/>
                <w:szCs w:val="22"/>
              </w:rPr>
              <w:t>禁止在</w:t>
            </w:r>
            <w:r>
              <w:rPr>
                <w:rFonts w:ascii="Times New Roman" w:hAnsi="Times New Roman" w:eastAsia="Times New Roman" w:cs="Times New Roman"/>
                <w:spacing w:val="-1"/>
                <w:sz w:val="22"/>
                <w:szCs w:val="22"/>
              </w:rPr>
              <w:t>“</w:t>
            </w:r>
            <w:r>
              <w:rPr>
                <w:spacing w:val="-1"/>
                <w:sz w:val="22"/>
                <w:szCs w:val="22"/>
              </w:rPr>
              <w:t>一江一口两</w:t>
            </w:r>
          </w:p>
          <w:p w14:paraId="7D3D82DF">
            <w:pPr>
              <w:pStyle w:val="6"/>
              <w:spacing w:before="23" w:line="220" w:lineRule="auto"/>
              <w:ind w:left="187"/>
              <w:rPr>
                <w:sz w:val="22"/>
                <w:szCs w:val="22"/>
              </w:rPr>
            </w:pPr>
            <w:r>
              <w:rPr>
                <w:spacing w:val="-2"/>
                <w:sz w:val="22"/>
                <w:szCs w:val="22"/>
              </w:rPr>
              <w:t>湖七河</w:t>
            </w:r>
            <w:r>
              <w:rPr>
                <w:rFonts w:ascii="Times New Roman" w:hAnsi="Times New Roman" w:eastAsia="Times New Roman" w:cs="Times New Roman"/>
                <w:spacing w:val="-2"/>
                <w:sz w:val="22"/>
                <w:szCs w:val="22"/>
              </w:rPr>
              <w:t>”</w:t>
            </w:r>
            <w:r>
              <w:rPr>
                <w:spacing w:val="-2"/>
                <w:sz w:val="22"/>
                <w:szCs w:val="22"/>
              </w:rPr>
              <w:t>和</w:t>
            </w:r>
            <w:r>
              <w:rPr>
                <w:spacing w:val="-40"/>
                <w:sz w:val="22"/>
                <w:szCs w:val="22"/>
              </w:rPr>
              <w:t xml:space="preserve"> </w:t>
            </w:r>
            <w:r>
              <w:rPr>
                <w:rFonts w:ascii="Times New Roman" w:hAnsi="Times New Roman" w:eastAsia="Times New Roman" w:cs="Times New Roman"/>
                <w:spacing w:val="-2"/>
                <w:sz w:val="22"/>
                <w:szCs w:val="22"/>
              </w:rPr>
              <w:t xml:space="preserve">332 </w:t>
            </w:r>
            <w:r>
              <w:rPr>
                <w:spacing w:val="-2"/>
                <w:sz w:val="22"/>
                <w:szCs w:val="22"/>
              </w:rPr>
              <w:t>个水</w:t>
            </w:r>
          </w:p>
          <w:p w14:paraId="6E013E4A">
            <w:pPr>
              <w:pStyle w:val="6"/>
              <w:spacing w:before="23" w:line="221" w:lineRule="auto"/>
              <w:ind w:left="130"/>
              <w:rPr>
                <w:sz w:val="22"/>
                <w:szCs w:val="22"/>
              </w:rPr>
            </w:pPr>
            <w:r>
              <w:rPr>
                <w:spacing w:val="-1"/>
                <w:sz w:val="22"/>
                <w:szCs w:val="22"/>
              </w:rPr>
              <w:t>生生物保护区开展生</w:t>
            </w:r>
          </w:p>
          <w:p w14:paraId="09533CE8">
            <w:pPr>
              <w:pStyle w:val="6"/>
              <w:spacing w:before="20" w:line="220" w:lineRule="auto"/>
              <w:ind w:left="678"/>
              <w:rPr>
                <w:sz w:val="22"/>
                <w:szCs w:val="22"/>
              </w:rPr>
            </w:pPr>
            <w:r>
              <w:rPr>
                <w:spacing w:val="-2"/>
                <w:sz w:val="22"/>
                <w:szCs w:val="22"/>
              </w:rPr>
              <w:t>产性捕捞</w:t>
            </w:r>
          </w:p>
        </w:tc>
        <w:tc>
          <w:tcPr>
            <w:tcW w:w="1358" w:type="dxa"/>
            <w:vAlign w:val="top"/>
          </w:tcPr>
          <w:p w14:paraId="1640CDE2">
            <w:pPr>
              <w:pStyle w:val="6"/>
              <w:spacing w:before="45" w:line="219" w:lineRule="auto"/>
              <w:ind w:left="140"/>
              <w:rPr>
                <w:sz w:val="22"/>
                <w:szCs w:val="22"/>
              </w:rPr>
            </w:pPr>
            <w:r>
              <w:rPr>
                <w:spacing w:val="-2"/>
                <w:sz w:val="22"/>
                <w:szCs w:val="22"/>
              </w:rPr>
              <w:t>本项目不在</w:t>
            </w:r>
          </w:p>
          <w:p w14:paraId="7E210FEB">
            <w:pPr>
              <w:pStyle w:val="6"/>
              <w:spacing w:before="24" w:line="220" w:lineRule="auto"/>
              <w:ind w:left="142"/>
              <w:rPr>
                <w:sz w:val="22"/>
                <w:szCs w:val="22"/>
              </w:rPr>
            </w:pPr>
            <w:r>
              <w:rPr>
                <w:spacing w:val="-2"/>
                <w:sz w:val="22"/>
                <w:szCs w:val="22"/>
              </w:rPr>
              <w:t>水生生物保</w:t>
            </w:r>
          </w:p>
          <w:p w14:paraId="52A8D033">
            <w:pPr>
              <w:pStyle w:val="6"/>
              <w:spacing w:before="21" w:line="220" w:lineRule="auto"/>
              <w:ind w:left="140"/>
              <w:rPr>
                <w:sz w:val="22"/>
                <w:szCs w:val="22"/>
              </w:rPr>
            </w:pPr>
            <w:r>
              <w:rPr>
                <w:sz w:val="22"/>
                <w:szCs w:val="22"/>
              </w:rPr>
              <w:t>护区内，也</w:t>
            </w:r>
          </w:p>
          <w:p w14:paraId="2A97C0A0">
            <w:pPr>
              <w:pStyle w:val="6"/>
              <w:spacing w:before="23" w:line="220" w:lineRule="auto"/>
              <w:ind w:left="143"/>
              <w:rPr>
                <w:sz w:val="22"/>
                <w:szCs w:val="22"/>
              </w:rPr>
            </w:pPr>
            <w:r>
              <w:rPr>
                <w:spacing w:val="-3"/>
                <w:sz w:val="22"/>
                <w:szCs w:val="22"/>
              </w:rPr>
              <w:t>不属于生产</w:t>
            </w:r>
          </w:p>
          <w:p w14:paraId="47F9D039">
            <w:pPr>
              <w:pStyle w:val="6"/>
              <w:spacing w:before="23" w:line="197" w:lineRule="auto"/>
              <w:ind w:left="142"/>
              <w:rPr>
                <w:sz w:val="22"/>
                <w:szCs w:val="22"/>
              </w:rPr>
            </w:pPr>
            <w:r>
              <w:rPr>
                <w:spacing w:val="-2"/>
                <w:sz w:val="22"/>
                <w:szCs w:val="22"/>
              </w:rPr>
              <w:t>性捕捞项目</w:t>
            </w:r>
          </w:p>
        </w:tc>
        <w:tc>
          <w:tcPr>
            <w:tcW w:w="714" w:type="dxa"/>
            <w:vAlign w:val="top"/>
          </w:tcPr>
          <w:p w14:paraId="366528D1">
            <w:pPr>
              <w:spacing w:line="269" w:lineRule="auto"/>
              <w:rPr>
                <w:rFonts w:ascii="Arial"/>
                <w:sz w:val="21"/>
              </w:rPr>
            </w:pPr>
          </w:p>
          <w:p w14:paraId="71B6E2F7">
            <w:pPr>
              <w:spacing w:line="270" w:lineRule="auto"/>
              <w:rPr>
                <w:rFonts w:ascii="Arial"/>
                <w:sz w:val="21"/>
              </w:rPr>
            </w:pPr>
          </w:p>
          <w:p w14:paraId="79ACE038">
            <w:pPr>
              <w:pStyle w:val="6"/>
              <w:spacing w:before="71" w:line="220" w:lineRule="auto"/>
              <w:ind w:left="151"/>
              <w:rPr>
                <w:sz w:val="22"/>
                <w:szCs w:val="22"/>
              </w:rPr>
            </w:pPr>
            <w:r>
              <w:rPr>
                <w:spacing w:val="-5"/>
                <w:sz w:val="22"/>
                <w:szCs w:val="22"/>
              </w:rPr>
              <w:t>符合</w:t>
            </w:r>
          </w:p>
        </w:tc>
        <w:tc>
          <w:tcPr>
            <w:tcW w:w="126" w:type="dxa"/>
            <w:tcBorders>
              <w:top w:val="nil"/>
              <w:bottom w:val="nil"/>
              <w:right w:val="single" w:color="000000" w:sz="6" w:space="0"/>
            </w:tcBorders>
            <w:vAlign w:val="top"/>
          </w:tcPr>
          <w:p w14:paraId="72259E9D">
            <w:pPr>
              <w:rPr>
                <w:rFonts w:ascii="Arial"/>
                <w:sz w:val="21"/>
              </w:rPr>
            </w:pPr>
          </w:p>
        </w:tc>
      </w:tr>
      <w:tr w14:paraId="056FE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400" w:type="dxa"/>
            <w:vMerge w:val="continue"/>
            <w:tcBorders>
              <w:top w:val="nil"/>
              <w:left w:val="single" w:color="000000" w:sz="6" w:space="0"/>
              <w:bottom w:val="single" w:color="000000" w:sz="6" w:space="0"/>
            </w:tcBorders>
            <w:vAlign w:val="top"/>
          </w:tcPr>
          <w:p w14:paraId="01FDEDA4">
            <w:pPr>
              <w:rPr>
                <w:rFonts w:ascii="Arial"/>
                <w:sz w:val="21"/>
              </w:rPr>
            </w:pPr>
          </w:p>
        </w:tc>
        <w:tc>
          <w:tcPr>
            <w:tcW w:w="113" w:type="dxa"/>
            <w:tcBorders>
              <w:top w:val="nil"/>
              <w:bottom w:val="single" w:color="000000" w:sz="6" w:space="0"/>
            </w:tcBorders>
            <w:vAlign w:val="top"/>
          </w:tcPr>
          <w:p w14:paraId="7B05385D">
            <w:pPr>
              <w:rPr>
                <w:rFonts w:ascii="Arial"/>
                <w:sz w:val="21"/>
              </w:rPr>
            </w:pPr>
          </w:p>
        </w:tc>
        <w:tc>
          <w:tcPr>
            <w:tcW w:w="2942" w:type="dxa"/>
            <w:tcBorders>
              <w:bottom w:val="single" w:color="000000" w:sz="6" w:space="0"/>
            </w:tcBorders>
            <w:vAlign w:val="top"/>
          </w:tcPr>
          <w:p w14:paraId="07C070A8">
            <w:pPr>
              <w:pStyle w:val="6"/>
              <w:spacing w:before="47" w:line="231" w:lineRule="auto"/>
              <w:ind w:left="159" w:right="150" w:hanging="5"/>
              <w:rPr>
                <w:sz w:val="22"/>
                <w:szCs w:val="22"/>
              </w:rPr>
            </w:pPr>
            <w:r>
              <w:rPr>
                <w:spacing w:val="-1"/>
                <w:sz w:val="22"/>
                <w:szCs w:val="22"/>
              </w:rPr>
              <w:t>禁止在长江干支流、重要湖</w:t>
            </w:r>
            <w:r>
              <w:rPr>
                <w:spacing w:val="-4"/>
                <w:sz w:val="22"/>
                <w:szCs w:val="22"/>
              </w:rPr>
              <w:t>泊岸线一公里范围内新建、</w:t>
            </w:r>
          </w:p>
        </w:tc>
        <w:tc>
          <w:tcPr>
            <w:tcW w:w="2221" w:type="dxa"/>
            <w:tcBorders>
              <w:bottom w:val="single" w:color="000000" w:sz="6" w:space="0"/>
            </w:tcBorders>
            <w:vAlign w:val="top"/>
          </w:tcPr>
          <w:p w14:paraId="266531EB">
            <w:pPr>
              <w:pStyle w:val="6"/>
              <w:spacing w:before="47" w:line="231" w:lineRule="auto"/>
              <w:ind w:left="114" w:right="101"/>
              <w:rPr>
                <w:sz w:val="22"/>
                <w:szCs w:val="22"/>
              </w:rPr>
            </w:pPr>
            <w:r>
              <w:rPr>
                <w:spacing w:val="2"/>
                <w:sz w:val="22"/>
                <w:szCs w:val="22"/>
              </w:rPr>
              <w:t>禁止在长江干支流、重要湖泊岸线一公里</w:t>
            </w:r>
          </w:p>
        </w:tc>
        <w:tc>
          <w:tcPr>
            <w:tcW w:w="1358" w:type="dxa"/>
            <w:tcBorders>
              <w:bottom w:val="single" w:color="000000" w:sz="6" w:space="0"/>
            </w:tcBorders>
            <w:vAlign w:val="top"/>
          </w:tcPr>
          <w:p w14:paraId="2B7DC4D4">
            <w:pPr>
              <w:pStyle w:val="6"/>
              <w:spacing w:before="48" w:line="219" w:lineRule="auto"/>
              <w:ind w:left="140"/>
              <w:rPr>
                <w:sz w:val="22"/>
                <w:szCs w:val="22"/>
              </w:rPr>
            </w:pPr>
            <w:r>
              <w:rPr>
                <w:spacing w:val="-2"/>
                <w:sz w:val="22"/>
                <w:szCs w:val="22"/>
              </w:rPr>
              <w:t>本项目不属</w:t>
            </w:r>
          </w:p>
          <w:p w14:paraId="6A59F224">
            <w:pPr>
              <w:pStyle w:val="6"/>
              <w:spacing w:before="21" w:line="221" w:lineRule="auto"/>
              <w:ind w:left="143"/>
              <w:rPr>
                <w:sz w:val="22"/>
                <w:szCs w:val="22"/>
              </w:rPr>
            </w:pPr>
            <w:r>
              <w:rPr>
                <w:spacing w:val="-1"/>
                <w:sz w:val="22"/>
                <w:szCs w:val="22"/>
              </w:rPr>
              <w:t>于新建、扩</w:t>
            </w:r>
          </w:p>
        </w:tc>
        <w:tc>
          <w:tcPr>
            <w:tcW w:w="714" w:type="dxa"/>
            <w:tcBorders>
              <w:bottom w:val="single" w:color="000000" w:sz="6" w:space="0"/>
            </w:tcBorders>
            <w:vAlign w:val="top"/>
          </w:tcPr>
          <w:p w14:paraId="148C60EA">
            <w:pPr>
              <w:pStyle w:val="6"/>
              <w:spacing w:before="189" w:line="220" w:lineRule="auto"/>
              <w:ind w:left="151"/>
              <w:rPr>
                <w:sz w:val="22"/>
                <w:szCs w:val="22"/>
              </w:rPr>
            </w:pPr>
            <w:r>
              <w:rPr>
                <w:spacing w:val="-5"/>
                <w:sz w:val="22"/>
                <w:szCs w:val="22"/>
              </w:rPr>
              <w:t>符合</w:t>
            </w:r>
          </w:p>
        </w:tc>
        <w:tc>
          <w:tcPr>
            <w:tcW w:w="126" w:type="dxa"/>
            <w:tcBorders>
              <w:top w:val="nil"/>
              <w:bottom w:val="single" w:color="000000" w:sz="6" w:space="0"/>
              <w:right w:val="single" w:color="000000" w:sz="6" w:space="0"/>
            </w:tcBorders>
            <w:vAlign w:val="top"/>
          </w:tcPr>
          <w:p w14:paraId="094DA5CC">
            <w:pPr>
              <w:rPr>
                <w:rFonts w:ascii="Arial"/>
                <w:sz w:val="21"/>
              </w:rPr>
            </w:pPr>
          </w:p>
        </w:tc>
      </w:tr>
    </w:tbl>
    <w:p w14:paraId="2EAB88D4">
      <w:pPr>
        <w:pStyle w:val="2"/>
        <w:rPr>
          <w:sz w:val="21"/>
        </w:rPr>
      </w:pPr>
    </w:p>
    <w:p w14:paraId="02E21BA7">
      <w:pPr>
        <w:rPr>
          <w:sz w:val="21"/>
          <w:szCs w:val="21"/>
        </w:rPr>
        <w:sectPr>
          <w:footerReference r:id="rId18" w:type="default"/>
          <w:pgSz w:w="11906" w:h="16839"/>
          <w:pgMar w:top="400" w:right="1508" w:bottom="1234" w:left="1508" w:header="0" w:footer="1002" w:gutter="0"/>
          <w:cols w:space="720" w:num="1"/>
        </w:sectPr>
      </w:pPr>
    </w:p>
    <w:p w14:paraId="6F9FB1C9">
      <w:pPr>
        <w:spacing w:before="19"/>
      </w:pPr>
    </w:p>
    <w:p w14:paraId="57A57B41">
      <w:pPr>
        <w:spacing w:before="19"/>
      </w:pPr>
    </w:p>
    <w:p w14:paraId="1FAF1FB7">
      <w:pPr>
        <w:spacing w:before="19"/>
      </w:pPr>
    </w:p>
    <w:p w14:paraId="0F4E3A84">
      <w:pPr>
        <w:spacing w:before="18"/>
      </w:pPr>
    </w:p>
    <w:p w14:paraId="0D6994C7">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113"/>
        <w:gridCol w:w="2942"/>
        <w:gridCol w:w="2221"/>
        <w:gridCol w:w="1358"/>
        <w:gridCol w:w="714"/>
        <w:gridCol w:w="126"/>
      </w:tblGrid>
      <w:tr w14:paraId="0D3AE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00" w:type="dxa"/>
            <w:vMerge w:val="restart"/>
            <w:tcBorders>
              <w:top w:val="single" w:color="000000" w:sz="6" w:space="0"/>
              <w:left w:val="single" w:color="000000" w:sz="6" w:space="0"/>
              <w:bottom w:val="nil"/>
            </w:tcBorders>
            <w:vAlign w:val="top"/>
          </w:tcPr>
          <w:p w14:paraId="404EDF0F">
            <w:pPr>
              <w:rPr>
                <w:rFonts w:ascii="Arial"/>
                <w:sz w:val="21"/>
              </w:rPr>
            </w:pPr>
          </w:p>
        </w:tc>
        <w:tc>
          <w:tcPr>
            <w:tcW w:w="113" w:type="dxa"/>
            <w:tcBorders>
              <w:top w:val="single" w:color="000000" w:sz="6" w:space="0"/>
              <w:bottom w:val="nil"/>
            </w:tcBorders>
            <w:vAlign w:val="top"/>
          </w:tcPr>
          <w:p w14:paraId="391CAA68">
            <w:pPr>
              <w:rPr>
                <w:rFonts w:ascii="Arial"/>
                <w:sz w:val="21"/>
              </w:rPr>
            </w:pPr>
          </w:p>
        </w:tc>
        <w:tc>
          <w:tcPr>
            <w:tcW w:w="2942" w:type="dxa"/>
            <w:vAlign w:val="top"/>
          </w:tcPr>
          <w:p w14:paraId="4D5BE3EF">
            <w:pPr>
              <w:pStyle w:val="6"/>
              <w:spacing w:before="46" w:line="221" w:lineRule="auto"/>
              <w:ind w:left="265"/>
              <w:rPr>
                <w:sz w:val="22"/>
                <w:szCs w:val="22"/>
              </w:rPr>
            </w:pPr>
            <w:r>
              <w:rPr>
                <w:spacing w:val="-1"/>
                <w:sz w:val="22"/>
                <w:szCs w:val="22"/>
              </w:rPr>
              <w:t>扩建化工园区和化工项目</w:t>
            </w:r>
          </w:p>
        </w:tc>
        <w:tc>
          <w:tcPr>
            <w:tcW w:w="2221" w:type="dxa"/>
            <w:vMerge w:val="restart"/>
            <w:tcBorders>
              <w:bottom w:val="nil"/>
            </w:tcBorders>
            <w:vAlign w:val="top"/>
          </w:tcPr>
          <w:p w14:paraId="4C05EDCD">
            <w:pPr>
              <w:pStyle w:val="6"/>
              <w:spacing w:before="44"/>
              <w:ind w:left="113" w:right="101" w:firstLine="6"/>
              <w:rPr>
                <w:sz w:val="22"/>
                <w:szCs w:val="22"/>
              </w:rPr>
            </w:pPr>
            <w:r>
              <w:rPr>
                <w:spacing w:val="1"/>
                <w:sz w:val="22"/>
                <w:szCs w:val="22"/>
              </w:rPr>
              <w:t>范围内新建、扩建化</w:t>
            </w:r>
            <w:r>
              <w:rPr>
                <w:spacing w:val="2"/>
                <w:sz w:val="22"/>
                <w:szCs w:val="22"/>
              </w:rPr>
              <w:t>工园区和化工项目。禁止在长江干流岸线三公里范围内和重要支流岸线一公里范围内新建、改建、扩建尾矿库、冶炼渣库和磷石膏库，以提升安全、生态环境保护水</w:t>
            </w:r>
            <w:r>
              <w:rPr>
                <w:spacing w:val="-1"/>
                <w:sz w:val="22"/>
                <w:szCs w:val="22"/>
              </w:rPr>
              <w:t>平为目的的改建除外</w:t>
            </w:r>
          </w:p>
        </w:tc>
        <w:tc>
          <w:tcPr>
            <w:tcW w:w="1358" w:type="dxa"/>
            <w:vMerge w:val="restart"/>
            <w:tcBorders>
              <w:bottom w:val="nil"/>
            </w:tcBorders>
            <w:vAlign w:val="top"/>
          </w:tcPr>
          <w:p w14:paraId="4D3A3EF7">
            <w:pPr>
              <w:pStyle w:val="6"/>
              <w:spacing w:before="44"/>
              <w:ind w:left="138" w:right="120" w:firstLine="3"/>
              <w:jc w:val="both"/>
              <w:rPr>
                <w:sz w:val="22"/>
                <w:szCs w:val="22"/>
              </w:rPr>
            </w:pPr>
            <w:r>
              <w:rPr>
                <w:spacing w:val="-2"/>
                <w:sz w:val="22"/>
                <w:szCs w:val="22"/>
              </w:rPr>
              <w:t>建化工园区</w:t>
            </w:r>
            <w:r>
              <w:rPr>
                <w:spacing w:val="25"/>
                <w:sz w:val="22"/>
                <w:szCs w:val="22"/>
              </w:rPr>
              <w:t>和化工项</w:t>
            </w:r>
            <w:r>
              <w:rPr>
                <w:spacing w:val="-2"/>
                <w:sz w:val="22"/>
                <w:szCs w:val="22"/>
              </w:rPr>
              <w:t>目，也不属于新建、改建、扩建尾矿库、冶炼渣库、磷石</w:t>
            </w:r>
            <w:r>
              <w:rPr>
                <w:spacing w:val="25"/>
                <w:sz w:val="22"/>
                <w:szCs w:val="22"/>
              </w:rPr>
              <w:t>膏库项目</w:t>
            </w:r>
          </w:p>
        </w:tc>
        <w:tc>
          <w:tcPr>
            <w:tcW w:w="714" w:type="dxa"/>
            <w:vMerge w:val="restart"/>
            <w:tcBorders>
              <w:bottom w:val="nil"/>
            </w:tcBorders>
            <w:vAlign w:val="top"/>
          </w:tcPr>
          <w:p w14:paraId="0B2044A0">
            <w:pPr>
              <w:rPr>
                <w:rFonts w:ascii="Arial"/>
                <w:sz w:val="21"/>
              </w:rPr>
            </w:pPr>
          </w:p>
        </w:tc>
        <w:tc>
          <w:tcPr>
            <w:tcW w:w="126" w:type="dxa"/>
            <w:tcBorders>
              <w:top w:val="single" w:color="000000" w:sz="6" w:space="0"/>
              <w:bottom w:val="nil"/>
              <w:right w:val="single" w:color="000000" w:sz="6" w:space="0"/>
            </w:tcBorders>
            <w:vAlign w:val="top"/>
          </w:tcPr>
          <w:p w14:paraId="55220657">
            <w:pPr>
              <w:rPr>
                <w:rFonts w:ascii="Arial"/>
                <w:sz w:val="21"/>
              </w:rPr>
            </w:pPr>
          </w:p>
        </w:tc>
      </w:tr>
      <w:tr w14:paraId="303A5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0" w:hRule="atLeast"/>
        </w:trPr>
        <w:tc>
          <w:tcPr>
            <w:tcW w:w="1400" w:type="dxa"/>
            <w:vMerge w:val="continue"/>
            <w:tcBorders>
              <w:top w:val="nil"/>
              <w:left w:val="single" w:color="000000" w:sz="6" w:space="0"/>
              <w:bottom w:val="nil"/>
            </w:tcBorders>
            <w:vAlign w:val="top"/>
          </w:tcPr>
          <w:p w14:paraId="6C678661">
            <w:pPr>
              <w:rPr>
                <w:rFonts w:ascii="Arial"/>
                <w:sz w:val="21"/>
              </w:rPr>
            </w:pPr>
          </w:p>
        </w:tc>
        <w:tc>
          <w:tcPr>
            <w:tcW w:w="113" w:type="dxa"/>
            <w:tcBorders>
              <w:top w:val="nil"/>
              <w:bottom w:val="nil"/>
            </w:tcBorders>
            <w:vAlign w:val="top"/>
          </w:tcPr>
          <w:p w14:paraId="42F60683">
            <w:pPr>
              <w:rPr>
                <w:rFonts w:ascii="Arial"/>
                <w:sz w:val="21"/>
              </w:rPr>
            </w:pPr>
          </w:p>
        </w:tc>
        <w:tc>
          <w:tcPr>
            <w:tcW w:w="2942" w:type="dxa"/>
            <w:vAlign w:val="top"/>
          </w:tcPr>
          <w:p w14:paraId="15935BAB">
            <w:pPr>
              <w:pStyle w:val="6"/>
              <w:spacing w:before="54" w:line="233" w:lineRule="auto"/>
              <w:ind w:left="154" w:right="150"/>
              <w:jc w:val="both"/>
              <w:rPr>
                <w:sz w:val="22"/>
                <w:szCs w:val="22"/>
              </w:rPr>
            </w:pPr>
            <w:r>
              <w:rPr>
                <w:spacing w:val="-1"/>
                <w:sz w:val="22"/>
                <w:szCs w:val="22"/>
              </w:rPr>
              <w:t>禁止在长江干流岸线三公里范围内和重要支流岸线一公里范围内新建、改建、扩建尾矿库、冶炼渣库、磷石膏库，以提升安全、生态环境保护水平为目的的改建除外</w:t>
            </w:r>
          </w:p>
        </w:tc>
        <w:tc>
          <w:tcPr>
            <w:tcW w:w="2221" w:type="dxa"/>
            <w:vMerge w:val="continue"/>
            <w:tcBorders>
              <w:top w:val="nil"/>
              <w:bottom w:val="nil"/>
            </w:tcBorders>
            <w:vAlign w:val="top"/>
          </w:tcPr>
          <w:p w14:paraId="607D905B">
            <w:pPr>
              <w:rPr>
                <w:rFonts w:ascii="Arial"/>
                <w:sz w:val="21"/>
              </w:rPr>
            </w:pPr>
          </w:p>
        </w:tc>
        <w:tc>
          <w:tcPr>
            <w:tcW w:w="1358" w:type="dxa"/>
            <w:vMerge w:val="continue"/>
            <w:tcBorders>
              <w:top w:val="nil"/>
              <w:bottom w:val="nil"/>
            </w:tcBorders>
            <w:vAlign w:val="top"/>
          </w:tcPr>
          <w:p w14:paraId="1FFAA00B">
            <w:pPr>
              <w:rPr>
                <w:rFonts w:ascii="Arial"/>
                <w:sz w:val="21"/>
              </w:rPr>
            </w:pPr>
          </w:p>
        </w:tc>
        <w:tc>
          <w:tcPr>
            <w:tcW w:w="714" w:type="dxa"/>
            <w:vMerge w:val="continue"/>
            <w:tcBorders>
              <w:top w:val="nil"/>
              <w:bottom w:val="nil"/>
            </w:tcBorders>
            <w:vAlign w:val="top"/>
          </w:tcPr>
          <w:p w14:paraId="7239CF0A">
            <w:pPr>
              <w:rPr>
                <w:rFonts w:ascii="Arial"/>
                <w:sz w:val="21"/>
              </w:rPr>
            </w:pPr>
          </w:p>
        </w:tc>
        <w:tc>
          <w:tcPr>
            <w:tcW w:w="126" w:type="dxa"/>
            <w:tcBorders>
              <w:top w:val="nil"/>
              <w:bottom w:val="nil"/>
              <w:right w:val="single" w:color="000000" w:sz="6" w:space="0"/>
            </w:tcBorders>
            <w:vAlign w:val="top"/>
          </w:tcPr>
          <w:p w14:paraId="5899DE82">
            <w:pPr>
              <w:rPr>
                <w:rFonts w:ascii="Arial"/>
                <w:sz w:val="21"/>
              </w:rPr>
            </w:pPr>
          </w:p>
        </w:tc>
      </w:tr>
      <w:tr w14:paraId="2E9CF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38" w:hRule="atLeast"/>
        </w:trPr>
        <w:tc>
          <w:tcPr>
            <w:tcW w:w="1400" w:type="dxa"/>
            <w:vMerge w:val="continue"/>
            <w:tcBorders>
              <w:top w:val="nil"/>
              <w:left w:val="single" w:color="000000" w:sz="6" w:space="0"/>
              <w:bottom w:val="nil"/>
            </w:tcBorders>
            <w:vAlign w:val="top"/>
          </w:tcPr>
          <w:p w14:paraId="2DE0EE9E">
            <w:pPr>
              <w:rPr>
                <w:rFonts w:ascii="Arial"/>
                <w:sz w:val="21"/>
              </w:rPr>
            </w:pPr>
          </w:p>
        </w:tc>
        <w:tc>
          <w:tcPr>
            <w:tcW w:w="113" w:type="dxa"/>
            <w:tcBorders>
              <w:top w:val="nil"/>
              <w:bottom w:val="nil"/>
            </w:tcBorders>
            <w:vAlign w:val="top"/>
          </w:tcPr>
          <w:p w14:paraId="01ABECD5">
            <w:pPr>
              <w:rPr>
                <w:rFonts w:ascii="Arial"/>
                <w:sz w:val="21"/>
              </w:rPr>
            </w:pPr>
          </w:p>
        </w:tc>
        <w:tc>
          <w:tcPr>
            <w:tcW w:w="2942" w:type="dxa"/>
            <w:vAlign w:val="top"/>
          </w:tcPr>
          <w:p w14:paraId="1C24EF4F">
            <w:pPr>
              <w:pStyle w:val="6"/>
              <w:spacing w:before="42" w:line="220" w:lineRule="auto"/>
              <w:ind w:left="154"/>
              <w:rPr>
                <w:sz w:val="22"/>
                <w:szCs w:val="22"/>
              </w:rPr>
            </w:pPr>
            <w:r>
              <w:rPr>
                <w:spacing w:val="-1"/>
                <w:sz w:val="22"/>
                <w:szCs w:val="22"/>
              </w:rPr>
              <w:t>禁止在生态保护红线区域、</w:t>
            </w:r>
          </w:p>
          <w:p w14:paraId="2AF6AA60">
            <w:pPr>
              <w:pStyle w:val="6"/>
              <w:spacing w:before="23" w:line="219" w:lineRule="auto"/>
              <w:ind w:left="156"/>
              <w:rPr>
                <w:sz w:val="22"/>
                <w:szCs w:val="22"/>
              </w:rPr>
            </w:pPr>
            <w:r>
              <w:rPr>
                <w:spacing w:val="-1"/>
                <w:sz w:val="22"/>
                <w:szCs w:val="22"/>
              </w:rPr>
              <w:t>永久基本农田集中区域和其</w:t>
            </w:r>
          </w:p>
          <w:p w14:paraId="5EF200B9">
            <w:pPr>
              <w:pStyle w:val="6"/>
              <w:spacing w:before="24" w:line="220" w:lineRule="auto"/>
              <w:ind w:left="154"/>
              <w:rPr>
                <w:sz w:val="22"/>
                <w:szCs w:val="22"/>
              </w:rPr>
            </w:pPr>
            <w:r>
              <w:rPr>
                <w:spacing w:val="-1"/>
                <w:sz w:val="22"/>
                <w:szCs w:val="22"/>
              </w:rPr>
              <w:t>他需要特别保护的区域内选</w:t>
            </w:r>
          </w:p>
          <w:p w14:paraId="26878A38">
            <w:pPr>
              <w:pStyle w:val="6"/>
              <w:spacing w:before="23" w:line="220" w:lineRule="auto"/>
              <w:ind w:left="155"/>
              <w:rPr>
                <w:sz w:val="22"/>
                <w:szCs w:val="22"/>
              </w:rPr>
            </w:pPr>
            <w:r>
              <w:rPr>
                <w:spacing w:val="-1"/>
                <w:sz w:val="22"/>
                <w:szCs w:val="22"/>
              </w:rPr>
              <w:t>址建设尾矿库、冶炼渣库、</w:t>
            </w:r>
          </w:p>
          <w:p w14:paraId="509320E5">
            <w:pPr>
              <w:pStyle w:val="6"/>
              <w:spacing w:before="23" w:line="204" w:lineRule="auto"/>
              <w:ind w:left="1033"/>
              <w:rPr>
                <w:sz w:val="22"/>
                <w:szCs w:val="22"/>
              </w:rPr>
            </w:pPr>
            <w:r>
              <w:rPr>
                <w:spacing w:val="-2"/>
                <w:sz w:val="22"/>
                <w:szCs w:val="22"/>
              </w:rPr>
              <w:t>磷石膏库</w:t>
            </w:r>
          </w:p>
        </w:tc>
        <w:tc>
          <w:tcPr>
            <w:tcW w:w="2221" w:type="dxa"/>
            <w:vMerge w:val="continue"/>
            <w:tcBorders>
              <w:top w:val="nil"/>
            </w:tcBorders>
            <w:vAlign w:val="top"/>
          </w:tcPr>
          <w:p w14:paraId="724A43F6">
            <w:pPr>
              <w:rPr>
                <w:rFonts w:ascii="Arial"/>
                <w:sz w:val="21"/>
              </w:rPr>
            </w:pPr>
          </w:p>
        </w:tc>
        <w:tc>
          <w:tcPr>
            <w:tcW w:w="1358" w:type="dxa"/>
            <w:vMerge w:val="continue"/>
            <w:tcBorders>
              <w:top w:val="nil"/>
            </w:tcBorders>
            <w:vAlign w:val="top"/>
          </w:tcPr>
          <w:p w14:paraId="37E01D50">
            <w:pPr>
              <w:rPr>
                <w:rFonts w:ascii="Arial"/>
                <w:sz w:val="21"/>
              </w:rPr>
            </w:pPr>
          </w:p>
        </w:tc>
        <w:tc>
          <w:tcPr>
            <w:tcW w:w="714" w:type="dxa"/>
            <w:vMerge w:val="continue"/>
            <w:tcBorders>
              <w:top w:val="nil"/>
            </w:tcBorders>
            <w:vAlign w:val="top"/>
          </w:tcPr>
          <w:p w14:paraId="3B1BAC3E">
            <w:pPr>
              <w:rPr>
                <w:rFonts w:ascii="Arial"/>
                <w:sz w:val="21"/>
              </w:rPr>
            </w:pPr>
          </w:p>
        </w:tc>
        <w:tc>
          <w:tcPr>
            <w:tcW w:w="126" w:type="dxa"/>
            <w:tcBorders>
              <w:top w:val="nil"/>
              <w:bottom w:val="nil"/>
              <w:right w:val="single" w:color="000000" w:sz="6" w:space="0"/>
            </w:tcBorders>
            <w:vAlign w:val="top"/>
          </w:tcPr>
          <w:p w14:paraId="250B9995">
            <w:pPr>
              <w:rPr>
                <w:rFonts w:ascii="Arial"/>
                <w:sz w:val="21"/>
              </w:rPr>
            </w:pPr>
          </w:p>
        </w:tc>
      </w:tr>
      <w:tr w14:paraId="6FF12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5" w:hRule="atLeast"/>
        </w:trPr>
        <w:tc>
          <w:tcPr>
            <w:tcW w:w="1400" w:type="dxa"/>
            <w:vMerge w:val="continue"/>
            <w:tcBorders>
              <w:top w:val="nil"/>
              <w:left w:val="single" w:color="000000" w:sz="6" w:space="0"/>
              <w:bottom w:val="nil"/>
            </w:tcBorders>
            <w:vAlign w:val="top"/>
          </w:tcPr>
          <w:p w14:paraId="04E59D47">
            <w:pPr>
              <w:rPr>
                <w:rFonts w:ascii="Arial"/>
                <w:sz w:val="21"/>
              </w:rPr>
            </w:pPr>
          </w:p>
        </w:tc>
        <w:tc>
          <w:tcPr>
            <w:tcW w:w="113" w:type="dxa"/>
            <w:tcBorders>
              <w:top w:val="nil"/>
              <w:bottom w:val="nil"/>
            </w:tcBorders>
            <w:vAlign w:val="top"/>
          </w:tcPr>
          <w:p w14:paraId="066F7214">
            <w:pPr>
              <w:rPr>
                <w:rFonts w:ascii="Arial"/>
                <w:sz w:val="21"/>
              </w:rPr>
            </w:pPr>
          </w:p>
        </w:tc>
        <w:tc>
          <w:tcPr>
            <w:tcW w:w="2942" w:type="dxa"/>
            <w:vAlign w:val="top"/>
          </w:tcPr>
          <w:p w14:paraId="338C6C5A">
            <w:pPr>
              <w:spacing w:line="266" w:lineRule="auto"/>
              <w:rPr>
                <w:rFonts w:ascii="Arial"/>
                <w:sz w:val="21"/>
              </w:rPr>
            </w:pPr>
          </w:p>
          <w:p w14:paraId="17CD4EA2">
            <w:pPr>
              <w:spacing w:line="267" w:lineRule="auto"/>
              <w:rPr>
                <w:rFonts w:ascii="Arial"/>
                <w:sz w:val="21"/>
              </w:rPr>
            </w:pPr>
          </w:p>
          <w:p w14:paraId="14820ABA">
            <w:pPr>
              <w:pStyle w:val="6"/>
              <w:spacing w:before="72" w:line="220" w:lineRule="auto"/>
              <w:ind w:left="154"/>
              <w:rPr>
                <w:sz w:val="22"/>
                <w:szCs w:val="22"/>
              </w:rPr>
            </w:pPr>
            <w:r>
              <w:rPr>
                <w:spacing w:val="-1"/>
                <w:sz w:val="22"/>
                <w:szCs w:val="22"/>
              </w:rPr>
              <w:t>禁止在合规园区外新建、扩</w:t>
            </w:r>
          </w:p>
          <w:p w14:paraId="73570F54">
            <w:pPr>
              <w:pStyle w:val="6"/>
              <w:spacing w:before="20" w:line="222" w:lineRule="auto"/>
              <w:jc w:val="right"/>
              <w:rPr>
                <w:sz w:val="22"/>
                <w:szCs w:val="22"/>
              </w:rPr>
            </w:pPr>
            <w:r>
              <w:rPr>
                <w:spacing w:val="-5"/>
                <w:sz w:val="22"/>
                <w:szCs w:val="22"/>
              </w:rPr>
              <w:t>建钢铁、石化、化工、焦化、</w:t>
            </w:r>
          </w:p>
          <w:p w14:paraId="6B823EA0">
            <w:pPr>
              <w:pStyle w:val="6"/>
              <w:spacing w:before="22" w:line="219" w:lineRule="auto"/>
              <w:ind w:left="157"/>
              <w:rPr>
                <w:sz w:val="22"/>
                <w:szCs w:val="22"/>
              </w:rPr>
            </w:pPr>
            <w:r>
              <w:rPr>
                <w:spacing w:val="-1"/>
                <w:sz w:val="22"/>
                <w:szCs w:val="22"/>
              </w:rPr>
              <w:t>建材、有色、制浆造纸等高</w:t>
            </w:r>
          </w:p>
          <w:p w14:paraId="31854870">
            <w:pPr>
              <w:pStyle w:val="6"/>
              <w:spacing w:before="23" w:line="221" w:lineRule="auto"/>
              <w:ind w:left="1034"/>
              <w:rPr>
                <w:sz w:val="22"/>
                <w:szCs w:val="22"/>
              </w:rPr>
            </w:pPr>
            <w:r>
              <w:rPr>
                <w:spacing w:val="-3"/>
                <w:sz w:val="22"/>
                <w:szCs w:val="22"/>
              </w:rPr>
              <w:t>污染项目</w:t>
            </w:r>
          </w:p>
        </w:tc>
        <w:tc>
          <w:tcPr>
            <w:tcW w:w="2221" w:type="dxa"/>
            <w:vAlign w:val="top"/>
          </w:tcPr>
          <w:p w14:paraId="20BF074E">
            <w:pPr>
              <w:spacing w:line="390" w:lineRule="auto"/>
              <w:rPr>
                <w:rFonts w:ascii="Arial"/>
                <w:sz w:val="21"/>
              </w:rPr>
            </w:pPr>
          </w:p>
          <w:p w14:paraId="497BDDF5">
            <w:pPr>
              <w:pStyle w:val="6"/>
              <w:spacing w:before="71" w:line="220" w:lineRule="auto"/>
              <w:ind w:left="128"/>
              <w:rPr>
                <w:sz w:val="22"/>
                <w:szCs w:val="22"/>
              </w:rPr>
            </w:pPr>
            <w:r>
              <w:rPr>
                <w:spacing w:val="-1"/>
                <w:sz w:val="22"/>
                <w:szCs w:val="22"/>
              </w:rPr>
              <w:t>禁止在合规园区外新</w:t>
            </w:r>
          </w:p>
          <w:p w14:paraId="482D862A">
            <w:pPr>
              <w:pStyle w:val="6"/>
              <w:spacing w:before="23" w:line="221" w:lineRule="auto"/>
              <w:jc w:val="right"/>
              <w:rPr>
                <w:sz w:val="22"/>
                <w:szCs w:val="22"/>
              </w:rPr>
            </w:pPr>
            <w:r>
              <w:rPr>
                <w:spacing w:val="-13"/>
                <w:sz w:val="22"/>
                <w:szCs w:val="22"/>
              </w:rPr>
              <w:t>建、扩建钢铁、石化、</w:t>
            </w:r>
          </w:p>
          <w:p w14:paraId="0A664214">
            <w:pPr>
              <w:pStyle w:val="6"/>
              <w:spacing w:before="20" w:line="219" w:lineRule="auto"/>
              <w:ind w:left="129"/>
              <w:rPr>
                <w:sz w:val="22"/>
                <w:szCs w:val="22"/>
              </w:rPr>
            </w:pPr>
            <w:r>
              <w:rPr>
                <w:spacing w:val="-1"/>
                <w:sz w:val="22"/>
                <w:szCs w:val="22"/>
              </w:rPr>
              <w:t>化工、焦化、建材、</w:t>
            </w:r>
          </w:p>
          <w:p w14:paraId="39511D8A">
            <w:pPr>
              <w:pStyle w:val="6"/>
              <w:spacing w:before="24" w:line="220" w:lineRule="auto"/>
              <w:ind w:left="129"/>
              <w:rPr>
                <w:sz w:val="22"/>
                <w:szCs w:val="22"/>
              </w:rPr>
            </w:pPr>
            <w:r>
              <w:rPr>
                <w:spacing w:val="-1"/>
                <w:sz w:val="22"/>
                <w:szCs w:val="22"/>
              </w:rPr>
              <w:t>有色、制浆造纸等高</w:t>
            </w:r>
          </w:p>
          <w:p w14:paraId="4D2E7BF9">
            <w:pPr>
              <w:pStyle w:val="6"/>
              <w:spacing w:before="23" w:line="221" w:lineRule="auto"/>
              <w:ind w:left="680"/>
              <w:rPr>
                <w:sz w:val="22"/>
                <w:szCs w:val="22"/>
              </w:rPr>
            </w:pPr>
            <w:r>
              <w:rPr>
                <w:spacing w:val="-3"/>
                <w:sz w:val="22"/>
                <w:szCs w:val="22"/>
              </w:rPr>
              <w:t>污染项目</w:t>
            </w:r>
          </w:p>
        </w:tc>
        <w:tc>
          <w:tcPr>
            <w:tcW w:w="1358" w:type="dxa"/>
            <w:vAlign w:val="top"/>
          </w:tcPr>
          <w:p w14:paraId="4A754E66">
            <w:pPr>
              <w:pStyle w:val="6"/>
              <w:spacing w:before="37" w:line="219" w:lineRule="auto"/>
              <w:ind w:left="140"/>
              <w:rPr>
                <w:sz w:val="22"/>
                <w:szCs w:val="22"/>
              </w:rPr>
            </w:pPr>
            <w:r>
              <w:rPr>
                <w:spacing w:val="-2"/>
                <w:sz w:val="22"/>
                <w:szCs w:val="22"/>
              </w:rPr>
              <w:t>本项目不属</w:t>
            </w:r>
          </w:p>
          <w:p w14:paraId="2785883E">
            <w:pPr>
              <w:pStyle w:val="6"/>
              <w:spacing w:before="23" w:line="221" w:lineRule="auto"/>
              <w:ind w:left="143"/>
              <w:rPr>
                <w:sz w:val="22"/>
                <w:szCs w:val="22"/>
              </w:rPr>
            </w:pPr>
            <w:r>
              <w:rPr>
                <w:spacing w:val="-1"/>
                <w:sz w:val="22"/>
                <w:szCs w:val="22"/>
              </w:rPr>
              <w:t>于新建、扩</w:t>
            </w:r>
          </w:p>
          <w:p w14:paraId="5F58B620">
            <w:pPr>
              <w:pStyle w:val="6"/>
              <w:spacing w:before="21" w:line="222" w:lineRule="auto"/>
              <w:ind w:left="142"/>
              <w:rPr>
                <w:sz w:val="22"/>
                <w:szCs w:val="22"/>
              </w:rPr>
            </w:pPr>
            <w:r>
              <w:rPr>
                <w:spacing w:val="-1"/>
                <w:sz w:val="22"/>
                <w:szCs w:val="22"/>
              </w:rPr>
              <w:t>建钢铁、石</w:t>
            </w:r>
          </w:p>
          <w:p w14:paraId="08C9686B">
            <w:pPr>
              <w:pStyle w:val="6"/>
              <w:spacing w:before="18"/>
              <w:ind w:left="118" w:right="20" w:firstLine="22"/>
              <w:rPr>
                <w:sz w:val="22"/>
                <w:szCs w:val="22"/>
              </w:rPr>
            </w:pPr>
            <w:r>
              <w:rPr>
                <w:spacing w:val="3"/>
                <w:sz w:val="22"/>
                <w:szCs w:val="22"/>
              </w:rPr>
              <w:t>化、化工、</w:t>
            </w:r>
            <w:r>
              <w:rPr>
                <w:spacing w:val="-18"/>
                <w:sz w:val="22"/>
                <w:szCs w:val="22"/>
              </w:rPr>
              <w:t>焦化、建材、</w:t>
            </w:r>
            <w:r>
              <w:rPr>
                <w:spacing w:val="2"/>
                <w:sz w:val="22"/>
                <w:szCs w:val="22"/>
              </w:rPr>
              <w:t>有色、制浆</w:t>
            </w:r>
          </w:p>
          <w:p w14:paraId="304C9D8E">
            <w:pPr>
              <w:pStyle w:val="6"/>
              <w:spacing w:line="221" w:lineRule="auto"/>
              <w:ind w:left="363" w:right="120" w:hanging="225"/>
              <w:rPr>
                <w:sz w:val="22"/>
                <w:szCs w:val="22"/>
              </w:rPr>
            </w:pPr>
            <w:r>
              <w:rPr>
                <w:spacing w:val="-2"/>
                <w:sz w:val="22"/>
                <w:szCs w:val="22"/>
              </w:rPr>
              <w:t>造纸等高污</w:t>
            </w:r>
            <w:r>
              <w:rPr>
                <w:spacing w:val="-4"/>
                <w:sz w:val="22"/>
                <w:szCs w:val="22"/>
              </w:rPr>
              <w:t>染项目</w:t>
            </w:r>
          </w:p>
        </w:tc>
        <w:tc>
          <w:tcPr>
            <w:tcW w:w="714" w:type="dxa"/>
            <w:vAlign w:val="top"/>
          </w:tcPr>
          <w:p w14:paraId="5D62804E">
            <w:pPr>
              <w:spacing w:line="319" w:lineRule="auto"/>
              <w:rPr>
                <w:rFonts w:ascii="Arial"/>
                <w:sz w:val="21"/>
              </w:rPr>
            </w:pPr>
          </w:p>
          <w:p w14:paraId="60A7BFDF">
            <w:pPr>
              <w:spacing w:line="319" w:lineRule="auto"/>
              <w:rPr>
                <w:rFonts w:ascii="Arial"/>
                <w:sz w:val="21"/>
              </w:rPr>
            </w:pPr>
          </w:p>
          <w:p w14:paraId="17D91343">
            <w:pPr>
              <w:spacing w:line="320" w:lineRule="auto"/>
              <w:rPr>
                <w:rFonts w:ascii="Arial"/>
                <w:sz w:val="21"/>
              </w:rPr>
            </w:pPr>
          </w:p>
          <w:p w14:paraId="4E17614F">
            <w:pPr>
              <w:pStyle w:val="6"/>
              <w:spacing w:before="71" w:line="220" w:lineRule="auto"/>
              <w:ind w:left="151"/>
              <w:rPr>
                <w:sz w:val="22"/>
                <w:szCs w:val="22"/>
              </w:rPr>
            </w:pPr>
            <w:r>
              <w:rPr>
                <w:spacing w:val="-5"/>
                <w:sz w:val="22"/>
                <w:szCs w:val="22"/>
              </w:rPr>
              <w:t>符合</w:t>
            </w:r>
          </w:p>
        </w:tc>
        <w:tc>
          <w:tcPr>
            <w:tcW w:w="126" w:type="dxa"/>
            <w:tcBorders>
              <w:top w:val="nil"/>
              <w:bottom w:val="nil"/>
              <w:right w:val="single" w:color="000000" w:sz="6" w:space="0"/>
            </w:tcBorders>
            <w:vAlign w:val="top"/>
          </w:tcPr>
          <w:p w14:paraId="36241935">
            <w:pPr>
              <w:rPr>
                <w:rFonts w:ascii="Arial"/>
                <w:sz w:val="21"/>
              </w:rPr>
            </w:pPr>
          </w:p>
        </w:tc>
      </w:tr>
      <w:tr w14:paraId="5D23F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0" w:hRule="atLeast"/>
        </w:trPr>
        <w:tc>
          <w:tcPr>
            <w:tcW w:w="1400" w:type="dxa"/>
            <w:vMerge w:val="continue"/>
            <w:tcBorders>
              <w:top w:val="nil"/>
              <w:left w:val="single" w:color="000000" w:sz="6" w:space="0"/>
              <w:bottom w:val="nil"/>
            </w:tcBorders>
            <w:vAlign w:val="top"/>
          </w:tcPr>
          <w:p w14:paraId="68B32756">
            <w:pPr>
              <w:rPr>
                <w:rFonts w:ascii="Arial"/>
                <w:sz w:val="21"/>
              </w:rPr>
            </w:pPr>
          </w:p>
        </w:tc>
        <w:tc>
          <w:tcPr>
            <w:tcW w:w="113" w:type="dxa"/>
            <w:tcBorders>
              <w:top w:val="nil"/>
              <w:bottom w:val="nil"/>
            </w:tcBorders>
            <w:vAlign w:val="top"/>
          </w:tcPr>
          <w:p w14:paraId="02DEE4E9">
            <w:pPr>
              <w:rPr>
                <w:rFonts w:ascii="Arial"/>
                <w:sz w:val="21"/>
              </w:rPr>
            </w:pPr>
          </w:p>
        </w:tc>
        <w:tc>
          <w:tcPr>
            <w:tcW w:w="2942" w:type="dxa"/>
            <w:vAlign w:val="top"/>
          </w:tcPr>
          <w:p w14:paraId="16A38C61">
            <w:pPr>
              <w:spacing w:line="267" w:lineRule="auto"/>
              <w:rPr>
                <w:rFonts w:ascii="Arial"/>
                <w:sz w:val="21"/>
              </w:rPr>
            </w:pPr>
          </w:p>
          <w:p w14:paraId="1762DE16">
            <w:pPr>
              <w:spacing w:line="268" w:lineRule="auto"/>
              <w:rPr>
                <w:rFonts w:ascii="Arial"/>
                <w:sz w:val="21"/>
              </w:rPr>
            </w:pPr>
          </w:p>
          <w:p w14:paraId="7998A877">
            <w:pPr>
              <w:pStyle w:val="6"/>
              <w:spacing w:before="72" w:line="220" w:lineRule="auto"/>
              <w:ind w:left="154"/>
              <w:rPr>
                <w:sz w:val="22"/>
                <w:szCs w:val="22"/>
              </w:rPr>
            </w:pPr>
            <w:r>
              <w:rPr>
                <w:spacing w:val="-1"/>
                <w:sz w:val="22"/>
                <w:szCs w:val="22"/>
              </w:rPr>
              <w:t>禁止新建、扩建不符合国家</w:t>
            </w:r>
          </w:p>
          <w:p w14:paraId="33382DCC">
            <w:pPr>
              <w:pStyle w:val="6"/>
              <w:spacing w:before="21" w:line="219" w:lineRule="auto"/>
              <w:ind w:left="155"/>
              <w:rPr>
                <w:sz w:val="22"/>
                <w:szCs w:val="22"/>
              </w:rPr>
            </w:pPr>
            <w:r>
              <w:rPr>
                <w:spacing w:val="-1"/>
                <w:sz w:val="22"/>
                <w:szCs w:val="22"/>
              </w:rPr>
              <w:t>石化、现代煤化工等产业布</w:t>
            </w:r>
          </w:p>
          <w:p w14:paraId="38804DEC">
            <w:pPr>
              <w:pStyle w:val="6"/>
              <w:spacing w:before="23" w:line="221" w:lineRule="auto"/>
              <w:ind w:left="817"/>
              <w:rPr>
                <w:sz w:val="22"/>
                <w:szCs w:val="22"/>
              </w:rPr>
            </w:pPr>
            <w:r>
              <w:rPr>
                <w:spacing w:val="-2"/>
                <w:sz w:val="22"/>
                <w:szCs w:val="22"/>
              </w:rPr>
              <w:t>局规划的项目</w:t>
            </w:r>
          </w:p>
        </w:tc>
        <w:tc>
          <w:tcPr>
            <w:tcW w:w="2221" w:type="dxa"/>
            <w:vAlign w:val="top"/>
          </w:tcPr>
          <w:p w14:paraId="471798CF">
            <w:pPr>
              <w:spacing w:line="392" w:lineRule="auto"/>
              <w:rPr>
                <w:rFonts w:ascii="Arial"/>
                <w:sz w:val="21"/>
              </w:rPr>
            </w:pPr>
          </w:p>
          <w:p w14:paraId="6F35DF0D">
            <w:pPr>
              <w:pStyle w:val="6"/>
              <w:spacing w:before="71" w:line="220" w:lineRule="auto"/>
              <w:ind w:left="128"/>
              <w:rPr>
                <w:sz w:val="22"/>
                <w:szCs w:val="22"/>
              </w:rPr>
            </w:pPr>
            <w:r>
              <w:rPr>
                <w:spacing w:val="-1"/>
                <w:sz w:val="22"/>
                <w:szCs w:val="22"/>
              </w:rPr>
              <w:t>禁止新建、扩建不符</w:t>
            </w:r>
          </w:p>
          <w:p w14:paraId="6404221F">
            <w:pPr>
              <w:pStyle w:val="6"/>
              <w:spacing w:before="23" w:line="220" w:lineRule="auto"/>
              <w:ind w:left="129"/>
              <w:rPr>
                <w:sz w:val="22"/>
                <w:szCs w:val="22"/>
              </w:rPr>
            </w:pPr>
            <w:r>
              <w:rPr>
                <w:spacing w:val="-1"/>
                <w:sz w:val="22"/>
                <w:szCs w:val="22"/>
              </w:rPr>
              <w:t>合国家石化、现代煤</w:t>
            </w:r>
          </w:p>
          <w:p w14:paraId="07FB771E">
            <w:pPr>
              <w:pStyle w:val="6"/>
              <w:spacing w:before="21" w:line="219" w:lineRule="auto"/>
              <w:ind w:left="129"/>
              <w:rPr>
                <w:sz w:val="22"/>
                <w:szCs w:val="22"/>
              </w:rPr>
            </w:pPr>
            <w:r>
              <w:rPr>
                <w:spacing w:val="-1"/>
                <w:sz w:val="22"/>
                <w:szCs w:val="22"/>
              </w:rPr>
              <w:t>化工等产业布局规划</w:t>
            </w:r>
          </w:p>
          <w:p w14:paraId="470486F7">
            <w:pPr>
              <w:pStyle w:val="6"/>
              <w:spacing w:before="23" w:line="221" w:lineRule="auto"/>
              <w:ind w:left="806"/>
              <w:rPr>
                <w:sz w:val="22"/>
                <w:szCs w:val="22"/>
              </w:rPr>
            </w:pPr>
            <w:r>
              <w:rPr>
                <w:spacing w:val="-9"/>
                <w:sz w:val="22"/>
                <w:szCs w:val="22"/>
              </w:rPr>
              <w:t>的项目</w:t>
            </w:r>
          </w:p>
        </w:tc>
        <w:tc>
          <w:tcPr>
            <w:tcW w:w="1358" w:type="dxa"/>
            <w:vAlign w:val="top"/>
          </w:tcPr>
          <w:p w14:paraId="7F0BDB68">
            <w:pPr>
              <w:pStyle w:val="6"/>
              <w:spacing w:before="39" w:line="219" w:lineRule="auto"/>
              <w:ind w:left="140"/>
              <w:rPr>
                <w:sz w:val="22"/>
                <w:szCs w:val="22"/>
              </w:rPr>
            </w:pPr>
            <w:r>
              <w:rPr>
                <w:spacing w:val="-2"/>
                <w:sz w:val="22"/>
                <w:szCs w:val="22"/>
              </w:rPr>
              <w:t>本项目不属</w:t>
            </w:r>
          </w:p>
          <w:p w14:paraId="02E1A4CF">
            <w:pPr>
              <w:pStyle w:val="6"/>
              <w:spacing w:before="23" w:line="221" w:lineRule="auto"/>
              <w:ind w:left="143"/>
              <w:rPr>
                <w:sz w:val="22"/>
                <w:szCs w:val="22"/>
              </w:rPr>
            </w:pPr>
            <w:r>
              <w:rPr>
                <w:spacing w:val="-1"/>
                <w:sz w:val="22"/>
                <w:szCs w:val="22"/>
              </w:rPr>
              <w:t>于新建、扩</w:t>
            </w:r>
          </w:p>
          <w:p w14:paraId="50D569E3">
            <w:pPr>
              <w:pStyle w:val="6"/>
              <w:spacing w:before="22" w:line="220" w:lineRule="auto"/>
              <w:ind w:left="142"/>
              <w:rPr>
                <w:sz w:val="22"/>
                <w:szCs w:val="22"/>
              </w:rPr>
            </w:pPr>
            <w:r>
              <w:rPr>
                <w:spacing w:val="-2"/>
                <w:sz w:val="22"/>
                <w:szCs w:val="22"/>
              </w:rPr>
              <w:t>建不符合国</w:t>
            </w:r>
          </w:p>
          <w:p w14:paraId="2B245898">
            <w:pPr>
              <w:pStyle w:val="6"/>
              <w:spacing w:before="20" w:line="221" w:lineRule="auto"/>
              <w:ind w:left="141"/>
              <w:rPr>
                <w:sz w:val="22"/>
                <w:szCs w:val="22"/>
              </w:rPr>
            </w:pPr>
            <w:r>
              <w:rPr>
                <w:sz w:val="22"/>
                <w:szCs w:val="22"/>
              </w:rPr>
              <w:t>家石化、现</w:t>
            </w:r>
          </w:p>
          <w:p w14:paraId="08031A8C">
            <w:pPr>
              <w:pStyle w:val="6"/>
              <w:spacing w:before="23" w:line="220" w:lineRule="auto"/>
              <w:ind w:left="138"/>
              <w:rPr>
                <w:sz w:val="22"/>
                <w:szCs w:val="22"/>
              </w:rPr>
            </w:pPr>
            <w:r>
              <w:rPr>
                <w:spacing w:val="-2"/>
                <w:sz w:val="22"/>
                <w:szCs w:val="22"/>
              </w:rPr>
              <w:t>代煤化工等</w:t>
            </w:r>
          </w:p>
          <w:p w14:paraId="0DA86F52">
            <w:pPr>
              <w:pStyle w:val="6"/>
              <w:spacing w:before="24" w:line="220" w:lineRule="auto"/>
              <w:ind w:left="248" w:right="120" w:hanging="109"/>
              <w:rPr>
                <w:sz w:val="22"/>
                <w:szCs w:val="22"/>
              </w:rPr>
            </w:pPr>
            <w:r>
              <w:rPr>
                <w:spacing w:val="-2"/>
                <w:sz w:val="22"/>
                <w:szCs w:val="22"/>
              </w:rPr>
              <w:t>产业布局规划的项目</w:t>
            </w:r>
          </w:p>
        </w:tc>
        <w:tc>
          <w:tcPr>
            <w:tcW w:w="714" w:type="dxa"/>
            <w:vAlign w:val="top"/>
          </w:tcPr>
          <w:p w14:paraId="2F4B6EAC">
            <w:pPr>
              <w:spacing w:line="272" w:lineRule="auto"/>
              <w:rPr>
                <w:rFonts w:ascii="Arial"/>
                <w:sz w:val="21"/>
              </w:rPr>
            </w:pPr>
          </w:p>
          <w:p w14:paraId="03B995DC">
            <w:pPr>
              <w:spacing w:line="272" w:lineRule="auto"/>
              <w:rPr>
                <w:rFonts w:ascii="Arial"/>
                <w:sz w:val="21"/>
              </w:rPr>
            </w:pPr>
          </w:p>
          <w:p w14:paraId="0FCF3AAB">
            <w:pPr>
              <w:spacing w:line="273" w:lineRule="auto"/>
              <w:rPr>
                <w:rFonts w:ascii="Arial"/>
                <w:sz w:val="21"/>
              </w:rPr>
            </w:pPr>
          </w:p>
          <w:p w14:paraId="41931326">
            <w:pPr>
              <w:pStyle w:val="6"/>
              <w:spacing w:before="71" w:line="220" w:lineRule="auto"/>
              <w:ind w:left="151"/>
              <w:rPr>
                <w:sz w:val="22"/>
                <w:szCs w:val="22"/>
              </w:rPr>
            </w:pPr>
            <w:r>
              <w:rPr>
                <w:spacing w:val="-5"/>
                <w:sz w:val="22"/>
                <w:szCs w:val="22"/>
              </w:rPr>
              <w:t>符合</w:t>
            </w:r>
          </w:p>
        </w:tc>
        <w:tc>
          <w:tcPr>
            <w:tcW w:w="126" w:type="dxa"/>
            <w:tcBorders>
              <w:top w:val="nil"/>
              <w:bottom w:val="nil"/>
              <w:right w:val="single" w:color="000000" w:sz="6" w:space="0"/>
            </w:tcBorders>
            <w:vAlign w:val="top"/>
          </w:tcPr>
          <w:p w14:paraId="6BC915B8">
            <w:pPr>
              <w:rPr>
                <w:rFonts w:ascii="Arial"/>
                <w:sz w:val="21"/>
              </w:rPr>
            </w:pPr>
          </w:p>
        </w:tc>
      </w:tr>
      <w:tr w14:paraId="406DA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3" w:hRule="atLeast"/>
        </w:trPr>
        <w:tc>
          <w:tcPr>
            <w:tcW w:w="1400" w:type="dxa"/>
            <w:vMerge w:val="continue"/>
            <w:tcBorders>
              <w:top w:val="nil"/>
              <w:left w:val="single" w:color="000000" w:sz="6" w:space="0"/>
              <w:bottom w:val="nil"/>
            </w:tcBorders>
            <w:vAlign w:val="top"/>
          </w:tcPr>
          <w:p w14:paraId="0E63EDFF">
            <w:pPr>
              <w:rPr>
                <w:rFonts w:ascii="Arial"/>
                <w:sz w:val="21"/>
              </w:rPr>
            </w:pPr>
          </w:p>
        </w:tc>
        <w:tc>
          <w:tcPr>
            <w:tcW w:w="113" w:type="dxa"/>
            <w:tcBorders>
              <w:top w:val="nil"/>
              <w:bottom w:val="nil"/>
            </w:tcBorders>
            <w:vAlign w:val="top"/>
          </w:tcPr>
          <w:p w14:paraId="7BEFE85C">
            <w:pPr>
              <w:rPr>
                <w:rFonts w:ascii="Arial"/>
                <w:sz w:val="21"/>
              </w:rPr>
            </w:pPr>
          </w:p>
        </w:tc>
        <w:tc>
          <w:tcPr>
            <w:tcW w:w="2942" w:type="dxa"/>
            <w:vAlign w:val="top"/>
          </w:tcPr>
          <w:p w14:paraId="6CDCB5A9">
            <w:pPr>
              <w:pStyle w:val="6"/>
              <w:spacing w:before="42" w:line="220" w:lineRule="auto"/>
              <w:ind w:left="154"/>
              <w:rPr>
                <w:sz w:val="22"/>
                <w:szCs w:val="22"/>
              </w:rPr>
            </w:pPr>
            <w:r>
              <w:rPr>
                <w:spacing w:val="-1"/>
                <w:sz w:val="22"/>
                <w:szCs w:val="22"/>
              </w:rPr>
              <w:t>禁止新建、扩建法律法规和</w:t>
            </w:r>
          </w:p>
          <w:p w14:paraId="313B0626">
            <w:pPr>
              <w:pStyle w:val="6"/>
              <w:spacing w:before="21" w:line="219" w:lineRule="auto"/>
              <w:ind w:left="154"/>
              <w:rPr>
                <w:sz w:val="22"/>
                <w:szCs w:val="22"/>
              </w:rPr>
            </w:pPr>
            <w:r>
              <w:rPr>
                <w:spacing w:val="-1"/>
                <w:sz w:val="22"/>
                <w:szCs w:val="22"/>
              </w:rPr>
              <w:t>相关政策明令禁止的落后产</w:t>
            </w:r>
          </w:p>
          <w:p w14:paraId="49B4EED7">
            <w:pPr>
              <w:pStyle w:val="6"/>
              <w:spacing w:before="24" w:line="220" w:lineRule="auto"/>
              <w:ind w:left="163"/>
              <w:rPr>
                <w:sz w:val="22"/>
                <w:szCs w:val="22"/>
              </w:rPr>
            </w:pPr>
            <w:r>
              <w:rPr>
                <w:spacing w:val="-2"/>
                <w:sz w:val="22"/>
                <w:szCs w:val="22"/>
              </w:rPr>
              <w:t>能项目。对《产业结构调整</w:t>
            </w:r>
          </w:p>
          <w:p w14:paraId="6722AE96">
            <w:pPr>
              <w:pStyle w:val="6"/>
              <w:spacing w:before="23" w:line="220" w:lineRule="auto"/>
              <w:ind w:left="157"/>
              <w:rPr>
                <w:sz w:val="22"/>
                <w:szCs w:val="22"/>
              </w:rPr>
            </w:pPr>
            <w:r>
              <w:rPr>
                <w:spacing w:val="-1"/>
                <w:sz w:val="22"/>
                <w:szCs w:val="22"/>
              </w:rPr>
              <w:t>指导目录》中淘汰类项目，</w:t>
            </w:r>
          </w:p>
          <w:p w14:paraId="7189FCA7">
            <w:pPr>
              <w:pStyle w:val="6"/>
              <w:spacing w:before="23" w:line="220" w:lineRule="auto"/>
              <w:ind w:left="154"/>
              <w:rPr>
                <w:sz w:val="22"/>
                <w:szCs w:val="22"/>
              </w:rPr>
            </w:pPr>
            <w:r>
              <w:rPr>
                <w:spacing w:val="-1"/>
                <w:sz w:val="22"/>
                <w:szCs w:val="22"/>
              </w:rPr>
              <w:t>禁止投资，限制类的新建项</w:t>
            </w:r>
          </w:p>
          <w:p w14:paraId="1D787731">
            <w:pPr>
              <w:pStyle w:val="6"/>
              <w:spacing w:before="23" w:line="220" w:lineRule="auto"/>
              <w:ind w:left="197"/>
              <w:rPr>
                <w:sz w:val="22"/>
                <w:szCs w:val="22"/>
              </w:rPr>
            </w:pPr>
            <w:r>
              <w:rPr>
                <w:spacing w:val="-5"/>
                <w:sz w:val="22"/>
                <w:szCs w:val="22"/>
              </w:rPr>
              <w:t>目，禁止投资，对属于限制</w:t>
            </w:r>
          </w:p>
          <w:p w14:paraId="5FA5C61C">
            <w:pPr>
              <w:pStyle w:val="6"/>
              <w:spacing w:before="24" w:line="220" w:lineRule="auto"/>
              <w:ind w:left="154"/>
              <w:rPr>
                <w:sz w:val="22"/>
                <w:szCs w:val="22"/>
              </w:rPr>
            </w:pPr>
            <w:r>
              <w:rPr>
                <w:spacing w:val="-1"/>
                <w:sz w:val="22"/>
                <w:szCs w:val="22"/>
              </w:rPr>
              <w:t>类的现有生产能力，允许企</w:t>
            </w:r>
          </w:p>
          <w:p w14:paraId="1980A4F2">
            <w:pPr>
              <w:pStyle w:val="6"/>
              <w:spacing w:before="24" w:line="219" w:lineRule="auto"/>
              <w:ind w:left="153"/>
              <w:rPr>
                <w:sz w:val="22"/>
                <w:szCs w:val="22"/>
              </w:rPr>
            </w:pPr>
            <w:r>
              <w:rPr>
                <w:spacing w:val="-1"/>
                <w:sz w:val="22"/>
                <w:szCs w:val="22"/>
              </w:rPr>
              <w:t>业在一定期限内采取措施改</w:t>
            </w:r>
          </w:p>
          <w:p w14:paraId="0E54ACAB">
            <w:pPr>
              <w:pStyle w:val="6"/>
              <w:spacing w:before="23" w:line="183" w:lineRule="auto"/>
              <w:ind w:left="1142"/>
              <w:rPr>
                <w:sz w:val="22"/>
                <w:szCs w:val="22"/>
              </w:rPr>
            </w:pPr>
            <w:r>
              <w:rPr>
                <w:spacing w:val="-2"/>
                <w:sz w:val="22"/>
                <w:szCs w:val="22"/>
              </w:rPr>
              <w:t>造升级</w:t>
            </w:r>
          </w:p>
        </w:tc>
        <w:tc>
          <w:tcPr>
            <w:tcW w:w="2221" w:type="dxa"/>
            <w:vMerge w:val="restart"/>
            <w:tcBorders>
              <w:bottom w:val="nil"/>
            </w:tcBorders>
            <w:vAlign w:val="top"/>
          </w:tcPr>
          <w:p w14:paraId="20012114">
            <w:pPr>
              <w:spacing w:line="279" w:lineRule="auto"/>
              <w:rPr>
                <w:rFonts w:ascii="Arial"/>
                <w:sz w:val="21"/>
              </w:rPr>
            </w:pPr>
          </w:p>
          <w:p w14:paraId="630D90E3">
            <w:pPr>
              <w:spacing w:line="279" w:lineRule="auto"/>
              <w:rPr>
                <w:rFonts w:ascii="Arial"/>
                <w:sz w:val="21"/>
              </w:rPr>
            </w:pPr>
          </w:p>
          <w:p w14:paraId="372B9026">
            <w:pPr>
              <w:spacing w:line="279" w:lineRule="auto"/>
              <w:rPr>
                <w:rFonts w:ascii="Arial"/>
                <w:sz w:val="21"/>
              </w:rPr>
            </w:pPr>
          </w:p>
          <w:p w14:paraId="7DC4DEFD">
            <w:pPr>
              <w:spacing w:line="279" w:lineRule="auto"/>
              <w:rPr>
                <w:rFonts w:ascii="Arial"/>
                <w:sz w:val="21"/>
              </w:rPr>
            </w:pPr>
          </w:p>
          <w:p w14:paraId="21762CCD">
            <w:pPr>
              <w:spacing w:line="280" w:lineRule="auto"/>
              <w:rPr>
                <w:rFonts w:ascii="Arial"/>
                <w:sz w:val="21"/>
              </w:rPr>
            </w:pPr>
          </w:p>
          <w:p w14:paraId="70642C1B">
            <w:pPr>
              <w:pStyle w:val="6"/>
              <w:spacing w:before="71"/>
              <w:ind w:left="128" w:right="115"/>
              <w:jc w:val="both"/>
              <w:rPr>
                <w:sz w:val="22"/>
                <w:szCs w:val="22"/>
              </w:rPr>
            </w:pPr>
            <w:r>
              <w:rPr>
                <w:spacing w:val="-1"/>
                <w:sz w:val="22"/>
                <w:szCs w:val="22"/>
              </w:rPr>
              <w:t>禁止新建、扩建法律</w:t>
            </w:r>
            <w:r>
              <w:rPr>
                <w:spacing w:val="-2"/>
                <w:sz w:val="22"/>
                <w:szCs w:val="22"/>
              </w:rPr>
              <w:t>法规和相关政策明令</w:t>
            </w:r>
            <w:r>
              <w:rPr>
                <w:spacing w:val="12"/>
                <w:sz w:val="22"/>
                <w:szCs w:val="22"/>
              </w:rPr>
              <w:t>禁止的落后产能项</w:t>
            </w:r>
            <w:r>
              <w:rPr>
                <w:spacing w:val="-2"/>
                <w:sz w:val="22"/>
                <w:szCs w:val="22"/>
              </w:rPr>
              <w:t>目。禁止新建、扩建不符合国家产能置换要求的严重过剩产能行业的项目。禁止新建、扩建不符合要求的高耗能高排放项目</w:t>
            </w:r>
          </w:p>
        </w:tc>
        <w:tc>
          <w:tcPr>
            <w:tcW w:w="1358" w:type="dxa"/>
            <w:vMerge w:val="restart"/>
            <w:tcBorders>
              <w:bottom w:val="nil"/>
            </w:tcBorders>
            <w:vAlign w:val="top"/>
          </w:tcPr>
          <w:p w14:paraId="554331D4">
            <w:pPr>
              <w:pStyle w:val="6"/>
              <w:spacing w:before="194" w:line="219" w:lineRule="auto"/>
              <w:ind w:left="140"/>
              <w:rPr>
                <w:sz w:val="22"/>
                <w:szCs w:val="22"/>
              </w:rPr>
            </w:pPr>
            <w:r>
              <w:rPr>
                <w:spacing w:val="-2"/>
                <w:sz w:val="22"/>
                <w:szCs w:val="22"/>
              </w:rPr>
              <w:t>本项目不属</w:t>
            </w:r>
          </w:p>
          <w:p w14:paraId="2E4D678B">
            <w:pPr>
              <w:pStyle w:val="6"/>
              <w:spacing w:before="23" w:line="221" w:lineRule="auto"/>
              <w:ind w:left="143"/>
              <w:rPr>
                <w:sz w:val="22"/>
                <w:szCs w:val="22"/>
              </w:rPr>
            </w:pPr>
            <w:r>
              <w:rPr>
                <w:spacing w:val="-1"/>
                <w:sz w:val="22"/>
                <w:szCs w:val="22"/>
              </w:rPr>
              <w:t>于新建、扩</w:t>
            </w:r>
          </w:p>
          <w:p w14:paraId="5A372AEC">
            <w:pPr>
              <w:pStyle w:val="6"/>
              <w:spacing w:before="22" w:line="220" w:lineRule="auto"/>
              <w:ind w:left="142"/>
              <w:rPr>
                <w:sz w:val="22"/>
                <w:szCs w:val="22"/>
              </w:rPr>
            </w:pPr>
            <w:r>
              <w:rPr>
                <w:spacing w:val="-2"/>
                <w:sz w:val="22"/>
                <w:szCs w:val="22"/>
              </w:rPr>
              <w:t>建法律法规</w:t>
            </w:r>
          </w:p>
          <w:p w14:paraId="2D14558F">
            <w:pPr>
              <w:pStyle w:val="6"/>
              <w:spacing w:before="20" w:line="221" w:lineRule="auto"/>
              <w:ind w:left="140"/>
              <w:rPr>
                <w:sz w:val="22"/>
                <w:szCs w:val="22"/>
              </w:rPr>
            </w:pPr>
            <w:r>
              <w:rPr>
                <w:spacing w:val="-2"/>
                <w:sz w:val="22"/>
                <w:szCs w:val="22"/>
              </w:rPr>
              <w:t>和相关政策</w:t>
            </w:r>
          </w:p>
          <w:p w14:paraId="697E96E5">
            <w:pPr>
              <w:pStyle w:val="6"/>
              <w:spacing w:before="23" w:line="219" w:lineRule="auto"/>
              <w:ind w:left="160"/>
              <w:rPr>
                <w:sz w:val="22"/>
                <w:szCs w:val="22"/>
              </w:rPr>
            </w:pPr>
            <w:r>
              <w:rPr>
                <w:spacing w:val="-6"/>
                <w:sz w:val="22"/>
                <w:szCs w:val="22"/>
              </w:rPr>
              <w:t>明令禁止的</w:t>
            </w:r>
          </w:p>
          <w:p w14:paraId="7FA01677">
            <w:pPr>
              <w:pStyle w:val="6"/>
              <w:spacing w:before="24" w:line="220" w:lineRule="auto"/>
              <w:ind w:left="141"/>
              <w:rPr>
                <w:sz w:val="22"/>
                <w:szCs w:val="22"/>
              </w:rPr>
            </w:pPr>
            <w:r>
              <w:rPr>
                <w:spacing w:val="-2"/>
                <w:sz w:val="22"/>
                <w:szCs w:val="22"/>
              </w:rPr>
              <w:t>落后产能项</w:t>
            </w:r>
          </w:p>
          <w:p w14:paraId="7DE143A5">
            <w:pPr>
              <w:pStyle w:val="6"/>
              <w:spacing w:before="23" w:line="222" w:lineRule="auto"/>
              <w:ind w:left="182"/>
              <w:rPr>
                <w:sz w:val="22"/>
                <w:szCs w:val="22"/>
              </w:rPr>
            </w:pPr>
            <w:r>
              <w:rPr>
                <w:spacing w:val="-10"/>
                <w:sz w:val="22"/>
                <w:szCs w:val="22"/>
              </w:rPr>
              <w:t>目。也不属</w:t>
            </w:r>
          </w:p>
          <w:p w14:paraId="115F1D31">
            <w:pPr>
              <w:pStyle w:val="6"/>
              <w:spacing w:before="22" w:line="221" w:lineRule="auto"/>
              <w:ind w:left="143"/>
              <w:rPr>
                <w:sz w:val="22"/>
                <w:szCs w:val="22"/>
              </w:rPr>
            </w:pPr>
            <w:r>
              <w:rPr>
                <w:spacing w:val="-1"/>
                <w:sz w:val="22"/>
                <w:szCs w:val="22"/>
              </w:rPr>
              <w:t>于新建、扩</w:t>
            </w:r>
          </w:p>
          <w:p w14:paraId="309DC002">
            <w:pPr>
              <w:pStyle w:val="6"/>
              <w:spacing w:before="22" w:line="220" w:lineRule="auto"/>
              <w:ind w:left="142"/>
              <w:rPr>
                <w:sz w:val="22"/>
                <w:szCs w:val="22"/>
              </w:rPr>
            </w:pPr>
            <w:r>
              <w:rPr>
                <w:spacing w:val="-2"/>
                <w:sz w:val="22"/>
                <w:szCs w:val="22"/>
              </w:rPr>
              <w:t>建不符合国</w:t>
            </w:r>
          </w:p>
          <w:p w14:paraId="0176A83A">
            <w:pPr>
              <w:pStyle w:val="6"/>
              <w:spacing w:before="24" w:line="220" w:lineRule="auto"/>
              <w:ind w:left="141"/>
              <w:rPr>
                <w:sz w:val="22"/>
                <w:szCs w:val="22"/>
              </w:rPr>
            </w:pPr>
            <w:r>
              <w:rPr>
                <w:spacing w:val="-2"/>
                <w:sz w:val="22"/>
                <w:szCs w:val="22"/>
              </w:rPr>
              <w:t>家产能置换</w:t>
            </w:r>
          </w:p>
          <w:p w14:paraId="542E4B56">
            <w:pPr>
              <w:pStyle w:val="6"/>
              <w:spacing w:before="23" w:line="221" w:lineRule="auto"/>
              <w:ind w:left="140"/>
              <w:rPr>
                <w:sz w:val="22"/>
                <w:szCs w:val="22"/>
              </w:rPr>
            </w:pPr>
            <w:r>
              <w:rPr>
                <w:spacing w:val="-2"/>
                <w:sz w:val="22"/>
                <w:szCs w:val="22"/>
              </w:rPr>
              <w:t>要求的严重</w:t>
            </w:r>
          </w:p>
          <w:p w14:paraId="40781C29">
            <w:pPr>
              <w:pStyle w:val="6"/>
              <w:spacing w:before="22" w:line="220" w:lineRule="auto"/>
              <w:ind w:left="140"/>
              <w:rPr>
                <w:sz w:val="22"/>
                <w:szCs w:val="22"/>
              </w:rPr>
            </w:pPr>
            <w:r>
              <w:rPr>
                <w:spacing w:val="-2"/>
                <w:sz w:val="22"/>
                <w:szCs w:val="22"/>
              </w:rPr>
              <w:t>过剩产能行</w:t>
            </w:r>
          </w:p>
          <w:p w14:paraId="6CD4CA14">
            <w:pPr>
              <w:pStyle w:val="6"/>
              <w:spacing w:before="21" w:line="221" w:lineRule="auto"/>
              <w:ind w:left="138"/>
              <w:rPr>
                <w:sz w:val="22"/>
                <w:szCs w:val="22"/>
              </w:rPr>
            </w:pPr>
            <w:r>
              <w:rPr>
                <w:spacing w:val="-2"/>
                <w:sz w:val="22"/>
                <w:szCs w:val="22"/>
              </w:rPr>
              <w:t>业的项目。</w:t>
            </w:r>
          </w:p>
          <w:p w14:paraId="017DBC4E">
            <w:pPr>
              <w:pStyle w:val="6"/>
              <w:spacing w:before="22" w:line="221" w:lineRule="auto"/>
              <w:ind w:left="144"/>
              <w:rPr>
                <w:sz w:val="22"/>
                <w:szCs w:val="22"/>
              </w:rPr>
            </w:pPr>
            <w:r>
              <w:rPr>
                <w:spacing w:val="-3"/>
                <w:sz w:val="22"/>
                <w:szCs w:val="22"/>
              </w:rPr>
              <w:t>也不属于新</w:t>
            </w:r>
          </w:p>
          <w:p w14:paraId="745395DD">
            <w:pPr>
              <w:pStyle w:val="6"/>
              <w:spacing w:before="22" w:line="221" w:lineRule="auto"/>
              <w:ind w:left="142"/>
              <w:rPr>
                <w:sz w:val="22"/>
                <w:szCs w:val="22"/>
              </w:rPr>
            </w:pPr>
            <w:r>
              <w:rPr>
                <w:spacing w:val="-2"/>
                <w:sz w:val="22"/>
                <w:szCs w:val="22"/>
              </w:rPr>
              <w:t>建、扩建不</w:t>
            </w:r>
          </w:p>
          <w:p w14:paraId="304F896C">
            <w:pPr>
              <w:pStyle w:val="6"/>
              <w:spacing w:before="23" w:line="220" w:lineRule="auto"/>
              <w:ind w:left="141"/>
              <w:rPr>
                <w:sz w:val="22"/>
                <w:szCs w:val="22"/>
              </w:rPr>
            </w:pPr>
            <w:r>
              <w:rPr>
                <w:spacing w:val="-2"/>
                <w:sz w:val="22"/>
                <w:szCs w:val="22"/>
              </w:rPr>
              <w:t>符合要求的</w:t>
            </w:r>
          </w:p>
          <w:p w14:paraId="486038FC">
            <w:pPr>
              <w:pStyle w:val="6"/>
              <w:spacing w:before="23" w:line="242" w:lineRule="auto"/>
              <w:ind w:left="359" w:right="120" w:hanging="214"/>
              <w:rPr>
                <w:sz w:val="22"/>
                <w:szCs w:val="22"/>
              </w:rPr>
            </w:pPr>
            <w:r>
              <w:rPr>
                <w:spacing w:val="-3"/>
                <w:sz w:val="22"/>
                <w:szCs w:val="22"/>
              </w:rPr>
              <w:t>高耗能高排放项目</w:t>
            </w:r>
          </w:p>
        </w:tc>
        <w:tc>
          <w:tcPr>
            <w:tcW w:w="714" w:type="dxa"/>
            <w:vMerge w:val="restart"/>
            <w:tcBorders>
              <w:bottom w:val="nil"/>
            </w:tcBorders>
            <w:vAlign w:val="top"/>
          </w:tcPr>
          <w:p w14:paraId="3CB7741B">
            <w:pPr>
              <w:spacing w:line="253" w:lineRule="auto"/>
              <w:rPr>
                <w:rFonts w:ascii="Arial"/>
                <w:sz w:val="21"/>
              </w:rPr>
            </w:pPr>
          </w:p>
          <w:p w14:paraId="33C77811">
            <w:pPr>
              <w:spacing w:line="253" w:lineRule="auto"/>
              <w:rPr>
                <w:rFonts w:ascii="Arial"/>
                <w:sz w:val="21"/>
              </w:rPr>
            </w:pPr>
          </w:p>
          <w:p w14:paraId="7C938740">
            <w:pPr>
              <w:spacing w:line="253" w:lineRule="auto"/>
              <w:rPr>
                <w:rFonts w:ascii="Arial"/>
                <w:sz w:val="21"/>
              </w:rPr>
            </w:pPr>
          </w:p>
          <w:p w14:paraId="4F605C59">
            <w:pPr>
              <w:spacing w:line="253" w:lineRule="auto"/>
              <w:rPr>
                <w:rFonts w:ascii="Arial"/>
                <w:sz w:val="21"/>
              </w:rPr>
            </w:pPr>
          </w:p>
          <w:p w14:paraId="225537C4">
            <w:pPr>
              <w:spacing w:line="253" w:lineRule="auto"/>
              <w:rPr>
                <w:rFonts w:ascii="Arial"/>
                <w:sz w:val="21"/>
              </w:rPr>
            </w:pPr>
          </w:p>
          <w:p w14:paraId="7648DC31">
            <w:pPr>
              <w:spacing w:line="253" w:lineRule="auto"/>
              <w:rPr>
                <w:rFonts w:ascii="Arial"/>
                <w:sz w:val="21"/>
              </w:rPr>
            </w:pPr>
          </w:p>
          <w:p w14:paraId="0DBD98E1">
            <w:pPr>
              <w:spacing w:line="253" w:lineRule="auto"/>
              <w:rPr>
                <w:rFonts w:ascii="Arial"/>
                <w:sz w:val="21"/>
              </w:rPr>
            </w:pPr>
          </w:p>
          <w:p w14:paraId="7DE3991E">
            <w:pPr>
              <w:spacing w:line="253" w:lineRule="auto"/>
              <w:rPr>
                <w:rFonts w:ascii="Arial"/>
                <w:sz w:val="21"/>
              </w:rPr>
            </w:pPr>
          </w:p>
          <w:p w14:paraId="5A31E0FB">
            <w:pPr>
              <w:spacing w:line="253" w:lineRule="auto"/>
              <w:rPr>
                <w:rFonts w:ascii="Arial"/>
                <w:sz w:val="21"/>
              </w:rPr>
            </w:pPr>
          </w:p>
          <w:p w14:paraId="080895E5">
            <w:pPr>
              <w:spacing w:line="254" w:lineRule="auto"/>
              <w:rPr>
                <w:rFonts w:ascii="Arial"/>
                <w:sz w:val="21"/>
              </w:rPr>
            </w:pPr>
          </w:p>
          <w:p w14:paraId="714A566B">
            <w:pPr>
              <w:pStyle w:val="6"/>
              <w:spacing w:before="71" w:line="220" w:lineRule="auto"/>
              <w:ind w:left="151"/>
              <w:rPr>
                <w:sz w:val="22"/>
                <w:szCs w:val="22"/>
              </w:rPr>
            </w:pPr>
            <w:r>
              <w:rPr>
                <w:spacing w:val="-5"/>
                <w:sz w:val="22"/>
                <w:szCs w:val="22"/>
              </w:rPr>
              <w:t>符合</w:t>
            </w:r>
          </w:p>
        </w:tc>
        <w:tc>
          <w:tcPr>
            <w:tcW w:w="126" w:type="dxa"/>
            <w:tcBorders>
              <w:top w:val="nil"/>
              <w:bottom w:val="nil"/>
              <w:right w:val="single" w:color="000000" w:sz="6" w:space="0"/>
            </w:tcBorders>
            <w:vAlign w:val="top"/>
          </w:tcPr>
          <w:p w14:paraId="790F4C4D">
            <w:pPr>
              <w:rPr>
                <w:rFonts w:ascii="Arial"/>
                <w:sz w:val="21"/>
              </w:rPr>
            </w:pPr>
          </w:p>
        </w:tc>
      </w:tr>
      <w:tr w14:paraId="00B3A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94" w:hRule="atLeast"/>
        </w:trPr>
        <w:tc>
          <w:tcPr>
            <w:tcW w:w="1400" w:type="dxa"/>
            <w:vMerge w:val="continue"/>
            <w:tcBorders>
              <w:top w:val="nil"/>
              <w:left w:val="single" w:color="000000" w:sz="6" w:space="0"/>
              <w:bottom w:val="nil"/>
            </w:tcBorders>
            <w:vAlign w:val="top"/>
          </w:tcPr>
          <w:p w14:paraId="3ED3BCC2">
            <w:pPr>
              <w:rPr>
                <w:rFonts w:ascii="Arial"/>
                <w:sz w:val="21"/>
              </w:rPr>
            </w:pPr>
          </w:p>
        </w:tc>
        <w:tc>
          <w:tcPr>
            <w:tcW w:w="113" w:type="dxa"/>
            <w:tcBorders>
              <w:top w:val="nil"/>
              <w:bottom w:val="nil"/>
            </w:tcBorders>
            <w:vAlign w:val="top"/>
          </w:tcPr>
          <w:p w14:paraId="508AFB05">
            <w:pPr>
              <w:rPr>
                <w:rFonts w:ascii="Arial"/>
                <w:sz w:val="21"/>
              </w:rPr>
            </w:pPr>
          </w:p>
        </w:tc>
        <w:tc>
          <w:tcPr>
            <w:tcW w:w="2942" w:type="dxa"/>
            <w:vAlign w:val="top"/>
          </w:tcPr>
          <w:p w14:paraId="787F6DBE">
            <w:pPr>
              <w:pStyle w:val="6"/>
              <w:spacing w:before="60" w:line="220" w:lineRule="auto"/>
              <w:ind w:left="154"/>
              <w:rPr>
                <w:sz w:val="22"/>
                <w:szCs w:val="22"/>
              </w:rPr>
            </w:pPr>
            <w:r>
              <w:rPr>
                <w:spacing w:val="-1"/>
                <w:sz w:val="22"/>
                <w:szCs w:val="22"/>
              </w:rPr>
              <w:t>禁止新建、扩建不符合国家</w:t>
            </w:r>
          </w:p>
          <w:p w14:paraId="67CFD6E2">
            <w:pPr>
              <w:pStyle w:val="6"/>
              <w:spacing w:before="23" w:line="220" w:lineRule="auto"/>
              <w:ind w:left="154"/>
              <w:rPr>
                <w:sz w:val="22"/>
                <w:szCs w:val="22"/>
              </w:rPr>
            </w:pPr>
            <w:r>
              <w:rPr>
                <w:spacing w:val="-1"/>
                <w:sz w:val="22"/>
                <w:szCs w:val="22"/>
              </w:rPr>
              <w:t>产能置换要求的严重过剩产</w:t>
            </w:r>
          </w:p>
          <w:p w14:paraId="7AC902F6">
            <w:pPr>
              <w:pStyle w:val="6"/>
              <w:spacing w:before="23" w:line="220" w:lineRule="auto"/>
              <w:ind w:left="163"/>
              <w:rPr>
                <w:sz w:val="22"/>
                <w:szCs w:val="22"/>
              </w:rPr>
            </w:pPr>
            <w:r>
              <w:rPr>
                <w:spacing w:val="-2"/>
                <w:sz w:val="22"/>
                <w:szCs w:val="22"/>
              </w:rPr>
              <w:t>能行业的项目。对于不符合</w:t>
            </w:r>
          </w:p>
          <w:p w14:paraId="5CB2592F">
            <w:pPr>
              <w:pStyle w:val="6"/>
              <w:spacing w:before="23" w:line="220" w:lineRule="auto"/>
              <w:ind w:left="176"/>
              <w:rPr>
                <w:sz w:val="22"/>
                <w:szCs w:val="22"/>
              </w:rPr>
            </w:pPr>
            <w:r>
              <w:rPr>
                <w:spacing w:val="-3"/>
                <w:sz w:val="22"/>
                <w:szCs w:val="22"/>
              </w:rPr>
              <w:t>国家产能置换要求的严重过</w:t>
            </w:r>
          </w:p>
          <w:p w14:paraId="777763CC">
            <w:pPr>
              <w:pStyle w:val="6"/>
              <w:spacing w:before="23" w:line="220" w:lineRule="auto"/>
              <w:ind w:left="154"/>
              <w:rPr>
                <w:sz w:val="22"/>
                <w:szCs w:val="22"/>
              </w:rPr>
            </w:pPr>
            <w:r>
              <w:rPr>
                <w:spacing w:val="-1"/>
                <w:sz w:val="22"/>
                <w:szCs w:val="22"/>
              </w:rPr>
              <w:t>剩产能行业，不得以其他任</w:t>
            </w:r>
          </w:p>
          <w:p w14:paraId="433EFFD2">
            <w:pPr>
              <w:pStyle w:val="6"/>
              <w:spacing w:before="23" w:line="220" w:lineRule="auto"/>
              <w:ind w:left="158"/>
              <w:rPr>
                <w:sz w:val="22"/>
                <w:szCs w:val="22"/>
              </w:rPr>
            </w:pPr>
            <w:r>
              <w:rPr>
                <w:spacing w:val="-1"/>
                <w:sz w:val="22"/>
                <w:szCs w:val="22"/>
              </w:rPr>
              <w:t>何名义、任何方式备案新增</w:t>
            </w:r>
          </w:p>
          <w:p w14:paraId="7BB24E69">
            <w:pPr>
              <w:pStyle w:val="6"/>
              <w:spacing w:before="20" w:line="179" w:lineRule="auto"/>
              <w:ind w:left="1033"/>
              <w:rPr>
                <w:sz w:val="22"/>
                <w:szCs w:val="22"/>
              </w:rPr>
            </w:pPr>
            <w:r>
              <w:rPr>
                <w:spacing w:val="-2"/>
                <w:sz w:val="22"/>
                <w:szCs w:val="22"/>
              </w:rPr>
              <w:t>产能项目</w:t>
            </w:r>
          </w:p>
        </w:tc>
        <w:tc>
          <w:tcPr>
            <w:tcW w:w="2221" w:type="dxa"/>
            <w:vMerge w:val="continue"/>
            <w:tcBorders>
              <w:top w:val="nil"/>
              <w:bottom w:val="nil"/>
            </w:tcBorders>
            <w:vAlign w:val="top"/>
          </w:tcPr>
          <w:p w14:paraId="00A8B1FE">
            <w:pPr>
              <w:rPr>
                <w:rFonts w:ascii="Arial"/>
                <w:sz w:val="21"/>
              </w:rPr>
            </w:pPr>
          </w:p>
        </w:tc>
        <w:tc>
          <w:tcPr>
            <w:tcW w:w="1358" w:type="dxa"/>
            <w:vMerge w:val="continue"/>
            <w:tcBorders>
              <w:top w:val="nil"/>
              <w:bottom w:val="nil"/>
            </w:tcBorders>
            <w:vAlign w:val="top"/>
          </w:tcPr>
          <w:p w14:paraId="0AAE1E57">
            <w:pPr>
              <w:rPr>
                <w:rFonts w:ascii="Arial"/>
                <w:sz w:val="21"/>
              </w:rPr>
            </w:pPr>
          </w:p>
        </w:tc>
        <w:tc>
          <w:tcPr>
            <w:tcW w:w="714" w:type="dxa"/>
            <w:vMerge w:val="continue"/>
            <w:tcBorders>
              <w:top w:val="nil"/>
              <w:bottom w:val="nil"/>
            </w:tcBorders>
            <w:vAlign w:val="top"/>
          </w:tcPr>
          <w:p w14:paraId="4EFD2675">
            <w:pPr>
              <w:rPr>
                <w:rFonts w:ascii="Arial"/>
                <w:sz w:val="21"/>
              </w:rPr>
            </w:pPr>
          </w:p>
        </w:tc>
        <w:tc>
          <w:tcPr>
            <w:tcW w:w="126" w:type="dxa"/>
            <w:tcBorders>
              <w:top w:val="nil"/>
              <w:bottom w:val="nil"/>
              <w:right w:val="single" w:color="000000" w:sz="6" w:space="0"/>
            </w:tcBorders>
            <w:vAlign w:val="top"/>
          </w:tcPr>
          <w:p w14:paraId="3CD639D5">
            <w:pPr>
              <w:rPr>
                <w:rFonts w:ascii="Arial"/>
                <w:sz w:val="21"/>
              </w:rPr>
            </w:pPr>
          </w:p>
        </w:tc>
      </w:tr>
      <w:tr w14:paraId="63569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1400" w:type="dxa"/>
            <w:vMerge w:val="continue"/>
            <w:tcBorders>
              <w:top w:val="nil"/>
              <w:left w:val="single" w:color="000000" w:sz="6" w:space="0"/>
              <w:bottom w:val="single" w:color="000000" w:sz="6" w:space="0"/>
            </w:tcBorders>
            <w:vAlign w:val="top"/>
          </w:tcPr>
          <w:p w14:paraId="6F5AFD84">
            <w:pPr>
              <w:rPr>
                <w:rFonts w:ascii="Arial"/>
                <w:sz w:val="21"/>
              </w:rPr>
            </w:pPr>
          </w:p>
        </w:tc>
        <w:tc>
          <w:tcPr>
            <w:tcW w:w="113" w:type="dxa"/>
            <w:tcBorders>
              <w:top w:val="nil"/>
              <w:bottom w:val="single" w:color="000000" w:sz="6" w:space="0"/>
            </w:tcBorders>
            <w:vAlign w:val="top"/>
          </w:tcPr>
          <w:p w14:paraId="5733B499">
            <w:pPr>
              <w:rPr>
                <w:rFonts w:ascii="Arial"/>
                <w:sz w:val="21"/>
              </w:rPr>
            </w:pPr>
          </w:p>
        </w:tc>
        <w:tc>
          <w:tcPr>
            <w:tcW w:w="2942" w:type="dxa"/>
            <w:tcBorders>
              <w:bottom w:val="single" w:color="000000" w:sz="6" w:space="0"/>
            </w:tcBorders>
            <w:vAlign w:val="top"/>
          </w:tcPr>
          <w:p w14:paraId="1F756219">
            <w:pPr>
              <w:pStyle w:val="6"/>
              <w:spacing w:before="69" w:line="220" w:lineRule="auto"/>
              <w:ind w:left="154"/>
              <w:rPr>
                <w:sz w:val="22"/>
                <w:szCs w:val="22"/>
              </w:rPr>
            </w:pPr>
            <w:r>
              <w:rPr>
                <w:spacing w:val="-1"/>
                <w:sz w:val="22"/>
                <w:szCs w:val="22"/>
              </w:rPr>
              <w:t>禁止新建、扩建不符合要求</w:t>
            </w:r>
          </w:p>
          <w:p w14:paraId="34CBA9C5">
            <w:pPr>
              <w:pStyle w:val="6"/>
              <w:spacing w:before="23" w:line="220" w:lineRule="auto"/>
              <w:ind w:left="172"/>
              <w:rPr>
                <w:sz w:val="22"/>
                <w:szCs w:val="22"/>
              </w:rPr>
            </w:pPr>
            <w:r>
              <w:rPr>
                <w:spacing w:val="-3"/>
                <w:sz w:val="22"/>
                <w:szCs w:val="22"/>
              </w:rPr>
              <w:t>的高耗能、高排放、低水平</w:t>
            </w:r>
          </w:p>
          <w:p w14:paraId="7670C317">
            <w:pPr>
              <w:pStyle w:val="6"/>
              <w:spacing w:before="23" w:line="221" w:lineRule="auto"/>
              <w:ind w:left="1257"/>
              <w:rPr>
                <w:sz w:val="22"/>
                <w:szCs w:val="22"/>
              </w:rPr>
            </w:pPr>
            <w:r>
              <w:rPr>
                <w:spacing w:val="-6"/>
                <w:sz w:val="22"/>
                <w:szCs w:val="22"/>
              </w:rPr>
              <w:t>项目</w:t>
            </w:r>
          </w:p>
        </w:tc>
        <w:tc>
          <w:tcPr>
            <w:tcW w:w="2221" w:type="dxa"/>
            <w:vMerge w:val="continue"/>
            <w:tcBorders>
              <w:top w:val="nil"/>
              <w:bottom w:val="single" w:color="000000" w:sz="6" w:space="0"/>
            </w:tcBorders>
            <w:vAlign w:val="top"/>
          </w:tcPr>
          <w:p w14:paraId="2EEB820D">
            <w:pPr>
              <w:rPr>
                <w:rFonts w:ascii="Arial"/>
                <w:sz w:val="21"/>
              </w:rPr>
            </w:pPr>
          </w:p>
        </w:tc>
        <w:tc>
          <w:tcPr>
            <w:tcW w:w="1358" w:type="dxa"/>
            <w:vMerge w:val="continue"/>
            <w:tcBorders>
              <w:top w:val="nil"/>
              <w:bottom w:val="single" w:color="000000" w:sz="6" w:space="0"/>
            </w:tcBorders>
            <w:vAlign w:val="top"/>
          </w:tcPr>
          <w:p w14:paraId="3A0D3AFD">
            <w:pPr>
              <w:rPr>
                <w:rFonts w:ascii="Arial"/>
                <w:sz w:val="21"/>
              </w:rPr>
            </w:pPr>
          </w:p>
        </w:tc>
        <w:tc>
          <w:tcPr>
            <w:tcW w:w="714" w:type="dxa"/>
            <w:vMerge w:val="continue"/>
            <w:tcBorders>
              <w:top w:val="nil"/>
              <w:bottom w:val="single" w:color="000000" w:sz="6" w:space="0"/>
            </w:tcBorders>
            <w:vAlign w:val="top"/>
          </w:tcPr>
          <w:p w14:paraId="431BA370">
            <w:pPr>
              <w:rPr>
                <w:rFonts w:ascii="Arial"/>
                <w:sz w:val="21"/>
              </w:rPr>
            </w:pPr>
          </w:p>
        </w:tc>
        <w:tc>
          <w:tcPr>
            <w:tcW w:w="126" w:type="dxa"/>
            <w:tcBorders>
              <w:top w:val="nil"/>
              <w:bottom w:val="single" w:color="000000" w:sz="6" w:space="0"/>
              <w:right w:val="single" w:color="000000" w:sz="6" w:space="0"/>
            </w:tcBorders>
            <w:vAlign w:val="top"/>
          </w:tcPr>
          <w:p w14:paraId="3DA58809">
            <w:pPr>
              <w:rPr>
                <w:rFonts w:ascii="Arial"/>
                <w:sz w:val="21"/>
              </w:rPr>
            </w:pPr>
          </w:p>
        </w:tc>
      </w:tr>
    </w:tbl>
    <w:p w14:paraId="5672E503">
      <w:pPr>
        <w:pStyle w:val="2"/>
        <w:rPr>
          <w:sz w:val="21"/>
        </w:rPr>
      </w:pPr>
    </w:p>
    <w:p w14:paraId="3FE0036C">
      <w:pPr>
        <w:rPr>
          <w:sz w:val="21"/>
          <w:szCs w:val="21"/>
        </w:rPr>
        <w:sectPr>
          <w:footerReference r:id="rId19" w:type="default"/>
          <w:pgSz w:w="11906" w:h="16839"/>
          <w:pgMar w:top="400" w:right="1508" w:bottom="1234" w:left="1508" w:header="0" w:footer="996" w:gutter="0"/>
          <w:cols w:space="720" w:num="1"/>
        </w:sectPr>
      </w:pPr>
    </w:p>
    <w:p w14:paraId="7DE89E0F">
      <w:pPr>
        <w:spacing w:before="19"/>
      </w:pPr>
    </w:p>
    <w:p w14:paraId="79DDF4D4">
      <w:pPr>
        <w:spacing w:before="19"/>
      </w:pPr>
    </w:p>
    <w:p w14:paraId="6E4CF1E6">
      <w:pPr>
        <w:spacing w:before="19"/>
      </w:pPr>
    </w:p>
    <w:p w14:paraId="4675DA58">
      <w:pPr>
        <w:spacing w:before="18"/>
      </w:pPr>
    </w:p>
    <w:p w14:paraId="1BB1B794">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115"/>
        <w:gridCol w:w="704"/>
        <w:gridCol w:w="3968"/>
        <w:gridCol w:w="1759"/>
        <w:gridCol w:w="804"/>
        <w:gridCol w:w="124"/>
      </w:tblGrid>
      <w:tr w14:paraId="684B1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5" w:hRule="atLeast"/>
        </w:trPr>
        <w:tc>
          <w:tcPr>
            <w:tcW w:w="1400" w:type="dxa"/>
            <w:vMerge w:val="restart"/>
            <w:tcBorders>
              <w:top w:val="single" w:color="000000" w:sz="6" w:space="0"/>
              <w:left w:val="single" w:color="000000" w:sz="6" w:space="0"/>
              <w:bottom w:val="nil"/>
            </w:tcBorders>
            <w:vAlign w:val="top"/>
          </w:tcPr>
          <w:p w14:paraId="2A55FB24">
            <w:pPr>
              <w:rPr>
                <w:rFonts w:ascii="Arial"/>
                <w:sz w:val="21"/>
              </w:rPr>
            </w:pPr>
          </w:p>
        </w:tc>
        <w:tc>
          <w:tcPr>
            <w:tcW w:w="7474" w:type="dxa"/>
            <w:gridSpan w:val="6"/>
            <w:tcBorders>
              <w:top w:val="single" w:color="000000" w:sz="6" w:space="0"/>
              <w:right w:val="single" w:color="000000" w:sz="6" w:space="0"/>
            </w:tcBorders>
            <w:vAlign w:val="top"/>
          </w:tcPr>
          <w:p w14:paraId="12D39372">
            <w:pPr>
              <w:pStyle w:val="6"/>
              <w:spacing w:before="147" w:line="340" w:lineRule="auto"/>
              <w:ind w:left="110" w:right="103" w:firstLine="552"/>
              <w:jc w:val="both"/>
            </w:pPr>
            <w:r>
              <w:rPr>
                <w:spacing w:val="7"/>
              </w:rPr>
              <w:t>由上表分析可知，本项目为加油站改扩建项目，项目建成后</w:t>
            </w:r>
            <w:r>
              <w:rPr>
                <w:spacing w:val="9"/>
              </w:rPr>
              <w:t>产生的污染物主要为少量非甲烷总烃，不属于清单中法</w:t>
            </w:r>
            <w:r>
              <w:rPr>
                <w:spacing w:val="8"/>
              </w:rPr>
              <w:t>律、法规</w:t>
            </w:r>
            <w:r>
              <w:rPr>
                <w:spacing w:val="9"/>
              </w:rPr>
              <w:t>明令禁止的落后产能项目和排放有毒有害及重金属污染</w:t>
            </w:r>
            <w:r>
              <w:rPr>
                <w:spacing w:val="8"/>
              </w:rPr>
              <w:t>企业，项</w:t>
            </w:r>
            <w:r>
              <w:rPr>
                <w:spacing w:val="7"/>
              </w:rPr>
              <w:t>目</w:t>
            </w:r>
            <w:r>
              <w:rPr>
                <w:spacing w:val="-73"/>
              </w:rPr>
              <w:t xml:space="preserve"> </w:t>
            </w:r>
            <w:r>
              <w:rPr>
                <w:spacing w:val="7"/>
              </w:rPr>
              <w:t>占地不在风景名胜区、自然保护区、水资源保护区等生态敏感</w:t>
            </w:r>
            <w:r>
              <w:rPr>
                <w:spacing w:val="9"/>
              </w:rPr>
              <w:t>区域内，本项目建设符合负面清单中的相关要求。</w:t>
            </w:r>
          </w:p>
          <w:p w14:paraId="1228C3BB">
            <w:pPr>
              <w:pStyle w:val="6"/>
              <w:spacing w:line="340" w:lineRule="auto"/>
              <w:ind w:left="111" w:right="105" w:firstLine="5"/>
            </w:pPr>
            <w:r>
              <w:rPr>
                <w:rFonts w:ascii="Times New Roman" w:hAnsi="Times New Roman" w:eastAsia="Times New Roman" w:cs="Times New Roman"/>
                <w:b/>
                <w:bCs/>
                <w:spacing w:val="2"/>
              </w:rPr>
              <w:t>1.7</w:t>
            </w:r>
            <w:r>
              <w:rPr>
                <w:rFonts w:ascii="Times New Roman" w:hAnsi="Times New Roman" w:eastAsia="Times New Roman" w:cs="Times New Roman"/>
                <w:b/>
                <w:bCs/>
                <w:spacing w:val="29"/>
              </w:rPr>
              <w:t xml:space="preserve"> </w:t>
            </w:r>
            <w:r>
              <w:rPr>
                <w:b/>
                <w:bCs/>
                <w:spacing w:val="2"/>
              </w:rPr>
              <w:t>与《中华人民共和国长江保护法》</w:t>
            </w:r>
            <w:r>
              <w:rPr>
                <w:spacing w:val="-104"/>
              </w:rPr>
              <w:t xml:space="preserve"> </w:t>
            </w:r>
            <w:r>
              <w:rPr>
                <w:b/>
                <w:bCs/>
                <w:spacing w:val="2"/>
              </w:rPr>
              <w:t>（</w:t>
            </w:r>
            <w:r>
              <w:rPr>
                <w:rFonts w:ascii="Times New Roman" w:hAnsi="Times New Roman" w:eastAsia="Times New Roman" w:cs="Times New Roman"/>
                <w:b/>
                <w:bCs/>
                <w:spacing w:val="2"/>
              </w:rPr>
              <w:t>2020</w:t>
            </w:r>
            <w:r>
              <w:rPr>
                <w:rFonts w:ascii="Times New Roman" w:hAnsi="Times New Roman" w:eastAsia="Times New Roman" w:cs="Times New Roman"/>
                <w:b/>
                <w:bCs/>
                <w:spacing w:val="19"/>
              </w:rPr>
              <w:t xml:space="preserve"> </w:t>
            </w:r>
            <w:r>
              <w:rPr>
                <w:b/>
                <w:bCs/>
                <w:spacing w:val="2"/>
              </w:rPr>
              <w:t>年</w:t>
            </w:r>
            <w:r>
              <w:rPr>
                <w:spacing w:val="-41"/>
              </w:rPr>
              <w:t xml:space="preserve"> </w:t>
            </w:r>
            <w:r>
              <w:rPr>
                <w:rFonts w:ascii="Times New Roman" w:hAnsi="Times New Roman" w:eastAsia="Times New Roman" w:cs="Times New Roman"/>
                <w:b/>
                <w:bCs/>
                <w:spacing w:val="2"/>
              </w:rPr>
              <w:t>12</w:t>
            </w:r>
            <w:r>
              <w:rPr>
                <w:rFonts w:ascii="Times New Roman" w:hAnsi="Times New Roman" w:eastAsia="Times New Roman" w:cs="Times New Roman"/>
                <w:b/>
                <w:bCs/>
                <w:spacing w:val="21"/>
              </w:rPr>
              <w:t xml:space="preserve"> </w:t>
            </w:r>
            <w:r>
              <w:rPr>
                <w:b/>
                <w:bCs/>
                <w:spacing w:val="2"/>
              </w:rPr>
              <w:t>月</w:t>
            </w:r>
            <w:r>
              <w:rPr>
                <w:spacing w:val="-51"/>
              </w:rPr>
              <w:t xml:space="preserve"> </w:t>
            </w:r>
            <w:r>
              <w:rPr>
                <w:rFonts w:ascii="Times New Roman" w:hAnsi="Times New Roman" w:eastAsia="Times New Roman" w:cs="Times New Roman"/>
                <w:b/>
                <w:bCs/>
                <w:spacing w:val="2"/>
              </w:rPr>
              <w:t>26</w:t>
            </w:r>
            <w:r>
              <w:rPr>
                <w:rFonts w:ascii="Times New Roman" w:hAnsi="Times New Roman" w:eastAsia="Times New Roman" w:cs="Times New Roman"/>
                <w:b/>
                <w:bCs/>
                <w:spacing w:val="59"/>
                <w:w w:val="101"/>
              </w:rPr>
              <w:t xml:space="preserve"> </w:t>
            </w:r>
            <w:r>
              <w:rPr>
                <w:b/>
                <w:bCs/>
                <w:spacing w:val="2"/>
              </w:rPr>
              <w:t>日）符</w:t>
            </w:r>
            <w:r>
              <w:rPr>
                <w:b/>
                <w:bCs/>
                <w:spacing w:val="4"/>
              </w:rPr>
              <w:t>合性分析</w:t>
            </w:r>
          </w:p>
          <w:p w14:paraId="5AF23E6F">
            <w:pPr>
              <w:pStyle w:val="6"/>
              <w:spacing w:before="1" w:line="339" w:lineRule="auto"/>
              <w:ind w:left="155" w:right="103" w:firstLine="477"/>
            </w:pPr>
            <w:r>
              <w:rPr>
                <w:spacing w:val="5"/>
              </w:rPr>
              <w:t>本项目与《中华人民共和国长江保护法》（</w:t>
            </w:r>
            <w:r>
              <w:rPr>
                <w:rFonts w:ascii="Times New Roman" w:hAnsi="Times New Roman" w:eastAsia="Times New Roman" w:cs="Times New Roman"/>
                <w:spacing w:val="5"/>
              </w:rPr>
              <w:t xml:space="preserve">2020 </w:t>
            </w:r>
            <w:r>
              <w:rPr>
                <w:spacing w:val="5"/>
              </w:rPr>
              <w:t>年</w:t>
            </w:r>
            <w:r>
              <w:rPr>
                <w:spacing w:val="-15"/>
              </w:rPr>
              <w:t xml:space="preserve"> </w:t>
            </w:r>
            <w:r>
              <w:rPr>
                <w:rFonts w:ascii="Times New Roman" w:hAnsi="Times New Roman" w:eastAsia="Times New Roman" w:cs="Times New Roman"/>
                <w:spacing w:val="5"/>
              </w:rPr>
              <w:t>12</w:t>
            </w:r>
            <w:r>
              <w:rPr>
                <w:rFonts w:ascii="Times New Roman" w:hAnsi="Times New Roman" w:eastAsia="Times New Roman" w:cs="Times New Roman"/>
                <w:spacing w:val="21"/>
              </w:rPr>
              <w:t xml:space="preserve"> </w:t>
            </w:r>
            <w:r>
              <w:rPr>
                <w:spacing w:val="5"/>
              </w:rPr>
              <w:t>月</w:t>
            </w:r>
            <w:r>
              <w:rPr>
                <w:spacing w:val="-55"/>
              </w:rPr>
              <w:t xml:space="preserve"> </w:t>
            </w:r>
            <w:r>
              <w:rPr>
                <w:rFonts w:ascii="Times New Roman" w:hAnsi="Times New Roman" w:eastAsia="Times New Roman" w:cs="Times New Roman"/>
                <w:spacing w:val="5"/>
              </w:rPr>
              <w:t>26</w:t>
            </w:r>
            <w:r>
              <w:rPr>
                <w:spacing w:val="4"/>
              </w:rPr>
              <w:t>日）符合性分析见下表。</w:t>
            </w:r>
          </w:p>
          <w:p w14:paraId="146E1A96">
            <w:pPr>
              <w:pStyle w:val="6"/>
              <w:spacing w:before="1" w:line="224" w:lineRule="auto"/>
              <w:ind w:left="630"/>
            </w:pPr>
            <w:r>
              <w:rPr>
                <w:spacing w:val="6"/>
              </w:rPr>
              <w:t>表</w:t>
            </w:r>
            <w:r>
              <w:rPr>
                <w:spacing w:val="-30"/>
              </w:rPr>
              <w:t xml:space="preserve"> </w:t>
            </w:r>
            <w:r>
              <w:rPr>
                <w:rFonts w:ascii="Times New Roman" w:hAnsi="Times New Roman" w:eastAsia="Times New Roman" w:cs="Times New Roman"/>
                <w:spacing w:val="6"/>
              </w:rPr>
              <w:t>1.7-</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 xml:space="preserve">1  </w:t>
            </w:r>
            <w:r>
              <w:rPr>
                <w:spacing w:val="6"/>
              </w:rPr>
              <w:t>与《中华人民共和国长江保护法</w:t>
            </w:r>
            <w:r>
              <w:rPr>
                <w:spacing w:val="5"/>
              </w:rPr>
              <w:t>》符合性分析</w:t>
            </w:r>
          </w:p>
        </w:tc>
      </w:tr>
      <w:tr w14:paraId="40C69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400" w:type="dxa"/>
            <w:vMerge w:val="continue"/>
            <w:tcBorders>
              <w:top w:val="nil"/>
              <w:left w:val="single" w:color="000000" w:sz="6" w:space="0"/>
              <w:bottom w:val="nil"/>
            </w:tcBorders>
            <w:vAlign w:val="top"/>
          </w:tcPr>
          <w:p w14:paraId="7B2FE35F">
            <w:pPr>
              <w:rPr>
                <w:rFonts w:ascii="Arial"/>
                <w:sz w:val="21"/>
              </w:rPr>
            </w:pPr>
          </w:p>
        </w:tc>
        <w:tc>
          <w:tcPr>
            <w:tcW w:w="115" w:type="dxa"/>
            <w:tcBorders>
              <w:top w:val="nil"/>
              <w:bottom w:val="nil"/>
            </w:tcBorders>
            <w:vAlign w:val="top"/>
          </w:tcPr>
          <w:p w14:paraId="1C421C5A">
            <w:pPr>
              <w:rPr>
                <w:rFonts w:ascii="Arial"/>
                <w:sz w:val="21"/>
              </w:rPr>
            </w:pPr>
          </w:p>
        </w:tc>
        <w:tc>
          <w:tcPr>
            <w:tcW w:w="704" w:type="dxa"/>
            <w:vAlign w:val="top"/>
          </w:tcPr>
          <w:p w14:paraId="62A9FB69">
            <w:pPr>
              <w:pStyle w:val="6"/>
              <w:spacing w:before="178" w:line="221" w:lineRule="auto"/>
              <w:ind w:left="137"/>
              <w:rPr>
                <w:sz w:val="22"/>
                <w:szCs w:val="22"/>
              </w:rPr>
            </w:pPr>
            <w:r>
              <w:rPr>
                <w:spacing w:val="-6"/>
                <w:sz w:val="22"/>
                <w:szCs w:val="22"/>
              </w:rPr>
              <w:t>项目</w:t>
            </w:r>
          </w:p>
        </w:tc>
        <w:tc>
          <w:tcPr>
            <w:tcW w:w="3968" w:type="dxa"/>
            <w:vAlign w:val="top"/>
          </w:tcPr>
          <w:p w14:paraId="266FC2D8">
            <w:pPr>
              <w:pStyle w:val="6"/>
              <w:spacing w:before="178" w:line="220" w:lineRule="auto"/>
              <w:ind w:left="451"/>
              <w:rPr>
                <w:sz w:val="22"/>
                <w:szCs w:val="22"/>
              </w:rPr>
            </w:pPr>
            <w:r>
              <w:rPr>
                <w:spacing w:val="-1"/>
                <w:sz w:val="22"/>
                <w:szCs w:val="22"/>
              </w:rPr>
              <w:t>《中华人民共和国长江保护法》</w:t>
            </w:r>
          </w:p>
        </w:tc>
        <w:tc>
          <w:tcPr>
            <w:tcW w:w="1759" w:type="dxa"/>
            <w:vAlign w:val="top"/>
          </w:tcPr>
          <w:p w14:paraId="4C62477F">
            <w:pPr>
              <w:pStyle w:val="6"/>
              <w:spacing w:before="178" w:line="221" w:lineRule="auto"/>
              <w:ind w:left="454"/>
              <w:rPr>
                <w:sz w:val="22"/>
                <w:szCs w:val="22"/>
              </w:rPr>
            </w:pPr>
            <w:r>
              <w:rPr>
                <w:spacing w:val="-3"/>
                <w:sz w:val="22"/>
                <w:szCs w:val="22"/>
              </w:rPr>
              <w:t>项目情况</w:t>
            </w:r>
          </w:p>
        </w:tc>
        <w:tc>
          <w:tcPr>
            <w:tcW w:w="804" w:type="dxa"/>
            <w:vAlign w:val="top"/>
          </w:tcPr>
          <w:p w14:paraId="1C9C2162">
            <w:pPr>
              <w:pStyle w:val="6"/>
              <w:spacing w:before="38" w:line="221" w:lineRule="auto"/>
              <w:ind w:left="307" w:right="171" w:hanging="111"/>
              <w:rPr>
                <w:sz w:val="22"/>
                <w:szCs w:val="22"/>
              </w:rPr>
            </w:pPr>
            <w:r>
              <w:rPr>
                <w:spacing w:val="-5"/>
                <w:sz w:val="22"/>
                <w:szCs w:val="22"/>
              </w:rPr>
              <w:t>符合</w:t>
            </w:r>
            <w:r>
              <w:rPr>
                <w:sz w:val="22"/>
                <w:szCs w:val="22"/>
              </w:rPr>
              <w:t>性</w:t>
            </w:r>
          </w:p>
        </w:tc>
        <w:tc>
          <w:tcPr>
            <w:tcW w:w="124" w:type="dxa"/>
            <w:tcBorders>
              <w:top w:val="nil"/>
              <w:bottom w:val="nil"/>
              <w:right w:val="single" w:color="000000" w:sz="6" w:space="0"/>
            </w:tcBorders>
            <w:vAlign w:val="top"/>
          </w:tcPr>
          <w:p w14:paraId="561EC26E">
            <w:pPr>
              <w:rPr>
                <w:rFonts w:ascii="Arial"/>
                <w:sz w:val="21"/>
              </w:rPr>
            </w:pPr>
          </w:p>
        </w:tc>
      </w:tr>
      <w:tr w14:paraId="7A6FF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400" w:type="dxa"/>
            <w:vMerge w:val="continue"/>
            <w:tcBorders>
              <w:top w:val="nil"/>
              <w:left w:val="single" w:color="000000" w:sz="6" w:space="0"/>
              <w:bottom w:val="nil"/>
            </w:tcBorders>
            <w:vAlign w:val="top"/>
          </w:tcPr>
          <w:p w14:paraId="332FA3CC">
            <w:pPr>
              <w:rPr>
                <w:rFonts w:ascii="Arial"/>
                <w:sz w:val="21"/>
              </w:rPr>
            </w:pPr>
          </w:p>
        </w:tc>
        <w:tc>
          <w:tcPr>
            <w:tcW w:w="115" w:type="dxa"/>
            <w:tcBorders>
              <w:top w:val="nil"/>
              <w:bottom w:val="nil"/>
            </w:tcBorders>
            <w:vAlign w:val="top"/>
          </w:tcPr>
          <w:p w14:paraId="4149D143">
            <w:pPr>
              <w:rPr>
                <w:rFonts w:ascii="Arial"/>
                <w:sz w:val="21"/>
              </w:rPr>
            </w:pPr>
          </w:p>
        </w:tc>
        <w:tc>
          <w:tcPr>
            <w:tcW w:w="704" w:type="dxa"/>
            <w:vMerge w:val="restart"/>
            <w:tcBorders>
              <w:bottom w:val="nil"/>
            </w:tcBorders>
            <w:vAlign w:val="top"/>
          </w:tcPr>
          <w:p w14:paraId="25AEAF4A">
            <w:pPr>
              <w:spacing w:line="396" w:lineRule="auto"/>
              <w:rPr>
                <w:rFonts w:ascii="Arial"/>
                <w:sz w:val="21"/>
              </w:rPr>
            </w:pPr>
          </w:p>
          <w:p w14:paraId="37084BF9">
            <w:pPr>
              <w:pStyle w:val="6"/>
              <w:spacing w:before="72"/>
              <w:ind w:left="137" w:right="132" w:hanging="3"/>
              <w:jc w:val="both"/>
              <w:rPr>
                <w:sz w:val="22"/>
                <w:szCs w:val="22"/>
              </w:rPr>
            </w:pPr>
            <w:r>
              <w:rPr>
                <w:spacing w:val="-4"/>
                <w:sz w:val="22"/>
                <w:szCs w:val="22"/>
              </w:rPr>
              <w:t>规划</w:t>
            </w:r>
            <w:r>
              <w:rPr>
                <w:spacing w:val="-6"/>
                <w:sz w:val="22"/>
                <w:szCs w:val="22"/>
              </w:rPr>
              <w:t>与管</w:t>
            </w:r>
            <w:r>
              <w:rPr>
                <w:spacing w:val="30"/>
                <w:w w:val="131"/>
                <w:sz w:val="22"/>
                <w:szCs w:val="22"/>
              </w:rPr>
              <w:t>控</w:t>
            </w:r>
          </w:p>
        </w:tc>
        <w:tc>
          <w:tcPr>
            <w:tcW w:w="3968" w:type="dxa"/>
            <w:vAlign w:val="top"/>
          </w:tcPr>
          <w:p w14:paraId="2A849D58">
            <w:pPr>
              <w:pStyle w:val="6"/>
              <w:spacing w:before="37" w:line="214" w:lineRule="auto"/>
              <w:ind w:left="562" w:right="111" w:hanging="444"/>
              <w:rPr>
                <w:sz w:val="22"/>
                <w:szCs w:val="22"/>
              </w:rPr>
            </w:pPr>
            <w:r>
              <w:rPr>
                <w:spacing w:val="-1"/>
                <w:sz w:val="22"/>
                <w:szCs w:val="22"/>
              </w:rPr>
              <w:t>禁止在长江干支流岸线一公里范围内新建、扩建化工园区和化工项目</w:t>
            </w:r>
          </w:p>
        </w:tc>
        <w:tc>
          <w:tcPr>
            <w:tcW w:w="1759" w:type="dxa"/>
            <w:vAlign w:val="top"/>
          </w:tcPr>
          <w:p w14:paraId="36398E3F">
            <w:pPr>
              <w:pStyle w:val="6"/>
              <w:spacing w:before="37" w:line="214" w:lineRule="auto"/>
              <w:ind w:left="560" w:right="101" w:hanging="440"/>
              <w:rPr>
                <w:sz w:val="22"/>
                <w:szCs w:val="22"/>
              </w:rPr>
            </w:pPr>
            <w:r>
              <w:rPr>
                <w:spacing w:val="-2"/>
                <w:sz w:val="22"/>
                <w:szCs w:val="22"/>
              </w:rPr>
              <w:t>本项目不属于化</w:t>
            </w:r>
            <w:r>
              <w:rPr>
                <w:spacing w:val="-4"/>
                <w:sz w:val="22"/>
                <w:szCs w:val="22"/>
              </w:rPr>
              <w:t>工项目</w:t>
            </w:r>
          </w:p>
        </w:tc>
        <w:tc>
          <w:tcPr>
            <w:tcW w:w="804" w:type="dxa"/>
            <w:vAlign w:val="top"/>
          </w:tcPr>
          <w:p w14:paraId="73DE2207">
            <w:pPr>
              <w:pStyle w:val="6"/>
              <w:spacing w:before="179" w:line="220" w:lineRule="auto"/>
              <w:ind w:left="196"/>
              <w:rPr>
                <w:sz w:val="22"/>
                <w:szCs w:val="22"/>
              </w:rPr>
            </w:pPr>
            <w:r>
              <w:rPr>
                <w:spacing w:val="-5"/>
                <w:sz w:val="22"/>
                <w:szCs w:val="22"/>
              </w:rPr>
              <w:t>符合</w:t>
            </w:r>
          </w:p>
        </w:tc>
        <w:tc>
          <w:tcPr>
            <w:tcW w:w="124" w:type="dxa"/>
            <w:tcBorders>
              <w:top w:val="nil"/>
              <w:bottom w:val="nil"/>
              <w:right w:val="single" w:color="000000" w:sz="6" w:space="0"/>
            </w:tcBorders>
            <w:vAlign w:val="top"/>
          </w:tcPr>
          <w:p w14:paraId="048C7594">
            <w:pPr>
              <w:rPr>
                <w:rFonts w:ascii="Arial"/>
                <w:sz w:val="21"/>
              </w:rPr>
            </w:pPr>
          </w:p>
        </w:tc>
      </w:tr>
      <w:tr w14:paraId="3D2B8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2" w:hRule="atLeast"/>
        </w:trPr>
        <w:tc>
          <w:tcPr>
            <w:tcW w:w="1400" w:type="dxa"/>
            <w:vMerge w:val="continue"/>
            <w:tcBorders>
              <w:top w:val="nil"/>
              <w:left w:val="single" w:color="000000" w:sz="6" w:space="0"/>
              <w:bottom w:val="nil"/>
            </w:tcBorders>
            <w:vAlign w:val="top"/>
          </w:tcPr>
          <w:p w14:paraId="5D4BE07D">
            <w:pPr>
              <w:rPr>
                <w:rFonts w:ascii="Arial"/>
                <w:sz w:val="21"/>
              </w:rPr>
            </w:pPr>
          </w:p>
        </w:tc>
        <w:tc>
          <w:tcPr>
            <w:tcW w:w="115" w:type="dxa"/>
            <w:tcBorders>
              <w:top w:val="nil"/>
              <w:bottom w:val="nil"/>
            </w:tcBorders>
            <w:vAlign w:val="top"/>
          </w:tcPr>
          <w:p w14:paraId="23D32398">
            <w:pPr>
              <w:rPr>
                <w:rFonts w:ascii="Arial"/>
                <w:sz w:val="21"/>
              </w:rPr>
            </w:pPr>
          </w:p>
        </w:tc>
        <w:tc>
          <w:tcPr>
            <w:tcW w:w="704" w:type="dxa"/>
            <w:vMerge w:val="continue"/>
            <w:tcBorders>
              <w:top w:val="nil"/>
            </w:tcBorders>
            <w:vAlign w:val="top"/>
          </w:tcPr>
          <w:p w14:paraId="215F607D">
            <w:pPr>
              <w:rPr>
                <w:rFonts w:ascii="Arial"/>
                <w:sz w:val="21"/>
              </w:rPr>
            </w:pPr>
          </w:p>
        </w:tc>
        <w:tc>
          <w:tcPr>
            <w:tcW w:w="3968" w:type="dxa"/>
            <w:vAlign w:val="top"/>
          </w:tcPr>
          <w:p w14:paraId="7D13BB6F">
            <w:pPr>
              <w:pStyle w:val="6"/>
              <w:spacing w:before="56" w:line="219" w:lineRule="auto"/>
              <w:ind w:left="118"/>
              <w:rPr>
                <w:sz w:val="22"/>
                <w:szCs w:val="22"/>
              </w:rPr>
            </w:pPr>
            <w:r>
              <w:rPr>
                <w:spacing w:val="-1"/>
                <w:sz w:val="22"/>
                <w:szCs w:val="22"/>
              </w:rPr>
              <w:t>禁止在长江干流岸线三公里范围内和重</w:t>
            </w:r>
          </w:p>
          <w:p w14:paraId="11187E49">
            <w:pPr>
              <w:pStyle w:val="6"/>
              <w:spacing w:before="21" w:line="220" w:lineRule="auto"/>
              <w:ind w:left="119"/>
              <w:rPr>
                <w:sz w:val="22"/>
                <w:szCs w:val="22"/>
              </w:rPr>
            </w:pPr>
            <w:r>
              <w:rPr>
                <w:spacing w:val="-1"/>
                <w:sz w:val="22"/>
                <w:szCs w:val="22"/>
              </w:rPr>
              <w:t>要支流岸线一公里范围内新建、改建、</w:t>
            </w:r>
          </w:p>
          <w:p w14:paraId="7508C8E3">
            <w:pPr>
              <w:pStyle w:val="6"/>
              <w:spacing w:before="23" w:line="220" w:lineRule="auto"/>
              <w:ind w:left="118"/>
              <w:rPr>
                <w:sz w:val="22"/>
                <w:szCs w:val="22"/>
              </w:rPr>
            </w:pPr>
            <w:r>
              <w:rPr>
                <w:spacing w:val="-1"/>
                <w:sz w:val="22"/>
                <w:szCs w:val="22"/>
              </w:rPr>
              <w:t>扩建尾矿库；但是以提升安全、生态环</w:t>
            </w:r>
          </w:p>
          <w:p w14:paraId="078A3519">
            <w:pPr>
              <w:pStyle w:val="6"/>
              <w:spacing w:before="23" w:line="203" w:lineRule="auto"/>
              <w:ind w:left="560"/>
              <w:rPr>
                <w:sz w:val="22"/>
                <w:szCs w:val="22"/>
              </w:rPr>
            </w:pPr>
            <w:r>
              <w:rPr>
                <w:spacing w:val="-1"/>
                <w:sz w:val="22"/>
                <w:szCs w:val="22"/>
              </w:rPr>
              <w:t>境保护水平为目的的改建除外</w:t>
            </w:r>
          </w:p>
        </w:tc>
        <w:tc>
          <w:tcPr>
            <w:tcW w:w="1759" w:type="dxa"/>
            <w:vAlign w:val="top"/>
          </w:tcPr>
          <w:p w14:paraId="75027E46">
            <w:pPr>
              <w:pStyle w:val="6"/>
              <w:spacing w:before="197" w:line="219" w:lineRule="auto"/>
              <w:ind w:left="120"/>
              <w:rPr>
                <w:sz w:val="22"/>
                <w:szCs w:val="22"/>
              </w:rPr>
            </w:pPr>
            <w:r>
              <w:rPr>
                <w:spacing w:val="-2"/>
                <w:sz w:val="22"/>
                <w:szCs w:val="22"/>
              </w:rPr>
              <w:t>本项目不属于新</w:t>
            </w:r>
          </w:p>
          <w:p w14:paraId="2BB17563">
            <w:pPr>
              <w:pStyle w:val="6"/>
              <w:spacing w:before="24" w:line="220" w:lineRule="auto"/>
              <w:ind w:left="122"/>
              <w:rPr>
                <w:sz w:val="22"/>
                <w:szCs w:val="22"/>
              </w:rPr>
            </w:pPr>
            <w:r>
              <w:rPr>
                <w:spacing w:val="-2"/>
                <w:sz w:val="22"/>
                <w:szCs w:val="22"/>
              </w:rPr>
              <w:t>建、改建、扩建</w:t>
            </w:r>
          </w:p>
          <w:p w14:paraId="473CDC46">
            <w:pPr>
              <w:pStyle w:val="6"/>
              <w:spacing w:before="21" w:line="220" w:lineRule="auto"/>
              <w:ind w:left="340"/>
              <w:rPr>
                <w:sz w:val="22"/>
                <w:szCs w:val="22"/>
              </w:rPr>
            </w:pPr>
            <w:r>
              <w:rPr>
                <w:spacing w:val="-2"/>
                <w:sz w:val="22"/>
                <w:szCs w:val="22"/>
              </w:rPr>
              <w:t>尾矿库项目</w:t>
            </w:r>
          </w:p>
        </w:tc>
        <w:tc>
          <w:tcPr>
            <w:tcW w:w="804" w:type="dxa"/>
            <w:vAlign w:val="top"/>
          </w:tcPr>
          <w:p w14:paraId="537D6AB2">
            <w:pPr>
              <w:spacing w:line="409" w:lineRule="auto"/>
              <w:rPr>
                <w:rFonts w:ascii="Arial"/>
                <w:sz w:val="21"/>
              </w:rPr>
            </w:pPr>
          </w:p>
          <w:p w14:paraId="544571C2">
            <w:pPr>
              <w:pStyle w:val="6"/>
              <w:spacing w:before="71" w:line="220" w:lineRule="auto"/>
              <w:ind w:left="196"/>
              <w:rPr>
                <w:sz w:val="22"/>
                <w:szCs w:val="22"/>
              </w:rPr>
            </w:pPr>
            <w:r>
              <w:rPr>
                <w:spacing w:val="-5"/>
                <w:sz w:val="22"/>
                <w:szCs w:val="22"/>
              </w:rPr>
              <w:t>符合</w:t>
            </w:r>
          </w:p>
        </w:tc>
        <w:tc>
          <w:tcPr>
            <w:tcW w:w="124" w:type="dxa"/>
            <w:tcBorders>
              <w:top w:val="nil"/>
              <w:bottom w:val="nil"/>
              <w:right w:val="single" w:color="000000" w:sz="6" w:space="0"/>
            </w:tcBorders>
            <w:vAlign w:val="top"/>
          </w:tcPr>
          <w:p w14:paraId="6416EEC2">
            <w:pPr>
              <w:rPr>
                <w:rFonts w:ascii="Arial"/>
                <w:sz w:val="21"/>
              </w:rPr>
            </w:pPr>
          </w:p>
        </w:tc>
      </w:tr>
      <w:tr w14:paraId="43E69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1400" w:type="dxa"/>
            <w:vMerge w:val="continue"/>
            <w:tcBorders>
              <w:top w:val="nil"/>
              <w:left w:val="single" w:color="000000" w:sz="6" w:space="0"/>
              <w:bottom w:val="nil"/>
            </w:tcBorders>
            <w:vAlign w:val="top"/>
          </w:tcPr>
          <w:p w14:paraId="2320A6B2">
            <w:pPr>
              <w:rPr>
                <w:rFonts w:ascii="Arial"/>
                <w:sz w:val="21"/>
              </w:rPr>
            </w:pPr>
          </w:p>
        </w:tc>
        <w:tc>
          <w:tcPr>
            <w:tcW w:w="115" w:type="dxa"/>
            <w:tcBorders>
              <w:top w:val="nil"/>
              <w:bottom w:val="nil"/>
            </w:tcBorders>
            <w:vAlign w:val="top"/>
          </w:tcPr>
          <w:p w14:paraId="3541A9E8">
            <w:pPr>
              <w:rPr>
                <w:rFonts w:ascii="Arial"/>
                <w:sz w:val="21"/>
              </w:rPr>
            </w:pPr>
          </w:p>
        </w:tc>
        <w:tc>
          <w:tcPr>
            <w:tcW w:w="704" w:type="dxa"/>
            <w:vAlign w:val="top"/>
          </w:tcPr>
          <w:p w14:paraId="78C5F14F">
            <w:pPr>
              <w:pStyle w:val="6"/>
              <w:spacing w:before="37" w:line="222" w:lineRule="auto"/>
              <w:ind w:left="143"/>
              <w:rPr>
                <w:sz w:val="22"/>
                <w:szCs w:val="22"/>
              </w:rPr>
            </w:pPr>
            <w:r>
              <w:rPr>
                <w:spacing w:val="-9"/>
                <w:sz w:val="22"/>
                <w:szCs w:val="22"/>
              </w:rPr>
              <w:t>资源</w:t>
            </w:r>
          </w:p>
          <w:p w14:paraId="0667610A">
            <w:pPr>
              <w:pStyle w:val="6"/>
              <w:spacing w:before="22" w:line="220" w:lineRule="auto"/>
              <w:ind w:left="244" w:right="132" w:hanging="106"/>
              <w:rPr>
                <w:sz w:val="22"/>
                <w:szCs w:val="22"/>
              </w:rPr>
            </w:pPr>
            <w:r>
              <w:rPr>
                <w:spacing w:val="-6"/>
                <w:sz w:val="22"/>
                <w:szCs w:val="22"/>
              </w:rPr>
              <w:t>与保</w:t>
            </w:r>
            <w:r>
              <w:rPr>
                <w:sz w:val="22"/>
                <w:szCs w:val="22"/>
              </w:rPr>
              <w:t>护</w:t>
            </w:r>
          </w:p>
        </w:tc>
        <w:tc>
          <w:tcPr>
            <w:tcW w:w="3968" w:type="dxa"/>
            <w:vAlign w:val="top"/>
          </w:tcPr>
          <w:p w14:paraId="618113DE">
            <w:pPr>
              <w:pStyle w:val="6"/>
              <w:spacing w:before="38" w:line="219" w:lineRule="auto"/>
              <w:ind w:left="119"/>
              <w:rPr>
                <w:sz w:val="22"/>
                <w:szCs w:val="22"/>
              </w:rPr>
            </w:pPr>
            <w:r>
              <w:rPr>
                <w:spacing w:val="-1"/>
                <w:sz w:val="22"/>
                <w:szCs w:val="22"/>
              </w:rPr>
              <w:t>长江流域省级人民政府组织划定饮用水</w:t>
            </w:r>
          </w:p>
          <w:p w14:paraId="68EF5CB2">
            <w:pPr>
              <w:pStyle w:val="6"/>
              <w:spacing w:before="24" w:line="220" w:lineRule="auto"/>
              <w:ind w:left="117"/>
              <w:rPr>
                <w:sz w:val="22"/>
                <w:szCs w:val="22"/>
              </w:rPr>
            </w:pPr>
            <w:r>
              <w:rPr>
                <w:spacing w:val="-1"/>
                <w:sz w:val="22"/>
                <w:szCs w:val="22"/>
              </w:rPr>
              <w:t>源保护区，加强饮用水水源保护，保障</w:t>
            </w:r>
          </w:p>
          <w:p w14:paraId="5CF38C3F">
            <w:pPr>
              <w:pStyle w:val="6"/>
              <w:spacing w:before="23" w:line="201" w:lineRule="auto"/>
              <w:ind w:left="1438"/>
              <w:rPr>
                <w:sz w:val="22"/>
                <w:szCs w:val="22"/>
              </w:rPr>
            </w:pPr>
            <w:r>
              <w:rPr>
                <w:spacing w:val="-2"/>
                <w:sz w:val="22"/>
                <w:szCs w:val="22"/>
              </w:rPr>
              <w:t>饮用水安全</w:t>
            </w:r>
          </w:p>
        </w:tc>
        <w:tc>
          <w:tcPr>
            <w:tcW w:w="1759" w:type="dxa"/>
            <w:vAlign w:val="top"/>
          </w:tcPr>
          <w:p w14:paraId="1A893036">
            <w:pPr>
              <w:pStyle w:val="6"/>
              <w:spacing w:before="179" w:line="242" w:lineRule="auto"/>
              <w:ind w:left="121" w:right="101" w:hanging="1"/>
              <w:rPr>
                <w:sz w:val="22"/>
                <w:szCs w:val="22"/>
              </w:rPr>
            </w:pPr>
            <w:r>
              <w:rPr>
                <w:spacing w:val="-2"/>
                <w:sz w:val="22"/>
                <w:szCs w:val="22"/>
              </w:rPr>
              <w:t>本项目不在饮用水水源保护区内</w:t>
            </w:r>
          </w:p>
        </w:tc>
        <w:tc>
          <w:tcPr>
            <w:tcW w:w="804" w:type="dxa"/>
            <w:vAlign w:val="top"/>
          </w:tcPr>
          <w:p w14:paraId="0DD83437">
            <w:pPr>
              <w:spacing w:line="251" w:lineRule="auto"/>
              <w:rPr>
                <w:rFonts w:ascii="Arial"/>
                <w:sz w:val="21"/>
              </w:rPr>
            </w:pPr>
          </w:p>
          <w:p w14:paraId="7D3D6BB1">
            <w:pPr>
              <w:pStyle w:val="6"/>
              <w:spacing w:before="71" w:line="220" w:lineRule="auto"/>
              <w:ind w:left="196"/>
              <w:rPr>
                <w:sz w:val="22"/>
                <w:szCs w:val="22"/>
              </w:rPr>
            </w:pPr>
            <w:r>
              <w:rPr>
                <w:spacing w:val="-5"/>
                <w:sz w:val="22"/>
                <w:szCs w:val="22"/>
              </w:rPr>
              <w:t>符合</w:t>
            </w:r>
          </w:p>
        </w:tc>
        <w:tc>
          <w:tcPr>
            <w:tcW w:w="124" w:type="dxa"/>
            <w:tcBorders>
              <w:top w:val="nil"/>
              <w:bottom w:val="nil"/>
              <w:right w:val="single" w:color="000000" w:sz="6" w:space="0"/>
            </w:tcBorders>
            <w:vAlign w:val="top"/>
          </w:tcPr>
          <w:p w14:paraId="116589D9">
            <w:pPr>
              <w:rPr>
                <w:rFonts w:ascii="Arial"/>
                <w:sz w:val="21"/>
              </w:rPr>
            </w:pPr>
          </w:p>
        </w:tc>
      </w:tr>
      <w:tr w14:paraId="08B23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0" w:hRule="atLeast"/>
        </w:trPr>
        <w:tc>
          <w:tcPr>
            <w:tcW w:w="1400" w:type="dxa"/>
            <w:vMerge w:val="continue"/>
            <w:tcBorders>
              <w:top w:val="nil"/>
              <w:left w:val="single" w:color="000000" w:sz="6" w:space="0"/>
              <w:bottom w:val="nil"/>
            </w:tcBorders>
            <w:vAlign w:val="top"/>
          </w:tcPr>
          <w:p w14:paraId="04F00EC2">
            <w:pPr>
              <w:rPr>
                <w:rFonts w:ascii="Arial"/>
                <w:sz w:val="21"/>
              </w:rPr>
            </w:pPr>
          </w:p>
        </w:tc>
        <w:tc>
          <w:tcPr>
            <w:tcW w:w="115" w:type="dxa"/>
            <w:tcBorders>
              <w:top w:val="nil"/>
              <w:bottom w:val="nil"/>
            </w:tcBorders>
            <w:vAlign w:val="top"/>
          </w:tcPr>
          <w:p w14:paraId="229B61E6">
            <w:pPr>
              <w:rPr>
                <w:rFonts w:ascii="Arial"/>
                <w:sz w:val="21"/>
              </w:rPr>
            </w:pPr>
          </w:p>
        </w:tc>
        <w:tc>
          <w:tcPr>
            <w:tcW w:w="704" w:type="dxa"/>
            <w:vAlign w:val="top"/>
          </w:tcPr>
          <w:p w14:paraId="4A6EB99A">
            <w:pPr>
              <w:spacing w:line="252" w:lineRule="auto"/>
              <w:rPr>
                <w:rFonts w:ascii="Arial"/>
                <w:sz w:val="21"/>
              </w:rPr>
            </w:pPr>
          </w:p>
          <w:p w14:paraId="24E50EB6">
            <w:pPr>
              <w:pStyle w:val="6"/>
              <w:spacing w:before="71" w:line="242" w:lineRule="auto"/>
              <w:ind w:left="136" w:right="132"/>
              <w:jc w:val="both"/>
              <w:rPr>
                <w:sz w:val="22"/>
                <w:szCs w:val="22"/>
              </w:rPr>
            </w:pPr>
            <w:r>
              <w:rPr>
                <w:spacing w:val="-5"/>
                <w:sz w:val="22"/>
                <w:szCs w:val="22"/>
              </w:rPr>
              <w:t>水污</w:t>
            </w:r>
            <w:r>
              <w:rPr>
                <w:spacing w:val="-6"/>
                <w:sz w:val="22"/>
                <w:szCs w:val="22"/>
              </w:rPr>
              <w:t>染防</w:t>
            </w:r>
            <w:r>
              <w:rPr>
                <w:spacing w:val="44"/>
                <w:w w:val="125"/>
                <w:sz w:val="22"/>
                <w:szCs w:val="22"/>
              </w:rPr>
              <w:t>治</w:t>
            </w:r>
          </w:p>
        </w:tc>
        <w:tc>
          <w:tcPr>
            <w:tcW w:w="3968" w:type="dxa"/>
            <w:vAlign w:val="top"/>
          </w:tcPr>
          <w:p w14:paraId="79864E93">
            <w:pPr>
              <w:pStyle w:val="6"/>
              <w:spacing w:before="40" w:line="239" w:lineRule="auto"/>
              <w:ind w:left="121" w:right="111" w:hanging="3"/>
              <w:jc w:val="both"/>
              <w:rPr>
                <w:sz w:val="22"/>
                <w:szCs w:val="22"/>
              </w:rPr>
            </w:pPr>
            <w:r>
              <w:rPr>
                <w:spacing w:val="-1"/>
                <w:sz w:val="22"/>
                <w:szCs w:val="22"/>
              </w:rPr>
              <w:t>磷矿开采加工、磷肥和含磷农药制造等企业，应当按照排污许可要求，采取有效措施控制总磷排放浓度和排放总量；</w:t>
            </w:r>
          </w:p>
          <w:p w14:paraId="3C47FF20">
            <w:pPr>
              <w:pStyle w:val="6"/>
              <w:spacing w:line="220" w:lineRule="auto"/>
              <w:ind w:left="1220" w:right="111" w:hanging="1103"/>
              <w:jc w:val="both"/>
              <w:rPr>
                <w:sz w:val="22"/>
                <w:szCs w:val="22"/>
              </w:rPr>
            </w:pPr>
            <w:r>
              <w:rPr>
                <w:spacing w:val="-1"/>
                <w:sz w:val="22"/>
                <w:szCs w:val="22"/>
              </w:rPr>
              <w:t>对排污口和周边环境进行总磷监测，依</w:t>
            </w:r>
            <w:r>
              <w:rPr>
                <w:spacing w:val="-2"/>
                <w:sz w:val="22"/>
                <w:szCs w:val="22"/>
              </w:rPr>
              <w:t>法公开监测信息</w:t>
            </w:r>
          </w:p>
        </w:tc>
        <w:tc>
          <w:tcPr>
            <w:tcW w:w="1759" w:type="dxa"/>
            <w:vAlign w:val="top"/>
          </w:tcPr>
          <w:p w14:paraId="1E8CB291">
            <w:pPr>
              <w:pStyle w:val="6"/>
              <w:spacing w:before="182" w:line="219" w:lineRule="auto"/>
              <w:ind w:left="120"/>
              <w:rPr>
                <w:sz w:val="22"/>
                <w:szCs w:val="22"/>
              </w:rPr>
            </w:pPr>
            <w:r>
              <w:rPr>
                <w:spacing w:val="-2"/>
                <w:sz w:val="22"/>
                <w:szCs w:val="22"/>
              </w:rPr>
              <w:t>本项目不属于磷</w:t>
            </w:r>
          </w:p>
          <w:p w14:paraId="4B845A49">
            <w:pPr>
              <w:pStyle w:val="6"/>
              <w:spacing w:before="24" w:line="219" w:lineRule="auto"/>
              <w:ind w:left="119"/>
              <w:rPr>
                <w:sz w:val="22"/>
                <w:szCs w:val="22"/>
              </w:rPr>
            </w:pPr>
            <w:r>
              <w:rPr>
                <w:sz w:val="22"/>
                <w:szCs w:val="22"/>
              </w:rPr>
              <w:t>矿开采加工、磷</w:t>
            </w:r>
          </w:p>
          <w:p w14:paraId="3F97A6B3">
            <w:pPr>
              <w:pStyle w:val="6"/>
              <w:spacing w:before="24" w:line="219" w:lineRule="auto"/>
              <w:ind w:left="120"/>
              <w:rPr>
                <w:sz w:val="22"/>
                <w:szCs w:val="22"/>
              </w:rPr>
            </w:pPr>
            <w:r>
              <w:rPr>
                <w:spacing w:val="-2"/>
                <w:sz w:val="22"/>
                <w:szCs w:val="22"/>
              </w:rPr>
              <w:t>肥和含磷农药制</w:t>
            </w:r>
          </w:p>
          <w:p w14:paraId="1B6037A3">
            <w:pPr>
              <w:pStyle w:val="6"/>
              <w:spacing w:before="23" w:line="227" w:lineRule="auto"/>
              <w:ind w:left="779"/>
              <w:rPr>
                <w:sz w:val="22"/>
                <w:szCs w:val="22"/>
              </w:rPr>
            </w:pPr>
            <w:r>
              <w:rPr>
                <w:sz w:val="22"/>
                <w:szCs w:val="22"/>
              </w:rPr>
              <w:t>造</w:t>
            </w:r>
          </w:p>
        </w:tc>
        <w:tc>
          <w:tcPr>
            <w:tcW w:w="804" w:type="dxa"/>
            <w:vAlign w:val="top"/>
          </w:tcPr>
          <w:p w14:paraId="2A9A9A11">
            <w:pPr>
              <w:spacing w:line="268" w:lineRule="auto"/>
              <w:rPr>
                <w:rFonts w:ascii="Arial"/>
                <w:sz w:val="21"/>
              </w:rPr>
            </w:pPr>
          </w:p>
          <w:p w14:paraId="4955BC44">
            <w:pPr>
              <w:spacing w:line="269" w:lineRule="auto"/>
              <w:rPr>
                <w:rFonts w:ascii="Arial"/>
                <w:sz w:val="21"/>
              </w:rPr>
            </w:pPr>
          </w:p>
          <w:p w14:paraId="07D165BD">
            <w:pPr>
              <w:pStyle w:val="6"/>
              <w:spacing w:before="71" w:line="220" w:lineRule="auto"/>
              <w:ind w:left="196"/>
              <w:rPr>
                <w:sz w:val="22"/>
                <w:szCs w:val="22"/>
              </w:rPr>
            </w:pPr>
            <w:r>
              <w:rPr>
                <w:spacing w:val="-5"/>
                <w:sz w:val="22"/>
                <w:szCs w:val="22"/>
              </w:rPr>
              <w:t>符合</w:t>
            </w:r>
          </w:p>
        </w:tc>
        <w:tc>
          <w:tcPr>
            <w:tcW w:w="124" w:type="dxa"/>
            <w:tcBorders>
              <w:top w:val="nil"/>
              <w:bottom w:val="nil"/>
              <w:right w:val="single" w:color="000000" w:sz="6" w:space="0"/>
            </w:tcBorders>
            <w:vAlign w:val="top"/>
          </w:tcPr>
          <w:p w14:paraId="136C2994">
            <w:pPr>
              <w:rPr>
                <w:rFonts w:ascii="Arial"/>
                <w:sz w:val="21"/>
              </w:rPr>
            </w:pPr>
          </w:p>
        </w:tc>
      </w:tr>
      <w:tr w14:paraId="40F20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400" w:type="dxa"/>
            <w:vMerge w:val="continue"/>
            <w:tcBorders>
              <w:top w:val="nil"/>
              <w:left w:val="single" w:color="000000" w:sz="6" w:space="0"/>
              <w:bottom w:val="nil"/>
            </w:tcBorders>
            <w:vAlign w:val="top"/>
          </w:tcPr>
          <w:p w14:paraId="5E148189">
            <w:pPr>
              <w:rPr>
                <w:rFonts w:ascii="Arial"/>
                <w:sz w:val="21"/>
              </w:rPr>
            </w:pPr>
          </w:p>
        </w:tc>
        <w:tc>
          <w:tcPr>
            <w:tcW w:w="115" w:type="dxa"/>
            <w:tcBorders>
              <w:top w:val="nil"/>
              <w:bottom w:val="nil"/>
            </w:tcBorders>
            <w:vAlign w:val="top"/>
          </w:tcPr>
          <w:p w14:paraId="192F6906">
            <w:pPr>
              <w:rPr>
                <w:rFonts w:ascii="Arial"/>
                <w:sz w:val="21"/>
              </w:rPr>
            </w:pPr>
          </w:p>
        </w:tc>
        <w:tc>
          <w:tcPr>
            <w:tcW w:w="704" w:type="dxa"/>
            <w:vMerge w:val="restart"/>
            <w:tcBorders>
              <w:bottom w:val="nil"/>
            </w:tcBorders>
            <w:vAlign w:val="top"/>
          </w:tcPr>
          <w:p w14:paraId="55AB5251">
            <w:pPr>
              <w:spacing w:line="271" w:lineRule="auto"/>
              <w:rPr>
                <w:rFonts w:ascii="Arial"/>
                <w:sz w:val="21"/>
              </w:rPr>
            </w:pPr>
          </w:p>
          <w:p w14:paraId="100E973C">
            <w:pPr>
              <w:spacing w:line="271" w:lineRule="auto"/>
              <w:rPr>
                <w:rFonts w:ascii="Arial"/>
                <w:sz w:val="21"/>
              </w:rPr>
            </w:pPr>
          </w:p>
          <w:p w14:paraId="6F9C4CD5">
            <w:pPr>
              <w:pStyle w:val="6"/>
              <w:spacing w:before="71" w:line="241" w:lineRule="auto"/>
              <w:ind w:left="133" w:right="132" w:firstLine="1"/>
              <w:jc w:val="both"/>
              <w:rPr>
                <w:sz w:val="22"/>
                <w:szCs w:val="22"/>
              </w:rPr>
            </w:pPr>
            <w:r>
              <w:rPr>
                <w:spacing w:val="-5"/>
                <w:sz w:val="22"/>
                <w:szCs w:val="22"/>
              </w:rPr>
              <w:t>生态</w:t>
            </w:r>
            <w:r>
              <w:rPr>
                <w:spacing w:val="-4"/>
                <w:sz w:val="22"/>
                <w:szCs w:val="22"/>
              </w:rPr>
              <w:t>环境修复</w:t>
            </w:r>
          </w:p>
        </w:tc>
        <w:tc>
          <w:tcPr>
            <w:tcW w:w="3968" w:type="dxa"/>
            <w:vAlign w:val="top"/>
          </w:tcPr>
          <w:p w14:paraId="1BAB0692">
            <w:pPr>
              <w:pStyle w:val="6"/>
              <w:spacing w:before="185" w:line="220" w:lineRule="auto"/>
              <w:ind w:left="118"/>
              <w:rPr>
                <w:sz w:val="22"/>
                <w:szCs w:val="22"/>
              </w:rPr>
            </w:pPr>
            <w:r>
              <w:rPr>
                <w:spacing w:val="-4"/>
                <w:sz w:val="22"/>
                <w:szCs w:val="22"/>
              </w:rPr>
              <w:t>禁止违法利用、</w:t>
            </w:r>
            <w:r>
              <w:rPr>
                <w:spacing w:val="-50"/>
                <w:sz w:val="22"/>
                <w:szCs w:val="22"/>
              </w:rPr>
              <w:t xml:space="preserve"> </w:t>
            </w:r>
            <w:r>
              <w:rPr>
                <w:spacing w:val="-4"/>
                <w:sz w:val="22"/>
                <w:szCs w:val="22"/>
              </w:rPr>
              <w:t>占用长江流域河湖岸线</w:t>
            </w:r>
          </w:p>
        </w:tc>
        <w:tc>
          <w:tcPr>
            <w:tcW w:w="1759" w:type="dxa"/>
            <w:vAlign w:val="top"/>
          </w:tcPr>
          <w:p w14:paraId="4E81B584">
            <w:pPr>
              <w:pStyle w:val="6"/>
              <w:spacing w:before="43" w:line="218" w:lineRule="auto"/>
              <w:ind w:left="120" w:right="101"/>
              <w:rPr>
                <w:sz w:val="22"/>
                <w:szCs w:val="22"/>
              </w:rPr>
            </w:pPr>
            <w:r>
              <w:rPr>
                <w:spacing w:val="-2"/>
                <w:sz w:val="22"/>
                <w:szCs w:val="22"/>
              </w:rPr>
              <w:t>本项目不占用长江流域河湖岸线</w:t>
            </w:r>
          </w:p>
        </w:tc>
        <w:tc>
          <w:tcPr>
            <w:tcW w:w="804" w:type="dxa"/>
            <w:vAlign w:val="top"/>
          </w:tcPr>
          <w:p w14:paraId="492214DE">
            <w:pPr>
              <w:pStyle w:val="6"/>
              <w:spacing w:before="185" w:line="220" w:lineRule="auto"/>
              <w:ind w:left="196"/>
              <w:rPr>
                <w:sz w:val="22"/>
                <w:szCs w:val="22"/>
              </w:rPr>
            </w:pPr>
            <w:r>
              <w:rPr>
                <w:spacing w:val="-5"/>
                <w:sz w:val="22"/>
                <w:szCs w:val="22"/>
              </w:rPr>
              <w:t>符合</w:t>
            </w:r>
          </w:p>
        </w:tc>
        <w:tc>
          <w:tcPr>
            <w:tcW w:w="124" w:type="dxa"/>
            <w:tcBorders>
              <w:top w:val="nil"/>
              <w:bottom w:val="nil"/>
              <w:right w:val="single" w:color="000000" w:sz="6" w:space="0"/>
            </w:tcBorders>
            <w:vAlign w:val="top"/>
          </w:tcPr>
          <w:p w14:paraId="2F75402B">
            <w:pPr>
              <w:rPr>
                <w:rFonts w:ascii="Arial"/>
                <w:sz w:val="21"/>
              </w:rPr>
            </w:pPr>
          </w:p>
        </w:tc>
      </w:tr>
      <w:tr w14:paraId="0DAAB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1400" w:type="dxa"/>
            <w:vMerge w:val="continue"/>
            <w:tcBorders>
              <w:top w:val="nil"/>
              <w:left w:val="single" w:color="000000" w:sz="6" w:space="0"/>
              <w:bottom w:val="nil"/>
            </w:tcBorders>
            <w:vAlign w:val="top"/>
          </w:tcPr>
          <w:p w14:paraId="0891ECFA">
            <w:pPr>
              <w:rPr>
                <w:rFonts w:ascii="Arial"/>
                <w:sz w:val="21"/>
              </w:rPr>
            </w:pPr>
          </w:p>
        </w:tc>
        <w:tc>
          <w:tcPr>
            <w:tcW w:w="115" w:type="dxa"/>
            <w:tcBorders>
              <w:top w:val="nil"/>
              <w:bottom w:val="nil"/>
            </w:tcBorders>
            <w:vAlign w:val="top"/>
          </w:tcPr>
          <w:p w14:paraId="37A8F654">
            <w:pPr>
              <w:rPr>
                <w:rFonts w:ascii="Arial"/>
                <w:sz w:val="21"/>
              </w:rPr>
            </w:pPr>
          </w:p>
        </w:tc>
        <w:tc>
          <w:tcPr>
            <w:tcW w:w="704" w:type="dxa"/>
            <w:vMerge w:val="continue"/>
            <w:tcBorders>
              <w:top w:val="nil"/>
            </w:tcBorders>
            <w:vAlign w:val="top"/>
          </w:tcPr>
          <w:p w14:paraId="43CFA960">
            <w:pPr>
              <w:rPr>
                <w:rFonts w:ascii="Arial"/>
                <w:sz w:val="21"/>
              </w:rPr>
            </w:pPr>
          </w:p>
        </w:tc>
        <w:tc>
          <w:tcPr>
            <w:tcW w:w="3968" w:type="dxa"/>
            <w:vAlign w:val="top"/>
          </w:tcPr>
          <w:p w14:paraId="0E6E9AD2">
            <w:pPr>
              <w:pStyle w:val="6"/>
              <w:spacing w:before="46" w:line="219" w:lineRule="auto"/>
              <w:ind w:left="118"/>
              <w:rPr>
                <w:sz w:val="22"/>
                <w:szCs w:val="22"/>
              </w:rPr>
            </w:pPr>
            <w:r>
              <w:rPr>
                <w:spacing w:val="-1"/>
                <w:sz w:val="22"/>
                <w:szCs w:val="22"/>
              </w:rPr>
              <w:t>禁止在长江流域水土流失严重、生态脆</w:t>
            </w:r>
          </w:p>
          <w:p w14:paraId="21C72CAE">
            <w:pPr>
              <w:pStyle w:val="6"/>
              <w:spacing w:before="21" w:line="220" w:lineRule="auto"/>
              <w:ind w:left="121"/>
              <w:rPr>
                <w:sz w:val="22"/>
                <w:szCs w:val="22"/>
              </w:rPr>
            </w:pPr>
            <w:r>
              <w:rPr>
                <w:spacing w:val="-1"/>
                <w:sz w:val="22"/>
                <w:szCs w:val="22"/>
              </w:rPr>
              <w:t>弱的区域开展可能造成水土流失的生产</w:t>
            </w:r>
          </w:p>
          <w:p w14:paraId="7B01EAB5">
            <w:pPr>
              <w:pStyle w:val="6"/>
              <w:spacing w:before="23" w:line="221" w:lineRule="auto"/>
              <w:ind w:left="121"/>
              <w:rPr>
                <w:sz w:val="22"/>
                <w:szCs w:val="22"/>
              </w:rPr>
            </w:pPr>
            <w:r>
              <w:rPr>
                <w:spacing w:val="-1"/>
                <w:sz w:val="22"/>
                <w:szCs w:val="22"/>
              </w:rPr>
              <w:t>建设活动。确因国家发展战略和国计民</w:t>
            </w:r>
          </w:p>
          <w:p w14:paraId="4C342820">
            <w:pPr>
              <w:pStyle w:val="6"/>
              <w:spacing w:before="22" w:line="219" w:lineRule="auto"/>
              <w:ind w:left="120"/>
              <w:rPr>
                <w:sz w:val="22"/>
                <w:szCs w:val="22"/>
              </w:rPr>
            </w:pPr>
            <w:r>
              <w:rPr>
                <w:spacing w:val="-1"/>
                <w:sz w:val="22"/>
                <w:szCs w:val="22"/>
              </w:rPr>
              <w:t>生需要建设的，应当经科学论证，并依</w:t>
            </w:r>
          </w:p>
          <w:p w14:paraId="60923B3F">
            <w:pPr>
              <w:pStyle w:val="6"/>
              <w:spacing w:before="24" w:line="198" w:lineRule="auto"/>
              <w:ind w:left="1220"/>
              <w:rPr>
                <w:sz w:val="22"/>
                <w:szCs w:val="22"/>
              </w:rPr>
            </w:pPr>
            <w:r>
              <w:rPr>
                <w:spacing w:val="-2"/>
                <w:sz w:val="22"/>
                <w:szCs w:val="22"/>
              </w:rPr>
              <w:t>法办理审批手续</w:t>
            </w:r>
          </w:p>
        </w:tc>
        <w:tc>
          <w:tcPr>
            <w:tcW w:w="1759" w:type="dxa"/>
            <w:vAlign w:val="top"/>
          </w:tcPr>
          <w:p w14:paraId="3B0ADF42">
            <w:pPr>
              <w:pStyle w:val="6"/>
              <w:spacing w:before="188" w:line="219" w:lineRule="auto"/>
              <w:ind w:left="120"/>
              <w:rPr>
                <w:sz w:val="22"/>
                <w:szCs w:val="22"/>
              </w:rPr>
            </w:pPr>
            <w:r>
              <w:rPr>
                <w:spacing w:val="-2"/>
                <w:sz w:val="22"/>
                <w:szCs w:val="22"/>
              </w:rPr>
              <w:t>本项目不涉及长</w:t>
            </w:r>
          </w:p>
          <w:p w14:paraId="5B58E0D1">
            <w:pPr>
              <w:pStyle w:val="6"/>
              <w:spacing w:before="21" w:line="220" w:lineRule="auto"/>
              <w:ind w:left="120"/>
              <w:rPr>
                <w:sz w:val="22"/>
                <w:szCs w:val="22"/>
              </w:rPr>
            </w:pPr>
            <w:r>
              <w:rPr>
                <w:spacing w:val="-2"/>
                <w:sz w:val="22"/>
                <w:szCs w:val="22"/>
              </w:rPr>
              <w:t>江流域水土流失</w:t>
            </w:r>
          </w:p>
          <w:p w14:paraId="16AB8A44">
            <w:pPr>
              <w:pStyle w:val="6"/>
              <w:spacing w:before="23" w:line="219" w:lineRule="auto"/>
              <w:ind w:left="120"/>
              <w:rPr>
                <w:sz w:val="22"/>
                <w:szCs w:val="22"/>
              </w:rPr>
            </w:pPr>
            <w:r>
              <w:rPr>
                <w:spacing w:val="-2"/>
                <w:sz w:val="22"/>
                <w:szCs w:val="22"/>
              </w:rPr>
              <w:t>严重、生态脆弱</w:t>
            </w:r>
          </w:p>
          <w:p w14:paraId="3EA61C01">
            <w:pPr>
              <w:pStyle w:val="6"/>
              <w:spacing w:before="23" w:line="221" w:lineRule="auto"/>
              <w:ind w:left="577"/>
              <w:rPr>
                <w:sz w:val="22"/>
                <w:szCs w:val="22"/>
              </w:rPr>
            </w:pPr>
            <w:r>
              <w:rPr>
                <w:spacing w:val="-9"/>
                <w:sz w:val="22"/>
                <w:szCs w:val="22"/>
              </w:rPr>
              <w:t>的区域</w:t>
            </w:r>
          </w:p>
        </w:tc>
        <w:tc>
          <w:tcPr>
            <w:tcW w:w="804" w:type="dxa"/>
            <w:vAlign w:val="top"/>
          </w:tcPr>
          <w:p w14:paraId="69E0F9AD">
            <w:pPr>
              <w:spacing w:line="270" w:lineRule="auto"/>
              <w:rPr>
                <w:rFonts w:ascii="Arial"/>
                <w:sz w:val="21"/>
              </w:rPr>
            </w:pPr>
          </w:p>
          <w:p w14:paraId="46D097BF">
            <w:pPr>
              <w:spacing w:line="270" w:lineRule="auto"/>
              <w:rPr>
                <w:rFonts w:ascii="Arial"/>
                <w:sz w:val="21"/>
              </w:rPr>
            </w:pPr>
          </w:p>
          <w:p w14:paraId="23767E20">
            <w:pPr>
              <w:pStyle w:val="6"/>
              <w:spacing w:before="71" w:line="220" w:lineRule="auto"/>
              <w:ind w:left="196"/>
              <w:rPr>
                <w:sz w:val="22"/>
                <w:szCs w:val="22"/>
              </w:rPr>
            </w:pPr>
            <w:r>
              <w:rPr>
                <w:spacing w:val="-5"/>
                <w:sz w:val="22"/>
                <w:szCs w:val="22"/>
              </w:rPr>
              <w:t>符合</w:t>
            </w:r>
          </w:p>
        </w:tc>
        <w:tc>
          <w:tcPr>
            <w:tcW w:w="124" w:type="dxa"/>
            <w:tcBorders>
              <w:top w:val="nil"/>
              <w:bottom w:val="nil"/>
              <w:right w:val="single" w:color="000000" w:sz="6" w:space="0"/>
            </w:tcBorders>
            <w:vAlign w:val="top"/>
          </w:tcPr>
          <w:p w14:paraId="45C95757">
            <w:pPr>
              <w:rPr>
                <w:rFonts w:ascii="Arial"/>
                <w:sz w:val="21"/>
              </w:rPr>
            </w:pPr>
          </w:p>
        </w:tc>
      </w:tr>
      <w:tr w14:paraId="61486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2" w:hRule="atLeast"/>
        </w:trPr>
        <w:tc>
          <w:tcPr>
            <w:tcW w:w="1400" w:type="dxa"/>
            <w:vMerge w:val="continue"/>
            <w:tcBorders>
              <w:top w:val="nil"/>
              <w:left w:val="single" w:color="000000" w:sz="6" w:space="0"/>
              <w:bottom w:val="single" w:color="000000" w:sz="6" w:space="0"/>
            </w:tcBorders>
            <w:vAlign w:val="top"/>
          </w:tcPr>
          <w:p w14:paraId="60697AF8">
            <w:pPr>
              <w:rPr>
                <w:rFonts w:ascii="Arial"/>
                <w:sz w:val="21"/>
              </w:rPr>
            </w:pPr>
          </w:p>
        </w:tc>
        <w:tc>
          <w:tcPr>
            <w:tcW w:w="115" w:type="dxa"/>
            <w:tcBorders>
              <w:top w:val="nil"/>
              <w:bottom w:val="single" w:color="000000" w:sz="6" w:space="0"/>
            </w:tcBorders>
            <w:vAlign w:val="top"/>
          </w:tcPr>
          <w:p w14:paraId="451EE058">
            <w:pPr>
              <w:rPr>
                <w:rFonts w:ascii="Arial"/>
                <w:sz w:val="21"/>
              </w:rPr>
            </w:pPr>
          </w:p>
        </w:tc>
        <w:tc>
          <w:tcPr>
            <w:tcW w:w="704" w:type="dxa"/>
            <w:tcBorders>
              <w:bottom w:val="single" w:color="000000" w:sz="6" w:space="0"/>
            </w:tcBorders>
            <w:vAlign w:val="top"/>
          </w:tcPr>
          <w:p w14:paraId="3713519F">
            <w:pPr>
              <w:spacing w:line="340" w:lineRule="auto"/>
              <w:rPr>
                <w:rFonts w:ascii="Arial"/>
                <w:sz w:val="21"/>
              </w:rPr>
            </w:pPr>
          </w:p>
          <w:p w14:paraId="2DB886DD">
            <w:pPr>
              <w:spacing w:line="341" w:lineRule="auto"/>
              <w:rPr>
                <w:rFonts w:ascii="Arial"/>
                <w:sz w:val="21"/>
              </w:rPr>
            </w:pPr>
          </w:p>
          <w:p w14:paraId="03547543">
            <w:pPr>
              <w:pStyle w:val="6"/>
              <w:spacing w:before="72" w:line="242" w:lineRule="auto"/>
              <w:ind w:left="136" w:right="132" w:hanging="1"/>
              <w:rPr>
                <w:sz w:val="22"/>
                <w:szCs w:val="22"/>
              </w:rPr>
            </w:pPr>
            <w:r>
              <w:rPr>
                <w:spacing w:val="-5"/>
                <w:sz w:val="22"/>
                <w:szCs w:val="22"/>
              </w:rPr>
              <w:t>绿色</w:t>
            </w:r>
            <w:r>
              <w:rPr>
                <w:spacing w:val="-6"/>
                <w:sz w:val="22"/>
                <w:szCs w:val="22"/>
              </w:rPr>
              <w:t>发展</w:t>
            </w:r>
          </w:p>
        </w:tc>
        <w:tc>
          <w:tcPr>
            <w:tcW w:w="3968" w:type="dxa"/>
            <w:tcBorders>
              <w:bottom w:val="single" w:color="000000" w:sz="6" w:space="0"/>
            </w:tcBorders>
            <w:vAlign w:val="top"/>
          </w:tcPr>
          <w:p w14:paraId="712EBA69">
            <w:pPr>
              <w:pStyle w:val="6"/>
              <w:spacing w:before="46" w:line="238" w:lineRule="auto"/>
              <w:ind w:left="112" w:right="23" w:firstLine="7"/>
              <w:jc w:val="both"/>
              <w:rPr>
                <w:sz w:val="22"/>
                <w:szCs w:val="22"/>
              </w:rPr>
            </w:pPr>
            <w:r>
              <w:rPr>
                <w:spacing w:val="-1"/>
                <w:sz w:val="22"/>
                <w:szCs w:val="22"/>
              </w:rPr>
              <w:t>长江流域县级以上地方人民政府应当推</w:t>
            </w:r>
            <w:r>
              <w:rPr>
                <w:spacing w:val="-8"/>
                <w:sz w:val="22"/>
                <w:szCs w:val="22"/>
              </w:rPr>
              <w:t>动钢铁、石油、化工、有色金属、建材、</w:t>
            </w:r>
            <w:r>
              <w:rPr>
                <w:spacing w:val="-1"/>
                <w:sz w:val="22"/>
                <w:szCs w:val="22"/>
              </w:rPr>
              <w:t>船舶等产业升级改造，提升技术装备水平；推动造纸、制革、电镀、印染、有色金属、农药、氮肥、焦化、原料药制造等企业实施清洁化改造。企业应当通过技术创新减少资源消耗和污染物排放</w:t>
            </w:r>
          </w:p>
        </w:tc>
        <w:tc>
          <w:tcPr>
            <w:tcW w:w="1759" w:type="dxa"/>
            <w:tcBorders>
              <w:bottom w:val="single" w:color="000000" w:sz="6" w:space="0"/>
            </w:tcBorders>
            <w:vAlign w:val="top"/>
          </w:tcPr>
          <w:p w14:paraId="698730E7">
            <w:pPr>
              <w:spacing w:line="340" w:lineRule="auto"/>
              <w:rPr>
                <w:rFonts w:ascii="Arial"/>
                <w:sz w:val="21"/>
              </w:rPr>
            </w:pPr>
          </w:p>
          <w:p w14:paraId="32E4ED95">
            <w:pPr>
              <w:spacing w:line="340" w:lineRule="auto"/>
              <w:rPr>
                <w:rFonts w:ascii="Arial"/>
                <w:sz w:val="21"/>
              </w:rPr>
            </w:pPr>
          </w:p>
          <w:p w14:paraId="03A45000">
            <w:pPr>
              <w:pStyle w:val="6"/>
              <w:spacing w:before="72" w:line="242" w:lineRule="auto"/>
              <w:ind w:left="120" w:right="101"/>
              <w:rPr>
                <w:sz w:val="22"/>
                <w:szCs w:val="22"/>
              </w:rPr>
            </w:pPr>
            <w:r>
              <w:rPr>
                <w:spacing w:val="-2"/>
                <w:sz w:val="22"/>
                <w:szCs w:val="22"/>
              </w:rPr>
              <w:t>本项目不属于上述范围内的项目</w:t>
            </w:r>
          </w:p>
        </w:tc>
        <w:tc>
          <w:tcPr>
            <w:tcW w:w="804" w:type="dxa"/>
            <w:tcBorders>
              <w:bottom w:val="single" w:color="000000" w:sz="6" w:space="0"/>
            </w:tcBorders>
            <w:vAlign w:val="top"/>
          </w:tcPr>
          <w:p w14:paraId="2EB5BFED">
            <w:pPr>
              <w:spacing w:line="274" w:lineRule="auto"/>
              <w:rPr>
                <w:rFonts w:ascii="Arial"/>
                <w:sz w:val="21"/>
              </w:rPr>
            </w:pPr>
          </w:p>
          <w:p w14:paraId="0F9E0C57">
            <w:pPr>
              <w:spacing w:line="275" w:lineRule="auto"/>
              <w:rPr>
                <w:rFonts w:ascii="Arial"/>
                <w:sz w:val="21"/>
              </w:rPr>
            </w:pPr>
          </w:p>
          <w:p w14:paraId="17BDBE69">
            <w:pPr>
              <w:spacing w:line="275" w:lineRule="auto"/>
              <w:rPr>
                <w:rFonts w:ascii="Arial"/>
                <w:sz w:val="21"/>
              </w:rPr>
            </w:pPr>
          </w:p>
          <w:p w14:paraId="0C17FC84">
            <w:pPr>
              <w:pStyle w:val="6"/>
              <w:spacing w:before="72" w:line="220" w:lineRule="auto"/>
              <w:ind w:left="196"/>
              <w:rPr>
                <w:sz w:val="22"/>
                <w:szCs w:val="22"/>
              </w:rPr>
            </w:pPr>
            <w:r>
              <w:rPr>
                <w:spacing w:val="-5"/>
                <w:sz w:val="22"/>
                <w:szCs w:val="22"/>
              </w:rPr>
              <w:t>符合</w:t>
            </w:r>
          </w:p>
        </w:tc>
        <w:tc>
          <w:tcPr>
            <w:tcW w:w="124" w:type="dxa"/>
            <w:tcBorders>
              <w:top w:val="nil"/>
              <w:bottom w:val="single" w:color="000000" w:sz="6" w:space="0"/>
              <w:right w:val="single" w:color="000000" w:sz="6" w:space="0"/>
            </w:tcBorders>
            <w:vAlign w:val="top"/>
          </w:tcPr>
          <w:p w14:paraId="163C03FC">
            <w:pPr>
              <w:rPr>
                <w:rFonts w:ascii="Arial"/>
                <w:sz w:val="21"/>
              </w:rPr>
            </w:pPr>
          </w:p>
        </w:tc>
      </w:tr>
    </w:tbl>
    <w:p w14:paraId="7415189F">
      <w:pPr>
        <w:pStyle w:val="2"/>
        <w:rPr>
          <w:sz w:val="21"/>
        </w:rPr>
      </w:pPr>
    </w:p>
    <w:p w14:paraId="7AEB6D8B">
      <w:pPr>
        <w:rPr>
          <w:sz w:val="21"/>
          <w:szCs w:val="21"/>
        </w:rPr>
        <w:sectPr>
          <w:footerReference r:id="rId20" w:type="default"/>
          <w:pgSz w:w="11906" w:h="16839"/>
          <w:pgMar w:top="400" w:right="1508" w:bottom="1234" w:left="1508" w:header="0" w:footer="1002" w:gutter="0"/>
          <w:cols w:space="720" w:num="1"/>
        </w:sectPr>
      </w:pPr>
    </w:p>
    <w:p w14:paraId="5D9306D2">
      <w:pPr>
        <w:spacing w:before="19"/>
      </w:pPr>
    </w:p>
    <w:p w14:paraId="304B4B74">
      <w:pPr>
        <w:spacing w:before="19"/>
      </w:pPr>
    </w:p>
    <w:p w14:paraId="2456AD41">
      <w:pPr>
        <w:spacing w:before="19"/>
      </w:pPr>
    </w:p>
    <w:p w14:paraId="4C44C65C">
      <w:pPr>
        <w:spacing w:before="18"/>
      </w:pPr>
    </w:p>
    <w:p w14:paraId="096149F6">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113"/>
        <w:gridCol w:w="875"/>
        <w:gridCol w:w="2763"/>
        <w:gridCol w:w="2673"/>
        <w:gridCol w:w="928"/>
        <w:gridCol w:w="122"/>
      </w:tblGrid>
      <w:tr w14:paraId="4B682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8" w:hRule="atLeast"/>
        </w:trPr>
        <w:tc>
          <w:tcPr>
            <w:tcW w:w="1400" w:type="dxa"/>
            <w:vMerge w:val="restart"/>
            <w:tcBorders>
              <w:top w:val="single" w:color="000000" w:sz="6" w:space="0"/>
              <w:left w:val="single" w:color="000000" w:sz="6" w:space="0"/>
              <w:bottom w:val="nil"/>
            </w:tcBorders>
            <w:vAlign w:val="top"/>
          </w:tcPr>
          <w:p w14:paraId="7DE4A5CB">
            <w:pPr>
              <w:rPr>
                <w:rFonts w:ascii="Arial"/>
                <w:sz w:val="21"/>
              </w:rPr>
            </w:pPr>
          </w:p>
        </w:tc>
        <w:tc>
          <w:tcPr>
            <w:tcW w:w="7474" w:type="dxa"/>
            <w:gridSpan w:val="6"/>
            <w:tcBorders>
              <w:top w:val="single" w:color="000000" w:sz="6" w:space="0"/>
              <w:right w:val="single" w:color="000000" w:sz="6" w:space="0"/>
            </w:tcBorders>
            <w:vAlign w:val="top"/>
          </w:tcPr>
          <w:p w14:paraId="440DB423">
            <w:pPr>
              <w:pStyle w:val="6"/>
              <w:spacing w:before="149" w:line="340" w:lineRule="auto"/>
              <w:ind w:left="111" w:firstLine="550"/>
              <w:jc w:val="both"/>
            </w:pPr>
            <w:r>
              <w:rPr>
                <w:spacing w:val="2"/>
              </w:rPr>
              <w:t>由上表分析可知，本项目符合《中华人民共和国长江</w:t>
            </w:r>
            <w:r>
              <w:rPr>
                <w:spacing w:val="1"/>
              </w:rPr>
              <w:t>保护法》</w:t>
            </w:r>
            <w:r>
              <w:t xml:space="preserve"> </w:t>
            </w:r>
            <w:r>
              <w:rPr>
                <w:spacing w:val="5"/>
              </w:rPr>
              <w:t>（</w:t>
            </w:r>
            <w:r>
              <w:rPr>
                <w:rFonts w:ascii="Times New Roman" w:hAnsi="Times New Roman" w:eastAsia="Times New Roman" w:cs="Times New Roman"/>
                <w:spacing w:val="5"/>
              </w:rPr>
              <w:t xml:space="preserve">2020 </w:t>
            </w:r>
            <w:r>
              <w:rPr>
                <w:spacing w:val="5"/>
              </w:rPr>
              <w:t>年</w:t>
            </w:r>
            <w:r>
              <w:rPr>
                <w:spacing w:val="-34"/>
              </w:rPr>
              <w:t xml:space="preserve"> </w:t>
            </w:r>
            <w:r>
              <w:rPr>
                <w:rFonts w:ascii="Times New Roman" w:hAnsi="Times New Roman" w:eastAsia="Times New Roman" w:cs="Times New Roman"/>
                <w:spacing w:val="5"/>
              </w:rPr>
              <w:t xml:space="preserve">12 </w:t>
            </w:r>
            <w:r>
              <w:rPr>
                <w:spacing w:val="5"/>
              </w:rPr>
              <w:t>月</w:t>
            </w:r>
            <w:r>
              <w:rPr>
                <w:rFonts w:ascii="Times New Roman" w:hAnsi="Times New Roman" w:eastAsia="Times New Roman" w:cs="Times New Roman"/>
                <w:spacing w:val="5"/>
              </w:rPr>
              <w:t>26</w:t>
            </w:r>
            <w:r>
              <w:rPr>
                <w:rFonts w:ascii="Times New Roman" w:hAnsi="Times New Roman" w:eastAsia="Times New Roman" w:cs="Times New Roman"/>
                <w:spacing w:val="42"/>
              </w:rPr>
              <w:t xml:space="preserve"> </w:t>
            </w:r>
            <w:r>
              <w:rPr>
                <w:spacing w:val="5"/>
              </w:rPr>
              <w:t>日第十三届全国人民代表大会常务委员会第二</w:t>
            </w:r>
            <w:r>
              <w:rPr>
                <w:spacing w:val="8"/>
              </w:rPr>
              <w:t>十四次会议通过）文件的相关要求。</w:t>
            </w:r>
          </w:p>
          <w:p w14:paraId="08E01A24">
            <w:pPr>
              <w:pStyle w:val="6"/>
              <w:spacing w:before="1" w:line="339" w:lineRule="auto"/>
              <w:ind w:left="127" w:right="103" w:hanging="10"/>
            </w:pPr>
            <w:r>
              <w:rPr>
                <w:rFonts w:ascii="Times New Roman" w:hAnsi="Times New Roman" w:eastAsia="Times New Roman" w:cs="Times New Roman"/>
                <w:b/>
                <w:bCs/>
                <w:spacing w:val="9"/>
              </w:rPr>
              <w:t>1.8</w:t>
            </w:r>
            <w:r>
              <w:rPr>
                <w:rFonts w:ascii="Times New Roman" w:hAnsi="Times New Roman" w:eastAsia="Times New Roman" w:cs="Times New Roman"/>
                <w:b/>
                <w:bCs/>
                <w:spacing w:val="37"/>
              </w:rPr>
              <w:t xml:space="preserve"> </w:t>
            </w:r>
            <w:r>
              <w:rPr>
                <w:b/>
                <w:bCs/>
                <w:spacing w:val="9"/>
              </w:rPr>
              <w:t>与《加油站地下水污染防治技术指南（试行）》（环办水体</w:t>
            </w:r>
            <w:r>
              <w:rPr>
                <w:b/>
                <w:bCs/>
                <w:spacing w:val="4"/>
              </w:rPr>
              <w:t>函〔</w:t>
            </w:r>
            <w:r>
              <w:rPr>
                <w:rFonts w:ascii="Times New Roman" w:hAnsi="Times New Roman" w:eastAsia="Times New Roman" w:cs="Times New Roman"/>
                <w:b/>
                <w:bCs/>
                <w:spacing w:val="4"/>
              </w:rPr>
              <w:t>2017</w:t>
            </w:r>
            <w:r>
              <w:rPr>
                <w:b/>
                <w:bCs/>
                <w:spacing w:val="4"/>
              </w:rPr>
              <w:t>〕</w:t>
            </w:r>
            <w:r>
              <w:rPr>
                <w:rFonts w:ascii="Times New Roman" w:hAnsi="Times New Roman" w:eastAsia="Times New Roman" w:cs="Times New Roman"/>
                <w:b/>
                <w:bCs/>
                <w:spacing w:val="4"/>
              </w:rPr>
              <w:t>323</w:t>
            </w:r>
            <w:r>
              <w:rPr>
                <w:rFonts w:ascii="Times New Roman" w:hAnsi="Times New Roman" w:eastAsia="Times New Roman" w:cs="Times New Roman"/>
                <w:b/>
                <w:bCs/>
                <w:spacing w:val="23"/>
              </w:rPr>
              <w:t xml:space="preserve"> </w:t>
            </w:r>
            <w:r>
              <w:rPr>
                <w:b/>
                <w:bCs/>
                <w:spacing w:val="4"/>
              </w:rPr>
              <w:t>号）符合性分析</w:t>
            </w:r>
          </w:p>
          <w:p w14:paraId="2B16C734">
            <w:pPr>
              <w:pStyle w:val="6"/>
              <w:spacing w:before="4" w:line="339" w:lineRule="auto"/>
              <w:ind w:left="110" w:right="103" w:firstLine="520"/>
              <w:jc w:val="both"/>
            </w:pPr>
            <w:r>
              <w:rPr>
                <w:spacing w:val="9"/>
              </w:rPr>
              <w:t>根据《加油站地下水污染防治技术指南（试</w:t>
            </w:r>
            <w:r>
              <w:rPr>
                <w:spacing w:val="8"/>
              </w:rPr>
              <w:t>行）》（环办水</w:t>
            </w:r>
            <w:r>
              <w:rPr>
                <w:spacing w:val="12"/>
              </w:rPr>
              <w:t>体函〔</w:t>
            </w:r>
            <w:r>
              <w:rPr>
                <w:rFonts w:ascii="Times New Roman" w:hAnsi="Times New Roman" w:eastAsia="Times New Roman" w:cs="Times New Roman"/>
                <w:spacing w:val="12"/>
              </w:rPr>
              <w:t>2017</w:t>
            </w:r>
            <w:r>
              <w:rPr>
                <w:spacing w:val="12"/>
              </w:rPr>
              <w:t>〕</w:t>
            </w:r>
            <w:r>
              <w:rPr>
                <w:rFonts w:ascii="Times New Roman" w:hAnsi="Times New Roman" w:eastAsia="Times New Roman" w:cs="Times New Roman"/>
                <w:spacing w:val="12"/>
              </w:rPr>
              <w:t>323</w:t>
            </w:r>
            <w:r>
              <w:rPr>
                <w:spacing w:val="12"/>
              </w:rPr>
              <w:t>号）要求，按照“源头控制、分区防控、污染</w:t>
            </w:r>
            <w:r>
              <w:rPr>
                <w:spacing w:val="7"/>
              </w:rPr>
              <w:t>监控、应急响应</w:t>
            </w:r>
            <w:r>
              <w:rPr>
                <w:spacing w:val="-73"/>
              </w:rPr>
              <w:t xml:space="preserve"> </w:t>
            </w:r>
            <w:r>
              <w:rPr>
                <w:spacing w:val="7"/>
              </w:rPr>
              <w:t>”原则，根据项目各功能区的性质和特点，可分</w:t>
            </w:r>
            <w:r>
              <w:rPr>
                <w:spacing w:val="8"/>
              </w:rPr>
              <w:t>重点防渗区、一般防渗区和简单防渗区。</w:t>
            </w:r>
          </w:p>
          <w:p w14:paraId="16C658B0">
            <w:pPr>
              <w:pStyle w:val="6"/>
              <w:spacing w:before="7" w:line="339" w:lineRule="auto"/>
              <w:ind w:left="111" w:right="15" w:firstLine="520"/>
              <w:jc w:val="both"/>
            </w:pPr>
            <w:r>
              <w:rPr>
                <w:spacing w:val="2"/>
              </w:rPr>
              <w:t>本项目按照指南要求设置分区防渗，对地埋油罐区、加油区、</w:t>
            </w:r>
            <w:r>
              <w:rPr>
                <w:spacing w:val="9"/>
              </w:rPr>
              <w:t>危险废物贮存点、隔油沉淀池、卸油区、应急柴油发</w:t>
            </w:r>
            <w:r>
              <w:rPr>
                <w:spacing w:val="8"/>
              </w:rPr>
              <w:t>电机房以及</w:t>
            </w:r>
            <w:r>
              <w:rPr>
                <w:spacing w:val="9"/>
              </w:rPr>
              <w:t>工艺管线设置为重点防渗区，对生化池设置为一般防</w:t>
            </w:r>
            <w:r>
              <w:rPr>
                <w:spacing w:val="8"/>
              </w:rPr>
              <w:t>渗区，对站</w:t>
            </w:r>
            <w:r>
              <w:rPr>
                <w:spacing w:val="9"/>
              </w:rPr>
              <w:t>内道路和站房地面等办公生活区设置为简单防渗区，</w:t>
            </w:r>
            <w:r>
              <w:rPr>
                <w:spacing w:val="8"/>
              </w:rPr>
              <w:t>采取地面硬</w:t>
            </w:r>
            <w:r>
              <w:rPr>
                <w:spacing w:val="9"/>
              </w:rPr>
              <w:t>化措施。同时按照指南要求，设置地下水油罐区跟踪</w:t>
            </w:r>
            <w:r>
              <w:rPr>
                <w:spacing w:val="8"/>
              </w:rPr>
              <w:t>观察井（站内已设置，本项目可依托</w:t>
            </w:r>
            <w:r>
              <w:rPr>
                <w:spacing w:val="19"/>
              </w:rPr>
              <w:t>），</w:t>
            </w:r>
            <w:r>
              <w:rPr>
                <w:spacing w:val="8"/>
              </w:rPr>
              <w:t>项目储油罐采用双层罐形式，储油罐设置高液位报警器以及泄漏报警器。</w:t>
            </w:r>
          </w:p>
          <w:p w14:paraId="739DCEB7">
            <w:pPr>
              <w:pStyle w:val="6"/>
              <w:spacing w:before="1" w:line="339" w:lineRule="auto"/>
              <w:ind w:left="122" w:firstLine="511"/>
            </w:pPr>
            <w:r>
              <w:rPr>
                <w:spacing w:val="-6"/>
              </w:rPr>
              <w:t>综上，本项目满足《加油站地下水污染防治技术指南（</w:t>
            </w:r>
            <w:r>
              <w:rPr>
                <w:spacing w:val="-7"/>
              </w:rPr>
              <w:t>试行）》</w:t>
            </w:r>
            <w:r>
              <w:t xml:space="preserve"> </w:t>
            </w:r>
            <w:r>
              <w:rPr>
                <w:spacing w:val="6"/>
              </w:rPr>
              <w:t>（环办水体函〔</w:t>
            </w:r>
            <w:r>
              <w:rPr>
                <w:rFonts w:ascii="Times New Roman" w:hAnsi="Times New Roman" w:eastAsia="Times New Roman" w:cs="Times New Roman"/>
                <w:spacing w:val="6"/>
              </w:rPr>
              <w:t>2017</w:t>
            </w:r>
            <w:r>
              <w:rPr>
                <w:spacing w:val="6"/>
              </w:rPr>
              <w:t>〕</w:t>
            </w:r>
            <w:r>
              <w:rPr>
                <w:rFonts w:ascii="Times New Roman" w:hAnsi="Times New Roman" w:eastAsia="Times New Roman" w:cs="Times New Roman"/>
                <w:spacing w:val="6"/>
              </w:rPr>
              <w:t>323</w:t>
            </w:r>
            <w:r>
              <w:rPr>
                <w:spacing w:val="6"/>
              </w:rPr>
              <w:t>号）要求。</w:t>
            </w:r>
          </w:p>
          <w:p w14:paraId="407A43A2">
            <w:pPr>
              <w:pStyle w:val="6"/>
              <w:spacing w:before="1" w:line="225" w:lineRule="auto"/>
              <w:ind w:left="117"/>
            </w:pPr>
            <w:r>
              <w:rPr>
                <w:rFonts w:ascii="Times New Roman" w:hAnsi="Times New Roman" w:eastAsia="Times New Roman" w:cs="Times New Roman"/>
                <w:b/>
                <w:bCs/>
                <w:spacing w:val="7"/>
              </w:rPr>
              <w:t xml:space="preserve">1.9 </w:t>
            </w:r>
            <w:r>
              <w:rPr>
                <w:b/>
                <w:bCs/>
                <w:spacing w:val="7"/>
              </w:rPr>
              <w:t>与《重庆市空气质量持续改善行动实施方案》符合性分析</w:t>
            </w:r>
          </w:p>
          <w:p w14:paraId="3AFEF42A">
            <w:pPr>
              <w:pStyle w:val="6"/>
              <w:spacing w:before="155" w:line="339" w:lineRule="auto"/>
              <w:ind w:left="113" w:right="103" w:firstLine="518"/>
            </w:pPr>
            <w:r>
              <w:rPr>
                <w:spacing w:val="8"/>
              </w:rPr>
              <w:t>本项目与《重庆市空气质量持续改善行动实施方案》符合性</w:t>
            </w:r>
            <w:r>
              <w:rPr>
                <w:spacing w:val="5"/>
              </w:rPr>
              <w:t>分析见下表。</w:t>
            </w:r>
          </w:p>
          <w:p w14:paraId="1A7FC0C9">
            <w:pPr>
              <w:pStyle w:val="6"/>
              <w:spacing w:before="1" w:line="225" w:lineRule="auto"/>
              <w:ind w:left="109"/>
            </w:pPr>
            <w:r>
              <w:rPr>
                <w:spacing w:val="6"/>
              </w:rPr>
              <w:t>表</w:t>
            </w:r>
            <w:r>
              <w:rPr>
                <w:rFonts w:ascii="Times New Roman" w:hAnsi="Times New Roman" w:eastAsia="Times New Roman" w:cs="Times New Roman"/>
                <w:spacing w:val="6"/>
              </w:rPr>
              <w:t>1.9-</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 xml:space="preserve">1    </w:t>
            </w:r>
            <w:r>
              <w:rPr>
                <w:spacing w:val="6"/>
              </w:rPr>
              <w:t>与《重庆市空气质量持续改善行动实施方</w:t>
            </w:r>
            <w:r>
              <w:rPr>
                <w:spacing w:val="5"/>
              </w:rPr>
              <w:t>案》符合性分</w:t>
            </w:r>
          </w:p>
          <w:p w14:paraId="57AAABC3">
            <w:pPr>
              <w:pStyle w:val="6"/>
              <w:spacing w:before="155" w:line="219" w:lineRule="auto"/>
              <w:ind w:left="3093"/>
            </w:pPr>
            <w:r>
              <w:rPr>
                <w:spacing w:val="5"/>
              </w:rPr>
              <w:t>析（摘录）</w:t>
            </w:r>
          </w:p>
        </w:tc>
      </w:tr>
      <w:tr w14:paraId="5C24F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400" w:type="dxa"/>
            <w:vMerge w:val="continue"/>
            <w:tcBorders>
              <w:top w:val="nil"/>
              <w:left w:val="single" w:color="000000" w:sz="6" w:space="0"/>
              <w:bottom w:val="nil"/>
            </w:tcBorders>
            <w:vAlign w:val="top"/>
          </w:tcPr>
          <w:p w14:paraId="3123A63E">
            <w:pPr>
              <w:rPr>
                <w:rFonts w:ascii="Arial"/>
                <w:sz w:val="21"/>
              </w:rPr>
            </w:pPr>
          </w:p>
        </w:tc>
        <w:tc>
          <w:tcPr>
            <w:tcW w:w="113" w:type="dxa"/>
            <w:tcBorders>
              <w:top w:val="nil"/>
              <w:bottom w:val="nil"/>
            </w:tcBorders>
            <w:vAlign w:val="top"/>
          </w:tcPr>
          <w:p w14:paraId="3F0ADCBC">
            <w:pPr>
              <w:rPr>
                <w:rFonts w:ascii="Arial"/>
                <w:sz w:val="21"/>
              </w:rPr>
            </w:pPr>
          </w:p>
        </w:tc>
        <w:tc>
          <w:tcPr>
            <w:tcW w:w="875" w:type="dxa"/>
            <w:vAlign w:val="top"/>
          </w:tcPr>
          <w:p w14:paraId="7FDADB3E">
            <w:pPr>
              <w:pStyle w:val="6"/>
              <w:spacing w:before="85" w:line="222" w:lineRule="auto"/>
              <w:ind w:left="218"/>
              <w:rPr>
                <w:sz w:val="22"/>
                <w:szCs w:val="22"/>
              </w:rPr>
            </w:pPr>
            <w:r>
              <w:rPr>
                <w:spacing w:val="-3"/>
                <w:sz w:val="22"/>
                <w:szCs w:val="22"/>
              </w:rPr>
              <w:t>序号</w:t>
            </w:r>
          </w:p>
        </w:tc>
        <w:tc>
          <w:tcPr>
            <w:tcW w:w="2763" w:type="dxa"/>
            <w:vAlign w:val="top"/>
          </w:tcPr>
          <w:p w14:paraId="11BBF7EF">
            <w:pPr>
              <w:pStyle w:val="6"/>
              <w:spacing w:before="85" w:line="220" w:lineRule="auto"/>
              <w:ind w:left="732"/>
              <w:rPr>
                <w:sz w:val="22"/>
                <w:szCs w:val="22"/>
              </w:rPr>
            </w:pPr>
            <w:r>
              <w:rPr>
                <w:spacing w:val="-3"/>
                <w:sz w:val="22"/>
                <w:szCs w:val="22"/>
              </w:rPr>
              <w:t>实施方案内容</w:t>
            </w:r>
          </w:p>
        </w:tc>
        <w:tc>
          <w:tcPr>
            <w:tcW w:w="2673" w:type="dxa"/>
            <w:vAlign w:val="top"/>
          </w:tcPr>
          <w:p w14:paraId="050653F5">
            <w:pPr>
              <w:pStyle w:val="6"/>
              <w:spacing w:before="86" w:line="219" w:lineRule="auto"/>
              <w:ind w:left="796"/>
              <w:rPr>
                <w:sz w:val="22"/>
                <w:szCs w:val="22"/>
              </w:rPr>
            </w:pPr>
            <w:r>
              <w:rPr>
                <w:spacing w:val="-2"/>
                <w:sz w:val="22"/>
                <w:szCs w:val="22"/>
              </w:rPr>
              <w:t>本项目情况</w:t>
            </w:r>
          </w:p>
        </w:tc>
        <w:tc>
          <w:tcPr>
            <w:tcW w:w="928" w:type="dxa"/>
            <w:vAlign w:val="top"/>
          </w:tcPr>
          <w:p w14:paraId="366A8478">
            <w:pPr>
              <w:pStyle w:val="6"/>
              <w:spacing w:before="85" w:line="220" w:lineRule="auto"/>
              <w:ind w:left="147"/>
              <w:rPr>
                <w:sz w:val="22"/>
                <w:szCs w:val="22"/>
              </w:rPr>
            </w:pPr>
            <w:r>
              <w:rPr>
                <w:spacing w:val="-3"/>
                <w:sz w:val="22"/>
                <w:szCs w:val="22"/>
              </w:rPr>
              <w:t>符合性</w:t>
            </w:r>
          </w:p>
        </w:tc>
        <w:tc>
          <w:tcPr>
            <w:tcW w:w="122" w:type="dxa"/>
            <w:tcBorders>
              <w:top w:val="nil"/>
              <w:bottom w:val="nil"/>
              <w:right w:val="single" w:color="000000" w:sz="6" w:space="0"/>
            </w:tcBorders>
            <w:vAlign w:val="top"/>
          </w:tcPr>
          <w:p w14:paraId="7697A6C8">
            <w:pPr>
              <w:rPr>
                <w:rFonts w:ascii="Arial"/>
                <w:sz w:val="21"/>
              </w:rPr>
            </w:pPr>
          </w:p>
        </w:tc>
      </w:tr>
      <w:tr w14:paraId="44817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400" w:type="dxa"/>
            <w:vMerge w:val="continue"/>
            <w:tcBorders>
              <w:top w:val="nil"/>
              <w:left w:val="single" w:color="000000" w:sz="6" w:space="0"/>
              <w:bottom w:val="nil"/>
            </w:tcBorders>
            <w:vAlign w:val="top"/>
          </w:tcPr>
          <w:p w14:paraId="4B11B861">
            <w:pPr>
              <w:rPr>
                <w:rFonts w:ascii="Arial"/>
                <w:sz w:val="21"/>
              </w:rPr>
            </w:pPr>
          </w:p>
        </w:tc>
        <w:tc>
          <w:tcPr>
            <w:tcW w:w="113" w:type="dxa"/>
            <w:tcBorders>
              <w:top w:val="nil"/>
              <w:bottom w:val="nil"/>
            </w:tcBorders>
            <w:vAlign w:val="top"/>
          </w:tcPr>
          <w:p w14:paraId="04261C3B">
            <w:pPr>
              <w:rPr>
                <w:rFonts w:ascii="Arial"/>
                <w:sz w:val="21"/>
              </w:rPr>
            </w:pPr>
          </w:p>
        </w:tc>
        <w:tc>
          <w:tcPr>
            <w:tcW w:w="7239" w:type="dxa"/>
            <w:gridSpan w:val="4"/>
            <w:vAlign w:val="top"/>
          </w:tcPr>
          <w:p w14:paraId="5D6BB5FB">
            <w:pPr>
              <w:pStyle w:val="6"/>
              <w:spacing w:before="87" w:line="220" w:lineRule="auto"/>
              <w:ind w:left="880"/>
              <w:rPr>
                <w:sz w:val="22"/>
                <w:szCs w:val="22"/>
              </w:rPr>
            </w:pPr>
            <w:r>
              <w:rPr>
                <w:spacing w:val="-1"/>
                <w:sz w:val="22"/>
                <w:szCs w:val="22"/>
              </w:rPr>
              <w:t>二、实施产业产品绿色转型升级行动，推动产业结构优化</w:t>
            </w:r>
          </w:p>
        </w:tc>
        <w:tc>
          <w:tcPr>
            <w:tcW w:w="122" w:type="dxa"/>
            <w:tcBorders>
              <w:top w:val="nil"/>
              <w:bottom w:val="nil"/>
              <w:right w:val="single" w:color="000000" w:sz="6" w:space="0"/>
            </w:tcBorders>
            <w:vAlign w:val="top"/>
          </w:tcPr>
          <w:p w14:paraId="0DCCDD24">
            <w:pPr>
              <w:rPr>
                <w:rFonts w:ascii="Arial"/>
                <w:sz w:val="21"/>
              </w:rPr>
            </w:pPr>
          </w:p>
        </w:tc>
      </w:tr>
      <w:tr w14:paraId="1E2AC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2" w:hRule="atLeast"/>
        </w:trPr>
        <w:tc>
          <w:tcPr>
            <w:tcW w:w="1400" w:type="dxa"/>
            <w:vMerge w:val="continue"/>
            <w:tcBorders>
              <w:top w:val="nil"/>
              <w:left w:val="single" w:color="000000" w:sz="6" w:space="0"/>
              <w:bottom w:val="single" w:color="000000" w:sz="6" w:space="0"/>
            </w:tcBorders>
            <w:vAlign w:val="top"/>
          </w:tcPr>
          <w:p w14:paraId="55833E8C">
            <w:pPr>
              <w:rPr>
                <w:rFonts w:ascii="Arial"/>
                <w:sz w:val="21"/>
              </w:rPr>
            </w:pPr>
          </w:p>
        </w:tc>
        <w:tc>
          <w:tcPr>
            <w:tcW w:w="113" w:type="dxa"/>
            <w:tcBorders>
              <w:top w:val="nil"/>
              <w:bottom w:val="single" w:color="000000" w:sz="6" w:space="0"/>
            </w:tcBorders>
            <w:vAlign w:val="top"/>
          </w:tcPr>
          <w:p w14:paraId="3FBF42B2">
            <w:pPr>
              <w:rPr>
                <w:rFonts w:ascii="Arial"/>
                <w:sz w:val="21"/>
              </w:rPr>
            </w:pPr>
          </w:p>
        </w:tc>
        <w:tc>
          <w:tcPr>
            <w:tcW w:w="875" w:type="dxa"/>
            <w:tcBorders>
              <w:bottom w:val="single" w:color="000000" w:sz="6" w:space="0"/>
            </w:tcBorders>
            <w:vAlign w:val="top"/>
          </w:tcPr>
          <w:p w14:paraId="23E3E91E">
            <w:pPr>
              <w:pStyle w:val="6"/>
              <w:spacing w:before="44" w:line="232" w:lineRule="auto"/>
              <w:ind w:left="115"/>
              <w:rPr>
                <w:sz w:val="22"/>
                <w:szCs w:val="22"/>
              </w:rPr>
            </w:pPr>
            <w:r>
              <w:rPr>
                <w:spacing w:val="-5"/>
                <w:sz w:val="22"/>
                <w:szCs w:val="22"/>
              </w:rPr>
              <w:t>（二）</w:t>
            </w:r>
          </w:p>
          <w:p w14:paraId="39095762">
            <w:pPr>
              <w:pStyle w:val="6"/>
              <w:spacing w:before="8" w:line="220" w:lineRule="auto"/>
              <w:ind w:left="108"/>
              <w:rPr>
                <w:sz w:val="22"/>
                <w:szCs w:val="22"/>
              </w:rPr>
            </w:pPr>
            <w:r>
              <w:rPr>
                <w:spacing w:val="-2"/>
                <w:sz w:val="22"/>
                <w:szCs w:val="22"/>
              </w:rPr>
              <w:t>遏制高</w:t>
            </w:r>
          </w:p>
          <w:p w14:paraId="3651A6DF">
            <w:pPr>
              <w:pStyle w:val="6"/>
              <w:spacing w:before="22"/>
              <w:ind w:left="109" w:right="109"/>
              <w:rPr>
                <w:sz w:val="22"/>
                <w:szCs w:val="22"/>
              </w:rPr>
            </w:pPr>
            <w:r>
              <w:rPr>
                <w:spacing w:val="-4"/>
                <w:sz w:val="22"/>
                <w:szCs w:val="22"/>
              </w:rPr>
              <w:t>耗能、</w:t>
            </w:r>
            <w:r>
              <w:rPr>
                <w:spacing w:val="51"/>
                <w:sz w:val="22"/>
                <w:szCs w:val="22"/>
              </w:rPr>
              <w:t>高排</w:t>
            </w:r>
            <w:r>
              <w:rPr>
                <w:spacing w:val="-3"/>
                <w:sz w:val="22"/>
                <w:szCs w:val="22"/>
              </w:rPr>
              <w:t>放、低</w:t>
            </w:r>
          </w:p>
          <w:p w14:paraId="43F82B52">
            <w:pPr>
              <w:pStyle w:val="6"/>
              <w:spacing w:line="220" w:lineRule="auto"/>
              <w:ind w:left="111"/>
              <w:rPr>
                <w:sz w:val="22"/>
                <w:szCs w:val="22"/>
              </w:rPr>
            </w:pPr>
            <w:r>
              <w:rPr>
                <w:spacing w:val="-4"/>
                <w:sz w:val="22"/>
                <w:szCs w:val="22"/>
              </w:rPr>
              <w:t>水平项</w:t>
            </w:r>
          </w:p>
          <w:p w14:paraId="64B870CA">
            <w:pPr>
              <w:pStyle w:val="6"/>
              <w:spacing w:before="20" w:line="222" w:lineRule="auto"/>
              <w:ind w:left="151"/>
              <w:rPr>
                <w:sz w:val="22"/>
                <w:szCs w:val="22"/>
              </w:rPr>
            </w:pPr>
            <w:r>
              <w:rPr>
                <w:spacing w:val="-17"/>
                <w:sz w:val="22"/>
                <w:szCs w:val="22"/>
              </w:rPr>
              <w:t>目盲目</w:t>
            </w:r>
          </w:p>
        </w:tc>
        <w:tc>
          <w:tcPr>
            <w:tcW w:w="2763" w:type="dxa"/>
            <w:tcBorders>
              <w:bottom w:val="single" w:color="000000" w:sz="6" w:space="0"/>
            </w:tcBorders>
            <w:vAlign w:val="top"/>
          </w:tcPr>
          <w:p w14:paraId="596EF06F">
            <w:pPr>
              <w:pStyle w:val="6"/>
              <w:spacing w:before="45" w:line="237" w:lineRule="auto"/>
              <w:ind w:left="109" w:right="48" w:firstLine="66"/>
              <w:jc w:val="both"/>
              <w:rPr>
                <w:sz w:val="22"/>
                <w:szCs w:val="22"/>
              </w:rPr>
            </w:pPr>
            <w:r>
              <w:rPr>
                <w:spacing w:val="-1"/>
                <w:sz w:val="22"/>
                <w:szCs w:val="22"/>
              </w:rPr>
              <w:t>新改扩建项目严格落实产</w:t>
            </w:r>
            <w:r>
              <w:rPr>
                <w:spacing w:val="-9"/>
                <w:sz w:val="22"/>
                <w:szCs w:val="22"/>
              </w:rPr>
              <w:t>业规划、产业政策、生态环</w:t>
            </w:r>
            <w:r>
              <w:rPr>
                <w:spacing w:val="5"/>
                <w:sz w:val="22"/>
                <w:szCs w:val="22"/>
              </w:rPr>
              <w:t>境分区管控方案、规划环</w:t>
            </w:r>
            <w:r>
              <w:rPr>
                <w:spacing w:val="-4"/>
                <w:sz w:val="22"/>
                <w:szCs w:val="22"/>
              </w:rPr>
              <w:t>评、项目环评、节能审查、</w:t>
            </w:r>
            <w:r>
              <w:rPr>
                <w:spacing w:val="-8"/>
                <w:sz w:val="22"/>
                <w:szCs w:val="22"/>
              </w:rPr>
              <w:t>产能置换、重点污染物总量</w:t>
            </w:r>
            <w:r>
              <w:rPr>
                <w:spacing w:val="5"/>
                <w:sz w:val="22"/>
                <w:szCs w:val="22"/>
              </w:rPr>
              <w:t>控制、污染物排放区域削</w:t>
            </w:r>
            <w:r>
              <w:rPr>
                <w:spacing w:val="-8"/>
                <w:sz w:val="22"/>
                <w:szCs w:val="22"/>
              </w:rPr>
              <w:t>减、碳排放达峰目标等相关</w:t>
            </w:r>
          </w:p>
        </w:tc>
        <w:tc>
          <w:tcPr>
            <w:tcW w:w="2673" w:type="dxa"/>
            <w:tcBorders>
              <w:bottom w:val="single" w:color="000000" w:sz="6" w:space="0"/>
            </w:tcBorders>
            <w:vAlign w:val="top"/>
          </w:tcPr>
          <w:p w14:paraId="2859B30D">
            <w:pPr>
              <w:pStyle w:val="6"/>
              <w:spacing w:before="45" w:line="237" w:lineRule="auto"/>
              <w:ind w:left="115" w:right="21" w:firstLine="21"/>
              <w:jc w:val="both"/>
              <w:rPr>
                <w:sz w:val="22"/>
                <w:szCs w:val="22"/>
              </w:rPr>
            </w:pPr>
            <w:r>
              <w:rPr>
                <w:spacing w:val="-1"/>
                <w:sz w:val="22"/>
                <w:szCs w:val="22"/>
              </w:rPr>
              <w:t>本项目符合产业规划、产</w:t>
            </w:r>
            <w:r>
              <w:rPr>
                <w:spacing w:val="1"/>
                <w:sz w:val="22"/>
                <w:szCs w:val="22"/>
              </w:rPr>
              <w:t>业政策、生态环境分区管控方案、规划环评、节能审查、重点污染物总量控</w:t>
            </w:r>
            <w:r>
              <w:rPr>
                <w:spacing w:val="-10"/>
                <w:sz w:val="22"/>
                <w:szCs w:val="22"/>
              </w:rPr>
              <w:t>制、污染物排放区域削减、</w:t>
            </w:r>
            <w:r>
              <w:rPr>
                <w:spacing w:val="1"/>
                <w:sz w:val="22"/>
                <w:szCs w:val="22"/>
              </w:rPr>
              <w:t>碳排放达峰目标等相关要求，且本项目不属于“两</w:t>
            </w:r>
          </w:p>
        </w:tc>
        <w:tc>
          <w:tcPr>
            <w:tcW w:w="928" w:type="dxa"/>
            <w:tcBorders>
              <w:bottom w:val="single" w:color="000000" w:sz="6" w:space="0"/>
            </w:tcBorders>
            <w:vAlign w:val="top"/>
          </w:tcPr>
          <w:p w14:paraId="1565CDC5">
            <w:pPr>
              <w:spacing w:line="274" w:lineRule="auto"/>
              <w:rPr>
                <w:rFonts w:ascii="Arial"/>
                <w:sz w:val="21"/>
              </w:rPr>
            </w:pPr>
          </w:p>
          <w:p w14:paraId="1536DAFE">
            <w:pPr>
              <w:spacing w:line="275" w:lineRule="auto"/>
              <w:rPr>
                <w:rFonts w:ascii="Arial"/>
                <w:sz w:val="21"/>
              </w:rPr>
            </w:pPr>
          </w:p>
          <w:p w14:paraId="5AEFC8F8">
            <w:pPr>
              <w:spacing w:line="275" w:lineRule="auto"/>
              <w:rPr>
                <w:rFonts w:ascii="Arial"/>
                <w:sz w:val="21"/>
              </w:rPr>
            </w:pPr>
          </w:p>
          <w:p w14:paraId="348735C5">
            <w:pPr>
              <w:pStyle w:val="6"/>
              <w:spacing w:before="71" w:line="220" w:lineRule="auto"/>
              <w:ind w:left="258"/>
              <w:rPr>
                <w:sz w:val="22"/>
                <w:szCs w:val="22"/>
              </w:rPr>
            </w:pPr>
            <w:r>
              <w:rPr>
                <w:spacing w:val="-5"/>
                <w:sz w:val="22"/>
                <w:szCs w:val="22"/>
              </w:rPr>
              <w:t>符合</w:t>
            </w:r>
          </w:p>
        </w:tc>
        <w:tc>
          <w:tcPr>
            <w:tcW w:w="122" w:type="dxa"/>
            <w:tcBorders>
              <w:top w:val="nil"/>
              <w:bottom w:val="single" w:color="000000" w:sz="6" w:space="0"/>
              <w:right w:val="single" w:color="000000" w:sz="6" w:space="0"/>
            </w:tcBorders>
            <w:vAlign w:val="top"/>
          </w:tcPr>
          <w:p w14:paraId="0F7E4554">
            <w:pPr>
              <w:rPr>
                <w:rFonts w:ascii="Arial"/>
                <w:sz w:val="21"/>
              </w:rPr>
            </w:pPr>
          </w:p>
        </w:tc>
      </w:tr>
    </w:tbl>
    <w:p w14:paraId="2B88D39B">
      <w:pPr>
        <w:pStyle w:val="2"/>
        <w:rPr>
          <w:sz w:val="21"/>
        </w:rPr>
      </w:pPr>
    </w:p>
    <w:p w14:paraId="23EDC358">
      <w:pPr>
        <w:rPr>
          <w:sz w:val="21"/>
          <w:szCs w:val="21"/>
        </w:rPr>
        <w:sectPr>
          <w:footerReference r:id="rId21" w:type="default"/>
          <w:pgSz w:w="11906" w:h="16839"/>
          <w:pgMar w:top="400" w:right="1508" w:bottom="1234" w:left="1508" w:header="0" w:footer="996" w:gutter="0"/>
          <w:cols w:space="720" w:num="1"/>
        </w:sectPr>
      </w:pPr>
    </w:p>
    <w:p w14:paraId="05B8049E">
      <w:pPr>
        <w:spacing w:before="19"/>
      </w:pPr>
    </w:p>
    <w:p w14:paraId="0CE34116">
      <w:pPr>
        <w:spacing w:before="19"/>
      </w:pPr>
    </w:p>
    <w:p w14:paraId="76AF51B7">
      <w:pPr>
        <w:spacing w:before="19"/>
      </w:pPr>
    </w:p>
    <w:p w14:paraId="715C662F">
      <w:pPr>
        <w:spacing w:before="18"/>
      </w:pPr>
    </w:p>
    <w:p w14:paraId="27CC33C0">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113"/>
        <w:gridCol w:w="875"/>
        <w:gridCol w:w="2763"/>
        <w:gridCol w:w="2673"/>
        <w:gridCol w:w="928"/>
        <w:gridCol w:w="122"/>
      </w:tblGrid>
      <w:tr w14:paraId="485E0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400" w:type="dxa"/>
            <w:vMerge w:val="restart"/>
            <w:tcBorders>
              <w:top w:val="single" w:color="000000" w:sz="6" w:space="0"/>
              <w:left w:val="single" w:color="000000" w:sz="6" w:space="0"/>
              <w:bottom w:val="nil"/>
            </w:tcBorders>
            <w:vAlign w:val="top"/>
          </w:tcPr>
          <w:p w14:paraId="34709DBC">
            <w:pPr>
              <w:rPr>
                <w:rFonts w:ascii="Arial"/>
                <w:sz w:val="21"/>
              </w:rPr>
            </w:pPr>
          </w:p>
        </w:tc>
        <w:tc>
          <w:tcPr>
            <w:tcW w:w="113" w:type="dxa"/>
            <w:tcBorders>
              <w:top w:val="single" w:color="000000" w:sz="6" w:space="0"/>
              <w:bottom w:val="nil"/>
            </w:tcBorders>
            <w:vAlign w:val="top"/>
          </w:tcPr>
          <w:p w14:paraId="526BF047">
            <w:pPr>
              <w:rPr>
                <w:rFonts w:ascii="Arial"/>
                <w:sz w:val="21"/>
              </w:rPr>
            </w:pPr>
          </w:p>
        </w:tc>
        <w:tc>
          <w:tcPr>
            <w:tcW w:w="875" w:type="dxa"/>
            <w:tcBorders>
              <w:top w:val="single" w:color="000000" w:sz="6" w:space="0"/>
            </w:tcBorders>
            <w:vAlign w:val="top"/>
          </w:tcPr>
          <w:p w14:paraId="30F5145C">
            <w:pPr>
              <w:pStyle w:val="6"/>
              <w:spacing w:before="46" w:line="221" w:lineRule="auto"/>
              <w:ind w:left="221"/>
              <w:rPr>
                <w:sz w:val="22"/>
                <w:szCs w:val="22"/>
              </w:rPr>
            </w:pPr>
            <w:r>
              <w:rPr>
                <w:spacing w:val="-5"/>
                <w:sz w:val="22"/>
                <w:szCs w:val="22"/>
              </w:rPr>
              <w:t>上马</w:t>
            </w:r>
          </w:p>
        </w:tc>
        <w:tc>
          <w:tcPr>
            <w:tcW w:w="2763" w:type="dxa"/>
            <w:tcBorders>
              <w:top w:val="single" w:color="000000" w:sz="6" w:space="0"/>
            </w:tcBorders>
            <w:vAlign w:val="top"/>
          </w:tcPr>
          <w:p w14:paraId="5FA484BF">
            <w:pPr>
              <w:pStyle w:val="6"/>
              <w:spacing w:before="46" w:line="220" w:lineRule="auto"/>
              <w:ind w:left="111"/>
              <w:rPr>
                <w:rFonts w:ascii="Times New Roman" w:hAnsi="Times New Roman" w:eastAsia="Times New Roman" w:cs="Times New Roman"/>
                <w:sz w:val="22"/>
                <w:szCs w:val="22"/>
              </w:rPr>
            </w:pPr>
            <w:r>
              <w:rPr>
                <w:spacing w:val="-2"/>
                <w:sz w:val="22"/>
                <w:szCs w:val="22"/>
              </w:rPr>
              <w:t>要求，坚决遏制</w:t>
            </w:r>
            <w:r>
              <w:rPr>
                <w:rFonts w:ascii="Times New Roman" w:hAnsi="Times New Roman" w:eastAsia="Times New Roman" w:cs="Times New Roman"/>
                <w:spacing w:val="-2"/>
                <w:sz w:val="22"/>
                <w:szCs w:val="22"/>
              </w:rPr>
              <w:t>“</w:t>
            </w:r>
            <w:r>
              <w:rPr>
                <w:spacing w:val="-2"/>
                <w:sz w:val="22"/>
                <w:szCs w:val="22"/>
              </w:rPr>
              <w:t>两高一低</w:t>
            </w:r>
            <w:r>
              <w:rPr>
                <w:rFonts w:ascii="Times New Roman" w:hAnsi="Times New Roman" w:eastAsia="Times New Roman" w:cs="Times New Roman"/>
                <w:spacing w:val="-2"/>
                <w:sz w:val="22"/>
                <w:szCs w:val="22"/>
              </w:rPr>
              <w:t>”</w:t>
            </w:r>
          </w:p>
          <w:p w14:paraId="5630C6DF">
            <w:pPr>
              <w:pStyle w:val="6"/>
              <w:spacing w:before="23" w:line="208" w:lineRule="auto"/>
              <w:ind w:left="620"/>
              <w:rPr>
                <w:sz w:val="22"/>
                <w:szCs w:val="22"/>
              </w:rPr>
            </w:pPr>
            <w:r>
              <w:rPr>
                <w:spacing w:val="-2"/>
                <w:sz w:val="22"/>
                <w:szCs w:val="22"/>
              </w:rPr>
              <w:t>项目盲目发展。</w:t>
            </w:r>
          </w:p>
        </w:tc>
        <w:tc>
          <w:tcPr>
            <w:tcW w:w="2673" w:type="dxa"/>
            <w:tcBorders>
              <w:top w:val="single" w:color="000000" w:sz="6" w:space="0"/>
            </w:tcBorders>
            <w:vAlign w:val="top"/>
          </w:tcPr>
          <w:p w14:paraId="7CBC72ED">
            <w:pPr>
              <w:pStyle w:val="6"/>
              <w:spacing w:before="46" w:line="220" w:lineRule="auto"/>
              <w:ind w:left="691"/>
              <w:rPr>
                <w:sz w:val="22"/>
                <w:szCs w:val="22"/>
              </w:rPr>
            </w:pPr>
            <w:r>
              <w:rPr>
                <w:spacing w:val="-8"/>
                <w:sz w:val="22"/>
                <w:szCs w:val="22"/>
              </w:rPr>
              <w:t>高一低</w:t>
            </w:r>
            <w:r>
              <w:rPr>
                <w:spacing w:val="-78"/>
                <w:sz w:val="22"/>
                <w:szCs w:val="22"/>
              </w:rPr>
              <w:t xml:space="preserve"> </w:t>
            </w:r>
            <w:r>
              <w:rPr>
                <w:spacing w:val="-8"/>
                <w:sz w:val="22"/>
                <w:szCs w:val="22"/>
              </w:rPr>
              <w:t>”项目</w:t>
            </w:r>
          </w:p>
        </w:tc>
        <w:tc>
          <w:tcPr>
            <w:tcW w:w="928" w:type="dxa"/>
            <w:tcBorders>
              <w:top w:val="single" w:color="000000" w:sz="6" w:space="0"/>
            </w:tcBorders>
            <w:vAlign w:val="top"/>
          </w:tcPr>
          <w:p w14:paraId="4CB1323D">
            <w:pPr>
              <w:rPr>
                <w:rFonts w:ascii="Arial"/>
                <w:sz w:val="21"/>
              </w:rPr>
            </w:pPr>
          </w:p>
        </w:tc>
        <w:tc>
          <w:tcPr>
            <w:tcW w:w="122" w:type="dxa"/>
            <w:tcBorders>
              <w:top w:val="single" w:color="000000" w:sz="6" w:space="0"/>
              <w:bottom w:val="nil"/>
              <w:right w:val="single" w:color="000000" w:sz="6" w:space="0"/>
            </w:tcBorders>
            <w:vAlign w:val="top"/>
          </w:tcPr>
          <w:p w14:paraId="103BEBF1">
            <w:pPr>
              <w:rPr>
                <w:rFonts w:ascii="Arial"/>
                <w:sz w:val="21"/>
              </w:rPr>
            </w:pPr>
          </w:p>
        </w:tc>
      </w:tr>
      <w:tr w14:paraId="4058D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8" w:hRule="atLeast"/>
        </w:trPr>
        <w:tc>
          <w:tcPr>
            <w:tcW w:w="1400" w:type="dxa"/>
            <w:vMerge w:val="continue"/>
            <w:tcBorders>
              <w:top w:val="nil"/>
              <w:left w:val="single" w:color="000000" w:sz="6" w:space="0"/>
              <w:bottom w:val="nil"/>
            </w:tcBorders>
            <w:vAlign w:val="top"/>
          </w:tcPr>
          <w:p w14:paraId="1B38475C">
            <w:pPr>
              <w:rPr>
                <w:rFonts w:ascii="Arial"/>
                <w:sz w:val="21"/>
              </w:rPr>
            </w:pPr>
          </w:p>
        </w:tc>
        <w:tc>
          <w:tcPr>
            <w:tcW w:w="113" w:type="dxa"/>
            <w:tcBorders>
              <w:top w:val="nil"/>
              <w:bottom w:val="nil"/>
            </w:tcBorders>
            <w:vAlign w:val="top"/>
          </w:tcPr>
          <w:p w14:paraId="22B3A162">
            <w:pPr>
              <w:rPr>
                <w:rFonts w:ascii="Arial"/>
                <w:sz w:val="21"/>
              </w:rPr>
            </w:pPr>
          </w:p>
        </w:tc>
        <w:tc>
          <w:tcPr>
            <w:tcW w:w="875" w:type="dxa"/>
            <w:vAlign w:val="top"/>
          </w:tcPr>
          <w:p w14:paraId="09C04D52">
            <w:pPr>
              <w:spacing w:line="262" w:lineRule="auto"/>
              <w:rPr>
                <w:rFonts w:ascii="Arial"/>
                <w:sz w:val="21"/>
              </w:rPr>
            </w:pPr>
          </w:p>
          <w:p w14:paraId="5014D9A3">
            <w:pPr>
              <w:spacing w:line="263" w:lineRule="auto"/>
              <w:rPr>
                <w:rFonts w:ascii="Arial"/>
                <w:sz w:val="21"/>
              </w:rPr>
            </w:pPr>
          </w:p>
          <w:p w14:paraId="73CB63C6">
            <w:pPr>
              <w:pStyle w:val="6"/>
              <w:spacing w:before="71"/>
              <w:ind w:left="108" w:right="109" w:firstLine="7"/>
              <w:jc w:val="both"/>
              <w:rPr>
                <w:sz w:val="22"/>
                <w:szCs w:val="22"/>
              </w:rPr>
            </w:pPr>
            <w:r>
              <w:rPr>
                <w:spacing w:val="-10"/>
                <w:sz w:val="22"/>
                <w:szCs w:val="22"/>
              </w:rPr>
              <w:t>（三）</w:t>
            </w:r>
            <w:r>
              <w:rPr>
                <w:spacing w:val="-3"/>
                <w:sz w:val="22"/>
                <w:szCs w:val="22"/>
              </w:rPr>
              <w:t>推动产业集群实施废气治理和升级</w:t>
            </w:r>
            <w:r>
              <w:rPr>
                <w:spacing w:val="52"/>
                <w:sz w:val="22"/>
                <w:szCs w:val="22"/>
              </w:rPr>
              <w:t>改造</w:t>
            </w:r>
          </w:p>
        </w:tc>
        <w:tc>
          <w:tcPr>
            <w:tcW w:w="2763" w:type="dxa"/>
            <w:vAlign w:val="top"/>
          </w:tcPr>
          <w:p w14:paraId="3D80B188">
            <w:pPr>
              <w:pStyle w:val="6"/>
              <w:spacing w:before="32" w:line="220" w:lineRule="auto"/>
              <w:ind w:left="175"/>
              <w:rPr>
                <w:sz w:val="22"/>
                <w:szCs w:val="22"/>
              </w:rPr>
            </w:pPr>
            <w:r>
              <w:rPr>
                <w:spacing w:val="-1"/>
                <w:sz w:val="22"/>
                <w:szCs w:val="22"/>
              </w:rPr>
              <w:t>重点区域区县根据实际情</w:t>
            </w:r>
          </w:p>
          <w:p w14:paraId="4E9EF257">
            <w:pPr>
              <w:pStyle w:val="6"/>
              <w:spacing w:before="23" w:line="220" w:lineRule="auto"/>
              <w:ind w:left="176"/>
              <w:rPr>
                <w:sz w:val="22"/>
                <w:szCs w:val="22"/>
              </w:rPr>
            </w:pPr>
            <w:r>
              <w:rPr>
                <w:spacing w:val="-1"/>
                <w:sz w:val="22"/>
                <w:szCs w:val="22"/>
              </w:rPr>
              <w:t>况制定中小微企业大气污</w:t>
            </w:r>
          </w:p>
          <w:p w14:paraId="4DF37B78">
            <w:pPr>
              <w:pStyle w:val="6"/>
              <w:spacing w:before="21" w:line="219" w:lineRule="auto"/>
              <w:ind w:left="113"/>
              <w:rPr>
                <w:sz w:val="22"/>
                <w:szCs w:val="22"/>
              </w:rPr>
            </w:pPr>
            <w:r>
              <w:rPr>
                <w:spacing w:val="-9"/>
                <w:sz w:val="22"/>
                <w:szCs w:val="22"/>
              </w:rPr>
              <w:t>染专项整治方案，依法淘汰</w:t>
            </w:r>
          </w:p>
          <w:p w14:paraId="6C9E7B17">
            <w:pPr>
              <w:pStyle w:val="6"/>
              <w:spacing w:before="23" w:line="221" w:lineRule="auto"/>
              <w:ind w:right="14"/>
              <w:jc w:val="right"/>
              <w:rPr>
                <w:sz w:val="22"/>
                <w:szCs w:val="22"/>
              </w:rPr>
            </w:pPr>
            <w:r>
              <w:rPr>
                <w:spacing w:val="-1"/>
                <w:sz w:val="22"/>
                <w:szCs w:val="22"/>
              </w:rPr>
              <w:t>关停一批、搬迁入园一批、</w:t>
            </w:r>
          </w:p>
          <w:p w14:paraId="46E79941">
            <w:pPr>
              <w:pStyle w:val="6"/>
              <w:spacing w:before="22" w:line="220" w:lineRule="auto"/>
              <w:ind w:left="111"/>
              <w:rPr>
                <w:sz w:val="22"/>
                <w:szCs w:val="22"/>
              </w:rPr>
            </w:pPr>
            <w:r>
              <w:rPr>
                <w:spacing w:val="-8"/>
                <w:sz w:val="22"/>
                <w:szCs w:val="22"/>
              </w:rPr>
              <w:t>就地改造一批、做优做强一</w:t>
            </w:r>
          </w:p>
          <w:p w14:paraId="0E427F5E">
            <w:pPr>
              <w:pStyle w:val="6"/>
              <w:spacing w:before="23" w:line="221" w:lineRule="auto"/>
              <w:ind w:left="109"/>
              <w:rPr>
                <w:sz w:val="22"/>
                <w:szCs w:val="22"/>
              </w:rPr>
            </w:pPr>
            <w:r>
              <w:rPr>
                <w:spacing w:val="-8"/>
                <w:sz w:val="22"/>
                <w:szCs w:val="22"/>
              </w:rPr>
              <w:t>批，严防污染下乡。加快推</w:t>
            </w:r>
          </w:p>
          <w:p w14:paraId="340194B1">
            <w:pPr>
              <w:pStyle w:val="6"/>
              <w:spacing w:before="23" w:line="220" w:lineRule="auto"/>
              <w:ind w:left="108"/>
              <w:rPr>
                <w:sz w:val="22"/>
                <w:szCs w:val="22"/>
              </w:rPr>
            </w:pPr>
            <w:r>
              <w:rPr>
                <w:spacing w:val="-8"/>
                <w:sz w:val="22"/>
                <w:szCs w:val="22"/>
              </w:rPr>
              <w:t>进汽车摩托车配件、印刷包</w:t>
            </w:r>
          </w:p>
          <w:p w14:paraId="3D34677D">
            <w:pPr>
              <w:pStyle w:val="6"/>
              <w:spacing w:before="23" w:line="220" w:lineRule="auto"/>
              <w:ind w:left="110"/>
              <w:rPr>
                <w:sz w:val="22"/>
                <w:szCs w:val="22"/>
              </w:rPr>
            </w:pPr>
            <w:r>
              <w:rPr>
                <w:spacing w:val="-8"/>
                <w:sz w:val="22"/>
                <w:szCs w:val="22"/>
              </w:rPr>
              <w:t>装、汽修、家具等行业中小</w:t>
            </w:r>
          </w:p>
          <w:p w14:paraId="3F2EC4C7">
            <w:pPr>
              <w:pStyle w:val="6"/>
              <w:spacing w:before="24" w:line="220" w:lineRule="auto"/>
              <w:ind w:left="110"/>
              <w:rPr>
                <w:sz w:val="22"/>
                <w:szCs w:val="22"/>
              </w:rPr>
            </w:pPr>
            <w:r>
              <w:rPr>
                <w:spacing w:val="-8"/>
                <w:sz w:val="22"/>
                <w:szCs w:val="22"/>
              </w:rPr>
              <w:t>微企业规范化发展，鼓励中</w:t>
            </w:r>
          </w:p>
          <w:p w14:paraId="2DED840A">
            <w:pPr>
              <w:pStyle w:val="6"/>
              <w:spacing w:before="23" w:line="220" w:lineRule="auto"/>
              <w:ind w:left="180"/>
              <w:rPr>
                <w:sz w:val="22"/>
                <w:szCs w:val="22"/>
              </w:rPr>
            </w:pPr>
            <w:r>
              <w:rPr>
                <w:spacing w:val="-2"/>
                <w:sz w:val="22"/>
                <w:szCs w:val="22"/>
              </w:rPr>
              <w:t>小微企业开展绿色转型和</w:t>
            </w:r>
          </w:p>
          <w:p w14:paraId="3023C334">
            <w:pPr>
              <w:pStyle w:val="6"/>
              <w:spacing w:before="24" w:line="203" w:lineRule="auto"/>
              <w:ind w:left="836"/>
              <w:rPr>
                <w:sz w:val="22"/>
                <w:szCs w:val="22"/>
              </w:rPr>
            </w:pPr>
            <w:r>
              <w:rPr>
                <w:spacing w:val="-2"/>
                <w:sz w:val="22"/>
                <w:szCs w:val="22"/>
              </w:rPr>
              <w:t>升级改造。</w:t>
            </w:r>
          </w:p>
        </w:tc>
        <w:tc>
          <w:tcPr>
            <w:tcW w:w="2673" w:type="dxa"/>
            <w:vAlign w:val="top"/>
          </w:tcPr>
          <w:p w14:paraId="3EE1FF23">
            <w:pPr>
              <w:spacing w:line="247" w:lineRule="auto"/>
              <w:rPr>
                <w:rFonts w:ascii="Arial"/>
                <w:sz w:val="21"/>
              </w:rPr>
            </w:pPr>
          </w:p>
          <w:p w14:paraId="7366F2F3">
            <w:pPr>
              <w:spacing w:line="247" w:lineRule="auto"/>
              <w:rPr>
                <w:rFonts w:ascii="Arial"/>
                <w:sz w:val="21"/>
              </w:rPr>
            </w:pPr>
          </w:p>
          <w:p w14:paraId="5A1A8169">
            <w:pPr>
              <w:spacing w:line="247" w:lineRule="auto"/>
              <w:rPr>
                <w:rFonts w:ascii="Arial"/>
                <w:sz w:val="21"/>
              </w:rPr>
            </w:pPr>
          </w:p>
          <w:p w14:paraId="139CF173">
            <w:pPr>
              <w:spacing w:line="248" w:lineRule="auto"/>
              <w:rPr>
                <w:rFonts w:ascii="Arial"/>
                <w:sz w:val="21"/>
              </w:rPr>
            </w:pPr>
          </w:p>
          <w:p w14:paraId="6AD26082">
            <w:pPr>
              <w:spacing w:line="248" w:lineRule="auto"/>
              <w:rPr>
                <w:rFonts w:ascii="Arial"/>
                <w:sz w:val="21"/>
              </w:rPr>
            </w:pPr>
          </w:p>
          <w:p w14:paraId="7A189B0D">
            <w:pPr>
              <w:pStyle w:val="6"/>
              <w:spacing w:before="71"/>
              <w:ind w:left="244" w:right="231"/>
              <w:rPr>
                <w:sz w:val="22"/>
                <w:szCs w:val="22"/>
              </w:rPr>
            </w:pPr>
            <w:r>
              <w:rPr>
                <w:spacing w:val="-1"/>
                <w:sz w:val="22"/>
                <w:szCs w:val="22"/>
              </w:rPr>
              <w:t>本项目污染物均达标排放，且不属于前述行业</w:t>
            </w:r>
          </w:p>
        </w:tc>
        <w:tc>
          <w:tcPr>
            <w:tcW w:w="928" w:type="dxa"/>
            <w:vAlign w:val="top"/>
          </w:tcPr>
          <w:p w14:paraId="067F6794">
            <w:pPr>
              <w:spacing w:line="275" w:lineRule="auto"/>
              <w:rPr>
                <w:rFonts w:ascii="Arial"/>
                <w:sz w:val="21"/>
              </w:rPr>
            </w:pPr>
          </w:p>
          <w:p w14:paraId="6897577B">
            <w:pPr>
              <w:spacing w:line="275" w:lineRule="auto"/>
              <w:rPr>
                <w:rFonts w:ascii="Arial"/>
                <w:sz w:val="21"/>
              </w:rPr>
            </w:pPr>
          </w:p>
          <w:p w14:paraId="31FD0D54">
            <w:pPr>
              <w:spacing w:line="275" w:lineRule="auto"/>
              <w:rPr>
                <w:rFonts w:ascii="Arial"/>
                <w:sz w:val="21"/>
              </w:rPr>
            </w:pPr>
          </w:p>
          <w:p w14:paraId="386C9EC6">
            <w:pPr>
              <w:spacing w:line="276" w:lineRule="auto"/>
              <w:rPr>
                <w:rFonts w:ascii="Arial"/>
                <w:sz w:val="21"/>
              </w:rPr>
            </w:pPr>
          </w:p>
          <w:p w14:paraId="3E2AFA3A">
            <w:pPr>
              <w:spacing w:line="276" w:lineRule="auto"/>
              <w:rPr>
                <w:rFonts w:ascii="Arial"/>
                <w:sz w:val="21"/>
              </w:rPr>
            </w:pPr>
          </w:p>
          <w:p w14:paraId="7FACB4F9">
            <w:pPr>
              <w:pStyle w:val="6"/>
              <w:spacing w:before="72" w:line="220" w:lineRule="auto"/>
              <w:ind w:left="258"/>
              <w:rPr>
                <w:sz w:val="22"/>
                <w:szCs w:val="22"/>
              </w:rPr>
            </w:pPr>
            <w:r>
              <w:rPr>
                <w:spacing w:val="-5"/>
                <w:sz w:val="22"/>
                <w:szCs w:val="22"/>
              </w:rPr>
              <w:t>符合</w:t>
            </w:r>
          </w:p>
        </w:tc>
        <w:tc>
          <w:tcPr>
            <w:tcW w:w="122" w:type="dxa"/>
            <w:tcBorders>
              <w:top w:val="nil"/>
              <w:bottom w:val="nil"/>
              <w:right w:val="single" w:color="000000" w:sz="6" w:space="0"/>
            </w:tcBorders>
            <w:vAlign w:val="top"/>
          </w:tcPr>
          <w:p w14:paraId="55C7A8D8">
            <w:pPr>
              <w:rPr>
                <w:rFonts w:ascii="Arial"/>
                <w:sz w:val="21"/>
              </w:rPr>
            </w:pPr>
          </w:p>
        </w:tc>
      </w:tr>
      <w:tr w14:paraId="0C638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5" w:hRule="atLeast"/>
        </w:trPr>
        <w:tc>
          <w:tcPr>
            <w:tcW w:w="1400" w:type="dxa"/>
            <w:vMerge w:val="continue"/>
            <w:tcBorders>
              <w:top w:val="nil"/>
              <w:left w:val="single" w:color="000000" w:sz="6" w:space="0"/>
              <w:bottom w:val="nil"/>
            </w:tcBorders>
            <w:vAlign w:val="top"/>
          </w:tcPr>
          <w:p w14:paraId="186CAD59">
            <w:pPr>
              <w:rPr>
                <w:rFonts w:ascii="Arial"/>
                <w:sz w:val="21"/>
              </w:rPr>
            </w:pPr>
          </w:p>
        </w:tc>
        <w:tc>
          <w:tcPr>
            <w:tcW w:w="113" w:type="dxa"/>
            <w:tcBorders>
              <w:top w:val="nil"/>
              <w:bottom w:val="nil"/>
            </w:tcBorders>
            <w:vAlign w:val="top"/>
          </w:tcPr>
          <w:p w14:paraId="0758C31A">
            <w:pPr>
              <w:rPr>
                <w:rFonts w:ascii="Arial"/>
                <w:sz w:val="21"/>
              </w:rPr>
            </w:pPr>
          </w:p>
        </w:tc>
        <w:tc>
          <w:tcPr>
            <w:tcW w:w="875" w:type="dxa"/>
            <w:vAlign w:val="top"/>
          </w:tcPr>
          <w:p w14:paraId="6733DACD">
            <w:pPr>
              <w:spacing w:line="264" w:lineRule="auto"/>
              <w:rPr>
                <w:rFonts w:ascii="Arial"/>
                <w:sz w:val="21"/>
              </w:rPr>
            </w:pPr>
          </w:p>
          <w:p w14:paraId="5670F61F">
            <w:pPr>
              <w:pStyle w:val="6"/>
              <w:spacing w:before="72" w:line="223" w:lineRule="auto"/>
              <w:ind w:left="115"/>
              <w:rPr>
                <w:sz w:val="22"/>
                <w:szCs w:val="22"/>
              </w:rPr>
            </w:pPr>
            <w:r>
              <w:rPr>
                <w:spacing w:val="-5"/>
                <w:sz w:val="22"/>
                <w:szCs w:val="22"/>
              </w:rPr>
              <w:t>（四）</w:t>
            </w:r>
          </w:p>
          <w:p w14:paraId="1417F460">
            <w:pPr>
              <w:pStyle w:val="6"/>
              <w:spacing w:before="21" w:line="239" w:lineRule="auto"/>
              <w:ind w:left="114" w:right="109" w:hanging="6"/>
              <w:jc w:val="both"/>
              <w:rPr>
                <w:sz w:val="22"/>
                <w:szCs w:val="22"/>
              </w:rPr>
            </w:pPr>
            <w:r>
              <w:rPr>
                <w:spacing w:val="-3"/>
                <w:sz w:val="22"/>
                <w:szCs w:val="22"/>
              </w:rPr>
              <w:t>优化含</w:t>
            </w:r>
            <w:r>
              <w:rPr>
                <w:rFonts w:ascii="Times New Roman" w:hAnsi="Times New Roman" w:eastAsia="Times New Roman" w:cs="Times New Roman"/>
                <w:spacing w:val="10"/>
                <w:sz w:val="22"/>
                <w:szCs w:val="22"/>
              </w:rPr>
              <w:t>VOCs</w:t>
            </w:r>
            <w:r>
              <w:rPr>
                <w:spacing w:val="-5"/>
                <w:sz w:val="22"/>
                <w:szCs w:val="22"/>
              </w:rPr>
              <w:t>原辅材</w:t>
            </w:r>
          </w:p>
          <w:p w14:paraId="7EF72944">
            <w:pPr>
              <w:pStyle w:val="6"/>
              <w:spacing w:line="220" w:lineRule="auto"/>
              <w:ind w:left="109"/>
              <w:rPr>
                <w:sz w:val="22"/>
                <w:szCs w:val="22"/>
              </w:rPr>
            </w:pPr>
            <w:r>
              <w:rPr>
                <w:spacing w:val="-3"/>
                <w:sz w:val="22"/>
                <w:szCs w:val="22"/>
              </w:rPr>
              <w:t>料和产</w:t>
            </w:r>
          </w:p>
          <w:p w14:paraId="0D886260">
            <w:pPr>
              <w:pStyle w:val="6"/>
              <w:spacing w:before="23" w:line="221" w:lineRule="auto"/>
              <w:ind w:left="127"/>
              <w:rPr>
                <w:sz w:val="22"/>
                <w:szCs w:val="22"/>
              </w:rPr>
            </w:pPr>
            <w:r>
              <w:rPr>
                <w:spacing w:val="-9"/>
                <w:sz w:val="22"/>
                <w:szCs w:val="22"/>
              </w:rPr>
              <w:t>品结构</w:t>
            </w:r>
          </w:p>
        </w:tc>
        <w:tc>
          <w:tcPr>
            <w:tcW w:w="2763" w:type="dxa"/>
            <w:vAlign w:val="top"/>
          </w:tcPr>
          <w:p w14:paraId="7F751DA7">
            <w:pPr>
              <w:pStyle w:val="6"/>
              <w:spacing w:before="38" w:line="220" w:lineRule="auto"/>
              <w:ind w:left="175"/>
              <w:rPr>
                <w:sz w:val="22"/>
                <w:szCs w:val="22"/>
              </w:rPr>
            </w:pPr>
            <w:r>
              <w:rPr>
                <w:spacing w:val="5"/>
                <w:sz w:val="22"/>
                <w:szCs w:val="22"/>
              </w:rPr>
              <w:t>严格执行</w:t>
            </w:r>
            <w:r>
              <w:rPr>
                <w:spacing w:val="-49"/>
                <w:sz w:val="22"/>
                <w:szCs w:val="22"/>
              </w:rPr>
              <w:t xml:space="preserve"> </w:t>
            </w:r>
            <w:r>
              <w:rPr>
                <w:rFonts w:ascii="Times New Roman" w:hAnsi="Times New Roman" w:eastAsia="Times New Roman" w:cs="Times New Roman"/>
                <w:sz w:val="22"/>
                <w:szCs w:val="22"/>
              </w:rPr>
              <w:t>VOCs</w:t>
            </w:r>
            <w:r>
              <w:rPr>
                <w:spacing w:val="5"/>
                <w:sz w:val="22"/>
                <w:szCs w:val="22"/>
              </w:rPr>
              <w:t>含量限值</w:t>
            </w:r>
          </w:p>
          <w:p w14:paraId="2966F65E">
            <w:pPr>
              <w:pStyle w:val="6"/>
              <w:spacing w:before="23" w:line="220" w:lineRule="auto"/>
              <w:ind w:left="175"/>
              <w:rPr>
                <w:sz w:val="22"/>
                <w:szCs w:val="22"/>
              </w:rPr>
            </w:pPr>
            <w:r>
              <w:rPr>
                <w:spacing w:val="-1"/>
                <w:sz w:val="22"/>
                <w:szCs w:val="22"/>
              </w:rPr>
              <w:t>标准，控制生产和使用高</w:t>
            </w:r>
          </w:p>
          <w:p w14:paraId="0DD27559">
            <w:pPr>
              <w:pStyle w:val="6"/>
              <w:spacing w:before="23" w:line="220" w:lineRule="auto"/>
              <w:ind w:left="103"/>
              <w:rPr>
                <w:sz w:val="22"/>
                <w:szCs w:val="22"/>
              </w:rPr>
            </w:pPr>
            <w:r>
              <w:rPr>
                <w:rFonts w:ascii="Times New Roman" w:hAnsi="Times New Roman" w:eastAsia="Times New Roman" w:cs="Times New Roman"/>
                <w:spacing w:val="-2"/>
                <w:sz w:val="22"/>
                <w:szCs w:val="22"/>
              </w:rPr>
              <w:t xml:space="preserve">VOCs </w:t>
            </w:r>
            <w:r>
              <w:rPr>
                <w:spacing w:val="-2"/>
                <w:sz w:val="22"/>
                <w:szCs w:val="22"/>
              </w:rPr>
              <w:t>含量涂料、油墨、胶</w:t>
            </w:r>
          </w:p>
          <w:p w14:paraId="74596A5B">
            <w:pPr>
              <w:pStyle w:val="6"/>
              <w:spacing w:before="21" w:line="219" w:lineRule="auto"/>
              <w:ind w:right="14"/>
              <w:jc w:val="right"/>
              <w:rPr>
                <w:sz w:val="22"/>
                <w:szCs w:val="22"/>
              </w:rPr>
            </w:pPr>
            <w:r>
              <w:rPr>
                <w:spacing w:val="-1"/>
                <w:sz w:val="22"/>
                <w:szCs w:val="22"/>
              </w:rPr>
              <w:t>粘剂、清洗剂等建设项目。</w:t>
            </w:r>
          </w:p>
          <w:p w14:paraId="414C29D6">
            <w:pPr>
              <w:pStyle w:val="6"/>
              <w:spacing w:before="24" w:line="220" w:lineRule="auto"/>
              <w:ind w:left="135"/>
              <w:rPr>
                <w:sz w:val="22"/>
                <w:szCs w:val="22"/>
              </w:rPr>
            </w:pPr>
            <w:r>
              <w:rPr>
                <w:spacing w:val="-11"/>
                <w:sz w:val="22"/>
                <w:szCs w:val="22"/>
              </w:rPr>
              <w:t>以工业涂装、印刷包装和电</w:t>
            </w:r>
          </w:p>
          <w:p w14:paraId="11DB0CC4">
            <w:pPr>
              <w:pStyle w:val="6"/>
              <w:spacing w:before="23" w:line="220" w:lineRule="auto"/>
              <w:ind w:left="175"/>
              <w:rPr>
                <w:sz w:val="22"/>
                <w:szCs w:val="22"/>
              </w:rPr>
            </w:pPr>
            <w:r>
              <w:rPr>
                <w:spacing w:val="-1"/>
                <w:sz w:val="22"/>
                <w:szCs w:val="22"/>
              </w:rPr>
              <w:t>子等行业为重点，提高低</w:t>
            </w:r>
          </w:p>
          <w:p w14:paraId="0404B29F">
            <w:pPr>
              <w:pStyle w:val="6"/>
              <w:spacing w:before="23" w:line="220" w:lineRule="auto"/>
              <w:ind w:left="116"/>
              <w:rPr>
                <w:sz w:val="22"/>
                <w:szCs w:val="22"/>
              </w:rPr>
            </w:pPr>
            <w:r>
              <w:rPr>
                <w:spacing w:val="-4"/>
                <w:sz w:val="22"/>
                <w:szCs w:val="22"/>
              </w:rPr>
              <w:t>（无）</w:t>
            </w:r>
            <w:r>
              <w:rPr>
                <w:rFonts w:ascii="Times New Roman" w:hAnsi="Times New Roman" w:eastAsia="Times New Roman" w:cs="Times New Roman"/>
                <w:spacing w:val="-4"/>
                <w:sz w:val="22"/>
                <w:szCs w:val="22"/>
              </w:rPr>
              <w:t xml:space="preserve">VOCs </w:t>
            </w:r>
            <w:r>
              <w:rPr>
                <w:spacing w:val="-4"/>
                <w:sz w:val="22"/>
                <w:szCs w:val="22"/>
              </w:rPr>
              <w:t>含量产品的数</w:t>
            </w:r>
          </w:p>
          <w:p w14:paraId="1844B975">
            <w:pPr>
              <w:pStyle w:val="6"/>
              <w:spacing w:before="23" w:line="202" w:lineRule="auto"/>
              <w:ind w:left="835"/>
              <w:rPr>
                <w:sz w:val="22"/>
                <w:szCs w:val="22"/>
              </w:rPr>
            </w:pPr>
            <w:r>
              <w:rPr>
                <w:spacing w:val="-2"/>
                <w:sz w:val="22"/>
                <w:szCs w:val="22"/>
              </w:rPr>
              <w:t>量和比重。</w:t>
            </w:r>
          </w:p>
        </w:tc>
        <w:tc>
          <w:tcPr>
            <w:tcW w:w="2673" w:type="dxa"/>
            <w:vAlign w:val="top"/>
          </w:tcPr>
          <w:p w14:paraId="249C9A90">
            <w:pPr>
              <w:pStyle w:val="6"/>
              <w:spacing w:before="180" w:line="219" w:lineRule="auto"/>
              <w:ind w:left="136"/>
              <w:rPr>
                <w:sz w:val="22"/>
                <w:szCs w:val="22"/>
              </w:rPr>
            </w:pPr>
            <w:r>
              <w:rPr>
                <w:sz w:val="22"/>
                <w:szCs w:val="22"/>
              </w:rPr>
              <w:t>本项目原辅料为汽油，不</w:t>
            </w:r>
          </w:p>
          <w:p w14:paraId="7B7B1C0A">
            <w:pPr>
              <w:pStyle w:val="6"/>
              <w:spacing w:before="24" w:line="220" w:lineRule="auto"/>
              <w:ind w:left="137"/>
              <w:rPr>
                <w:sz w:val="22"/>
                <w:szCs w:val="22"/>
              </w:rPr>
            </w:pPr>
            <w:r>
              <w:rPr>
                <w:spacing w:val="5"/>
                <w:sz w:val="22"/>
                <w:szCs w:val="22"/>
              </w:rPr>
              <w:t>属于高</w:t>
            </w:r>
            <w:r>
              <w:rPr>
                <w:spacing w:val="-51"/>
                <w:sz w:val="22"/>
                <w:szCs w:val="22"/>
              </w:rPr>
              <w:t xml:space="preserve"> </w:t>
            </w:r>
            <w:r>
              <w:rPr>
                <w:rFonts w:ascii="Times New Roman" w:hAnsi="Times New Roman" w:eastAsia="Times New Roman" w:cs="Times New Roman"/>
                <w:sz w:val="22"/>
                <w:szCs w:val="22"/>
              </w:rPr>
              <w:t>VOCs</w:t>
            </w:r>
            <w:r>
              <w:rPr>
                <w:spacing w:val="5"/>
                <w:sz w:val="22"/>
                <w:szCs w:val="22"/>
              </w:rPr>
              <w:t>含量涂料、</w:t>
            </w:r>
          </w:p>
          <w:p w14:paraId="29448481">
            <w:pPr>
              <w:pStyle w:val="6"/>
              <w:spacing w:before="23" w:line="219" w:lineRule="auto"/>
              <w:jc w:val="right"/>
              <w:rPr>
                <w:sz w:val="22"/>
                <w:szCs w:val="22"/>
              </w:rPr>
            </w:pPr>
            <w:r>
              <w:rPr>
                <w:spacing w:val="-11"/>
                <w:sz w:val="22"/>
                <w:szCs w:val="22"/>
              </w:rPr>
              <w:t>油墨、胶粘剂、清洗剂等，</w:t>
            </w:r>
          </w:p>
          <w:p w14:paraId="1396989E">
            <w:pPr>
              <w:pStyle w:val="6"/>
              <w:spacing w:before="21" w:line="221" w:lineRule="auto"/>
              <w:ind w:left="136"/>
              <w:rPr>
                <w:sz w:val="22"/>
                <w:szCs w:val="22"/>
              </w:rPr>
            </w:pPr>
            <w:r>
              <w:rPr>
                <w:spacing w:val="-1"/>
                <w:sz w:val="22"/>
                <w:szCs w:val="22"/>
              </w:rPr>
              <w:t>且原料装卸过程及大小呼</w:t>
            </w:r>
          </w:p>
          <w:p w14:paraId="3F9FCEA0">
            <w:pPr>
              <w:pStyle w:val="6"/>
              <w:spacing w:before="25" w:line="219" w:lineRule="auto"/>
              <w:ind w:left="156"/>
              <w:rPr>
                <w:sz w:val="22"/>
                <w:szCs w:val="22"/>
              </w:rPr>
            </w:pPr>
            <w:r>
              <w:rPr>
                <w:spacing w:val="-3"/>
                <w:sz w:val="22"/>
                <w:szCs w:val="22"/>
              </w:rPr>
              <w:t>吸过程产生的</w:t>
            </w:r>
            <w:r>
              <w:rPr>
                <w:spacing w:val="-45"/>
                <w:sz w:val="22"/>
                <w:szCs w:val="22"/>
              </w:rPr>
              <w:t xml:space="preserve"> </w:t>
            </w:r>
            <w:r>
              <w:rPr>
                <w:rFonts w:ascii="Times New Roman" w:hAnsi="Times New Roman" w:eastAsia="Times New Roman" w:cs="Times New Roman"/>
                <w:spacing w:val="-3"/>
                <w:sz w:val="22"/>
                <w:szCs w:val="22"/>
              </w:rPr>
              <w:t>VOC</w:t>
            </w:r>
            <w:r>
              <w:rPr>
                <w:rFonts w:ascii="Times New Roman" w:hAnsi="Times New Roman" w:eastAsia="Times New Roman" w:cs="Times New Roman"/>
                <w:spacing w:val="-3"/>
                <w:position w:val="-1"/>
                <w:sz w:val="14"/>
                <w:szCs w:val="14"/>
              </w:rPr>
              <w:t>S</w:t>
            </w:r>
            <w:r>
              <w:rPr>
                <w:rFonts w:ascii="Times New Roman" w:hAnsi="Times New Roman" w:eastAsia="Times New Roman" w:cs="Times New Roman"/>
                <w:spacing w:val="10"/>
                <w:w w:val="102"/>
                <w:position w:val="-1"/>
                <w:sz w:val="14"/>
                <w:szCs w:val="14"/>
              </w:rPr>
              <w:t xml:space="preserve"> </w:t>
            </w:r>
            <w:r>
              <w:rPr>
                <w:spacing w:val="-3"/>
                <w:sz w:val="22"/>
                <w:szCs w:val="22"/>
              </w:rPr>
              <w:t>均采</w:t>
            </w:r>
          </w:p>
          <w:p w14:paraId="1AC9B9FE">
            <w:pPr>
              <w:pStyle w:val="6"/>
              <w:spacing w:before="21" w:line="220" w:lineRule="auto"/>
              <w:ind w:left="138"/>
              <w:rPr>
                <w:sz w:val="22"/>
                <w:szCs w:val="22"/>
              </w:rPr>
            </w:pPr>
            <w:r>
              <w:rPr>
                <w:spacing w:val="-1"/>
                <w:sz w:val="22"/>
                <w:szCs w:val="22"/>
              </w:rPr>
              <w:t>取有效措施集中收集后达</w:t>
            </w:r>
          </w:p>
          <w:p w14:paraId="6953C2EB">
            <w:pPr>
              <w:pStyle w:val="6"/>
              <w:spacing w:before="24" w:line="221" w:lineRule="auto"/>
              <w:ind w:left="1015"/>
              <w:rPr>
                <w:sz w:val="22"/>
                <w:szCs w:val="22"/>
              </w:rPr>
            </w:pPr>
            <w:r>
              <w:rPr>
                <w:spacing w:val="-3"/>
                <w:sz w:val="22"/>
                <w:szCs w:val="22"/>
              </w:rPr>
              <w:t>标排放</w:t>
            </w:r>
          </w:p>
        </w:tc>
        <w:tc>
          <w:tcPr>
            <w:tcW w:w="928" w:type="dxa"/>
            <w:vAlign w:val="top"/>
          </w:tcPr>
          <w:p w14:paraId="184B024D">
            <w:pPr>
              <w:spacing w:line="319" w:lineRule="auto"/>
              <w:rPr>
                <w:rFonts w:ascii="Arial"/>
                <w:sz w:val="21"/>
              </w:rPr>
            </w:pPr>
          </w:p>
          <w:p w14:paraId="42643484">
            <w:pPr>
              <w:spacing w:line="320" w:lineRule="auto"/>
              <w:rPr>
                <w:rFonts w:ascii="Arial"/>
                <w:sz w:val="21"/>
              </w:rPr>
            </w:pPr>
          </w:p>
          <w:p w14:paraId="527DABA0">
            <w:pPr>
              <w:spacing w:line="320" w:lineRule="auto"/>
              <w:rPr>
                <w:rFonts w:ascii="Arial"/>
                <w:sz w:val="21"/>
              </w:rPr>
            </w:pPr>
          </w:p>
          <w:p w14:paraId="1E978D58">
            <w:pPr>
              <w:pStyle w:val="6"/>
              <w:spacing w:before="71" w:line="220" w:lineRule="auto"/>
              <w:ind w:left="258"/>
              <w:rPr>
                <w:sz w:val="22"/>
                <w:szCs w:val="22"/>
              </w:rPr>
            </w:pPr>
            <w:r>
              <w:rPr>
                <w:spacing w:val="-5"/>
                <w:sz w:val="22"/>
                <w:szCs w:val="22"/>
              </w:rPr>
              <w:t>符合</w:t>
            </w:r>
          </w:p>
        </w:tc>
        <w:tc>
          <w:tcPr>
            <w:tcW w:w="122" w:type="dxa"/>
            <w:tcBorders>
              <w:top w:val="nil"/>
              <w:bottom w:val="nil"/>
              <w:right w:val="single" w:color="000000" w:sz="6" w:space="0"/>
            </w:tcBorders>
            <w:vAlign w:val="top"/>
          </w:tcPr>
          <w:p w14:paraId="0AFC77E3">
            <w:pPr>
              <w:rPr>
                <w:rFonts w:ascii="Arial"/>
                <w:sz w:val="21"/>
              </w:rPr>
            </w:pPr>
          </w:p>
        </w:tc>
      </w:tr>
      <w:tr w14:paraId="3D34B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3" w:hRule="atLeast"/>
        </w:trPr>
        <w:tc>
          <w:tcPr>
            <w:tcW w:w="1400" w:type="dxa"/>
            <w:vMerge w:val="continue"/>
            <w:tcBorders>
              <w:top w:val="nil"/>
              <w:left w:val="single" w:color="000000" w:sz="6" w:space="0"/>
              <w:bottom w:val="single" w:color="000000" w:sz="6" w:space="0"/>
            </w:tcBorders>
            <w:vAlign w:val="top"/>
          </w:tcPr>
          <w:p w14:paraId="1F909265">
            <w:pPr>
              <w:rPr>
                <w:rFonts w:ascii="Arial"/>
                <w:sz w:val="21"/>
              </w:rPr>
            </w:pPr>
          </w:p>
        </w:tc>
        <w:tc>
          <w:tcPr>
            <w:tcW w:w="7474" w:type="dxa"/>
            <w:gridSpan w:val="6"/>
            <w:tcBorders>
              <w:bottom w:val="single" w:color="000000" w:sz="6" w:space="0"/>
              <w:right w:val="single" w:color="000000" w:sz="6" w:space="0"/>
            </w:tcBorders>
            <w:vAlign w:val="top"/>
          </w:tcPr>
          <w:p w14:paraId="4CAF008B">
            <w:pPr>
              <w:spacing w:line="265" w:lineRule="auto"/>
              <w:rPr>
                <w:rFonts w:ascii="Arial"/>
                <w:sz w:val="21"/>
              </w:rPr>
            </w:pPr>
          </w:p>
          <w:p w14:paraId="612DFDB0">
            <w:pPr>
              <w:spacing w:line="266" w:lineRule="auto"/>
              <w:rPr>
                <w:rFonts w:ascii="Arial"/>
                <w:sz w:val="21"/>
              </w:rPr>
            </w:pPr>
          </w:p>
          <w:p w14:paraId="2CC8DC73">
            <w:pPr>
              <w:pStyle w:val="6"/>
              <w:spacing w:before="81" w:line="339" w:lineRule="auto"/>
              <w:ind w:left="111" w:right="103" w:firstLine="551"/>
            </w:pPr>
            <w:r>
              <w:rPr>
                <w:spacing w:val="7"/>
              </w:rPr>
              <w:t>由上表分析可知，本项目符合《重庆市空气质量持续改善行动实施方案》相关内容。</w:t>
            </w:r>
          </w:p>
          <w:p w14:paraId="105314B0">
            <w:pPr>
              <w:pStyle w:val="6"/>
              <w:spacing w:before="1" w:line="225" w:lineRule="auto"/>
              <w:ind w:left="117"/>
            </w:pPr>
            <w:r>
              <w:rPr>
                <w:rFonts w:ascii="Times New Roman" w:hAnsi="Times New Roman" w:eastAsia="Times New Roman" w:cs="Times New Roman"/>
                <w:b/>
                <w:bCs/>
                <w:spacing w:val="3"/>
              </w:rPr>
              <w:t>1.10</w:t>
            </w:r>
            <w:r>
              <w:rPr>
                <w:rFonts w:ascii="Times New Roman" w:hAnsi="Times New Roman" w:eastAsia="Times New Roman" w:cs="Times New Roman"/>
                <w:b/>
                <w:bCs/>
                <w:spacing w:val="25"/>
              </w:rPr>
              <w:t xml:space="preserve"> </w:t>
            </w:r>
            <w:r>
              <w:rPr>
                <w:b/>
                <w:bCs/>
                <w:spacing w:val="3"/>
              </w:rPr>
              <w:t>与区域“三线一单</w:t>
            </w:r>
            <w:r>
              <w:rPr>
                <w:spacing w:val="-88"/>
              </w:rPr>
              <w:t xml:space="preserve"> </w:t>
            </w:r>
            <w:r>
              <w:rPr>
                <w:b/>
                <w:bCs/>
                <w:spacing w:val="3"/>
              </w:rPr>
              <w:t>”符合性分析</w:t>
            </w:r>
          </w:p>
          <w:p w14:paraId="47BE7280">
            <w:pPr>
              <w:pStyle w:val="6"/>
              <w:spacing w:before="152" w:line="339" w:lineRule="auto"/>
              <w:ind w:left="110" w:right="15" w:firstLine="520"/>
              <w:jc w:val="both"/>
            </w:pPr>
            <w:r>
              <w:rPr>
                <w:spacing w:val="19"/>
              </w:rPr>
              <w:t>通过在重庆市生态环境分区管控智检服务平台进行调查分</w:t>
            </w:r>
            <w:r>
              <w:rPr>
                <w:spacing w:val="10"/>
              </w:rPr>
              <w:t>析，项目位于重庆市九龙坡区石堰村八社</w:t>
            </w:r>
            <w:r>
              <w:rPr>
                <w:rFonts w:ascii="Times New Roman" w:hAnsi="Times New Roman" w:eastAsia="Times New Roman" w:cs="Times New Roman"/>
                <w:spacing w:val="10"/>
              </w:rPr>
              <w:t>(</w:t>
            </w:r>
            <w:r>
              <w:rPr>
                <w:spacing w:val="10"/>
              </w:rPr>
              <w:t>乔鹤佳苑小区旁</w:t>
            </w:r>
            <w:r>
              <w:rPr>
                <w:rFonts w:ascii="Times New Roman" w:hAnsi="Times New Roman" w:eastAsia="Times New Roman" w:cs="Times New Roman"/>
                <w:spacing w:val="10"/>
              </w:rPr>
              <w:t>)</w:t>
            </w:r>
            <w:r>
              <w:rPr>
                <w:rFonts w:ascii="Times New Roman" w:hAnsi="Times New Roman" w:eastAsia="Times New Roman" w:cs="Times New Roman"/>
                <w:spacing w:val="-23"/>
              </w:rPr>
              <w:t xml:space="preserve"> </w:t>
            </w:r>
            <w:r>
              <w:rPr>
                <w:spacing w:val="10"/>
              </w:rPr>
              <w:t>，从</w:t>
            </w:r>
            <w:r>
              <w:rPr>
                <w:spacing w:val="9"/>
              </w:rPr>
              <w:t>事成品油销售服务，项目所在地不属于生态保护红线和</w:t>
            </w:r>
            <w:r>
              <w:rPr>
                <w:spacing w:val="8"/>
              </w:rPr>
              <w:t>一般生态</w:t>
            </w:r>
            <w:r>
              <w:rPr>
                <w:spacing w:val="6"/>
              </w:rPr>
              <w:t>空间，属于</w:t>
            </w:r>
            <w:r>
              <w:rPr>
                <w:rFonts w:ascii="Times New Roman" w:hAnsi="Times New Roman" w:eastAsia="Times New Roman" w:cs="Times New Roman"/>
              </w:rPr>
              <w:t>ZH</w:t>
            </w:r>
            <w:r>
              <w:rPr>
                <w:rFonts w:ascii="Times New Roman" w:hAnsi="Times New Roman" w:eastAsia="Times New Roman" w:cs="Times New Roman"/>
                <w:spacing w:val="6"/>
              </w:rPr>
              <w:t>50010720001</w:t>
            </w:r>
            <w:r>
              <w:rPr>
                <w:spacing w:val="6"/>
              </w:rPr>
              <w:t>九龙坡区工业城镇重点管控单元</w:t>
            </w:r>
            <w:r>
              <w:rPr>
                <w:rFonts w:ascii="Times New Roman" w:hAnsi="Times New Roman" w:eastAsia="Times New Roman" w:cs="Times New Roman"/>
                <w:spacing w:val="6"/>
              </w:rPr>
              <w:t>-</w:t>
            </w:r>
            <w:r>
              <w:rPr>
                <w:spacing w:val="6"/>
              </w:rPr>
              <w:t>九龙东城片区，系重点管控单元</w:t>
            </w:r>
            <w:r>
              <w:rPr>
                <w:rFonts w:ascii="Times New Roman" w:hAnsi="Times New Roman" w:eastAsia="Times New Roman" w:cs="Times New Roman"/>
                <w:spacing w:val="6"/>
              </w:rPr>
              <w:t>1</w:t>
            </w:r>
            <w:r>
              <w:rPr>
                <w:rFonts w:ascii="Times New Roman" w:hAnsi="Times New Roman" w:eastAsia="Times New Roman" w:cs="Times New Roman"/>
                <w:spacing w:val="-26"/>
              </w:rPr>
              <w:t xml:space="preserve"> </w:t>
            </w:r>
            <w:r>
              <w:rPr>
                <w:spacing w:val="6"/>
              </w:rPr>
              <w:t>，根据下文分析，符合其管控要求。</w:t>
            </w:r>
          </w:p>
        </w:tc>
      </w:tr>
    </w:tbl>
    <w:p w14:paraId="2BEFC8F3">
      <w:pPr>
        <w:pStyle w:val="2"/>
        <w:rPr>
          <w:sz w:val="21"/>
        </w:rPr>
      </w:pPr>
    </w:p>
    <w:p w14:paraId="7CA7A211">
      <w:pPr>
        <w:rPr>
          <w:sz w:val="21"/>
          <w:szCs w:val="21"/>
        </w:rPr>
        <w:sectPr>
          <w:footerReference r:id="rId22" w:type="default"/>
          <w:pgSz w:w="11906" w:h="16839"/>
          <w:pgMar w:top="400" w:right="1508" w:bottom="1234" w:left="1508" w:header="0" w:footer="996" w:gutter="0"/>
          <w:cols w:space="720" w:num="1"/>
        </w:sectPr>
      </w:pPr>
    </w:p>
    <w:p w14:paraId="5F786F34">
      <w:pPr>
        <w:spacing w:before="42"/>
      </w:pPr>
    </w:p>
    <w:p w14:paraId="0BECC1F9">
      <w:pPr>
        <w:spacing w:before="41"/>
      </w:pPr>
    </w:p>
    <w:p w14:paraId="7A30DA0B">
      <w:pPr>
        <w:spacing w:before="41"/>
      </w:pPr>
    </w:p>
    <w:p w14:paraId="59764D9D">
      <w:pPr>
        <w:spacing w:before="41"/>
      </w:pPr>
    </w:p>
    <w:tbl>
      <w:tblPr>
        <w:tblStyle w:val="5"/>
        <w:tblW w:w="13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2"/>
        <w:gridCol w:w="849"/>
        <w:gridCol w:w="7586"/>
        <w:gridCol w:w="3306"/>
        <w:gridCol w:w="820"/>
        <w:gridCol w:w="113"/>
      </w:tblGrid>
      <w:tr w14:paraId="39D57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3656" w:type="dxa"/>
            <w:gridSpan w:val="6"/>
            <w:vAlign w:val="top"/>
          </w:tcPr>
          <w:p w14:paraId="47D38274">
            <w:pPr>
              <w:pStyle w:val="6"/>
              <w:spacing w:before="150" w:line="226" w:lineRule="auto"/>
              <w:ind w:left="4418"/>
            </w:pPr>
            <w:r>
              <w:rPr>
                <w:spacing w:val="4"/>
              </w:rPr>
              <w:t>表</w:t>
            </w:r>
            <w:r>
              <w:rPr>
                <w:rFonts w:ascii="Times New Roman" w:hAnsi="Times New Roman" w:eastAsia="Times New Roman" w:cs="Times New Roman"/>
                <w:spacing w:val="4"/>
              </w:rPr>
              <w:t>1.10-</w:t>
            </w:r>
            <w:r>
              <w:rPr>
                <w:rFonts w:ascii="Times New Roman" w:hAnsi="Times New Roman" w:eastAsia="Times New Roman" w:cs="Times New Roman"/>
                <w:spacing w:val="-25"/>
              </w:rPr>
              <w:t xml:space="preserve"> </w:t>
            </w:r>
            <w:r>
              <w:rPr>
                <w:rFonts w:ascii="Times New Roman" w:hAnsi="Times New Roman" w:eastAsia="Times New Roman" w:cs="Times New Roman"/>
                <w:spacing w:val="4"/>
              </w:rPr>
              <w:t xml:space="preserve">1    </w:t>
            </w:r>
            <w:r>
              <w:rPr>
                <w:spacing w:val="4"/>
              </w:rPr>
              <w:t>与区域“三线一单</w:t>
            </w:r>
            <w:r>
              <w:rPr>
                <w:spacing w:val="-90"/>
              </w:rPr>
              <w:t xml:space="preserve"> </w:t>
            </w:r>
            <w:r>
              <w:rPr>
                <w:spacing w:val="4"/>
              </w:rPr>
              <w:t>”符合性分析</w:t>
            </w:r>
          </w:p>
        </w:tc>
      </w:tr>
      <w:tr w14:paraId="4B17E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831" w:type="dxa"/>
            <w:gridSpan w:val="2"/>
            <w:vAlign w:val="top"/>
          </w:tcPr>
          <w:p w14:paraId="64F8FBFC">
            <w:pPr>
              <w:pStyle w:val="6"/>
              <w:spacing w:before="32" w:line="224" w:lineRule="auto"/>
              <w:ind w:left="756" w:right="198" w:hanging="440"/>
              <w:rPr>
                <w:sz w:val="22"/>
                <w:szCs w:val="22"/>
              </w:rPr>
            </w:pPr>
            <w:r>
              <w:rPr>
                <w:spacing w:val="-2"/>
                <w:sz w:val="22"/>
                <w:szCs w:val="22"/>
              </w:rPr>
              <w:t>环境管控单元</w:t>
            </w:r>
            <w:r>
              <w:rPr>
                <w:spacing w:val="-5"/>
                <w:sz w:val="22"/>
                <w:szCs w:val="22"/>
              </w:rPr>
              <w:t>编码</w:t>
            </w:r>
          </w:p>
        </w:tc>
        <w:tc>
          <w:tcPr>
            <w:tcW w:w="7586" w:type="dxa"/>
            <w:vAlign w:val="top"/>
          </w:tcPr>
          <w:p w14:paraId="26D10ECA">
            <w:pPr>
              <w:pStyle w:val="6"/>
              <w:spacing w:before="173" w:line="220" w:lineRule="auto"/>
              <w:ind w:left="2920"/>
              <w:rPr>
                <w:sz w:val="22"/>
                <w:szCs w:val="22"/>
              </w:rPr>
            </w:pPr>
            <w:r>
              <w:rPr>
                <w:spacing w:val="-1"/>
                <w:sz w:val="22"/>
                <w:szCs w:val="22"/>
              </w:rPr>
              <w:t>环境管控单元名称</w:t>
            </w:r>
          </w:p>
        </w:tc>
        <w:tc>
          <w:tcPr>
            <w:tcW w:w="4126" w:type="dxa"/>
            <w:gridSpan w:val="2"/>
            <w:vAlign w:val="top"/>
          </w:tcPr>
          <w:p w14:paraId="577DCF4B">
            <w:pPr>
              <w:pStyle w:val="6"/>
              <w:spacing w:before="173" w:line="220" w:lineRule="auto"/>
              <w:ind w:left="1190"/>
              <w:rPr>
                <w:sz w:val="22"/>
                <w:szCs w:val="22"/>
              </w:rPr>
            </w:pPr>
            <w:r>
              <w:rPr>
                <w:spacing w:val="-1"/>
                <w:sz w:val="22"/>
                <w:szCs w:val="22"/>
              </w:rPr>
              <w:t>环境管控单元类型</w:t>
            </w:r>
          </w:p>
        </w:tc>
        <w:tc>
          <w:tcPr>
            <w:tcW w:w="113" w:type="dxa"/>
            <w:tcBorders>
              <w:top w:val="nil"/>
              <w:bottom w:val="nil"/>
            </w:tcBorders>
            <w:vAlign w:val="top"/>
          </w:tcPr>
          <w:p w14:paraId="4174E338">
            <w:pPr>
              <w:rPr>
                <w:rFonts w:ascii="Arial"/>
                <w:sz w:val="21"/>
              </w:rPr>
            </w:pPr>
          </w:p>
        </w:tc>
      </w:tr>
      <w:tr w14:paraId="390AD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31" w:type="dxa"/>
            <w:gridSpan w:val="2"/>
            <w:vAlign w:val="top"/>
          </w:tcPr>
          <w:p w14:paraId="2CB690BB">
            <w:pPr>
              <w:spacing w:before="94" w:line="189" w:lineRule="auto"/>
              <w:ind w:left="21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ZH50010720001</w:t>
            </w:r>
          </w:p>
        </w:tc>
        <w:tc>
          <w:tcPr>
            <w:tcW w:w="7586" w:type="dxa"/>
            <w:vAlign w:val="top"/>
          </w:tcPr>
          <w:p w14:paraId="1E2DB952">
            <w:pPr>
              <w:pStyle w:val="6"/>
              <w:spacing w:before="58" w:line="220" w:lineRule="auto"/>
              <w:ind w:left="1569"/>
              <w:rPr>
                <w:sz w:val="22"/>
                <w:szCs w:val="22"/>
              </w:rPr>
            </w:pPr>
            <w:r>
              <w:rPr>
                <w:spacing w:val="-1"/>
                <w:sz w:val="22"/>
                <w:szCs w:val="22"/>
              </w:rPr>
              <w:t>九龙坡区工业城镇重点管控单元</w:t>
            </w:r>
            <w:r>
              <w:rPr>
                <w:rFonts w:ascii="Times New Roman" w:hAnsi="Times New Roman" w:eastAsia="Times New Roman" w:cs="Times New Roman"/>
                <w:spacing w:val="-1"/>
                <w:sz w:val="22"/>
                <w:szCs w:val="22"/>
              </w:rPr>
              <w:t>-</w:t>
            </w:r>
            <w:r>
              <w:rPr>
                <w:spacing w:val="-1"/>
                <w:sz w:val="22"/>
                <w:szCs w:val="22"/>
              </w:rPr>
              <w:t>九龙东城片区</w:t>
            </w:r>
          </w:p>
        </w:tc>
        <w:tc>
          <w:tcPr>
            <w:tcW w:w="4126" w:type="dxa"/>
            <w:gridSpan w:val="2"/>
            <w:vAlign w:val="top"/>
          </w:tcPr>
          <w:p w14:paraId="5C26E4B9">
            <w:pPr>
              <w:pStyle w:val="6"/>
              <w:spacing w:before="58" w:line="220" w:lineRule="auto"/>
              <w:ind w:left="1330"/>
              <w:rPr>
                <w:rFonts w:ascii="Times New Roman" w:hAnsi="Times New Roman" w:eastAsia="Times New Roman" w:cs="Times New Roman"/>
                <w:sz w:val="22"/>
                <w:szCs w:val="22"/>
              </w:rPr>
            </w:pPr>
            <w:r>
              <w:rPr>
                <w:spacing w:val="-2"/>
                <w:sz w:val="22"/>
                <w:szCs w:val="22"/>
              </w:rPr>
              <w:t>重点管控单元</w:t>
            </w:r>
            <w:r>
              <w:rPr>
                <w:spacing w:val="-26"/>
                <w:sz w:val="22"/>
                <w:szCs w:val="22"/>
              </w:rPr>
              <w:t xml:space="preserve"> </w:t>
            </w:r>
            <w:r>
              <w:rPr>
                <w:rFonts w:ascii="Times New Roman" w:hAnsi="Times New Roman" w:eastAsia="Times New Roman" w:cs="Times New Roman"/>
                <w:spacing w:val="-2"/>
                <w:sz w:val="22"/>
                <w:szCs w:val="22"/>
              </w:rPr>
              <w:t>1</w:t>
            </w:r>
          </w:p>
        </w:tc>
        <w:tc>
          <w:tcPr>
            <w:tcW w:w="113" w:type="dxa"/>
            <w:tcBorders>
              <w:top w:val="nil"/>
              <w:bottom w:val="nil"/>
            </w:tcBorders>
            <w:vAlign w:val="top"/>
          </w:tcPr>
          <w:p w14:paraId="012B6E72">
            <w:pPr>
              <w:rPr>
                <w:rFonts w:ascii="Arial"/>
                <w:sz w:val="21"/>
              </w:rPr>
            </w:pPr>
          </w:p>
        </w:tc>
      </w:tr>
      <w:tr w14:paraId="6CF47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982" w:type="dxa"/>
            <w:vAlign w:val="top"/>
          </w:tcPr>
          <w:p w14:paraId="382F83EC">
            <w:pPr>
              <w:pStyle w:val="6"/>
              <w:spacing w:before="30" w:line="220" w:lineRule="auto"/>
              <w:ind w:left="335"/>
              <w:rPr>
                <w:sz w:val="22"/>
                <w:szCs w:val="22"/>
              </w:rPr>
            </w:pPr>
            <w:r>
              <w:rPr>
                <w:spacing w:val="-7"/>
                <w:sz w:val="22"/>
                <w:szCs w:val="22"/>
              </w:rPr>
              <w:t>管控</w:t>
            </w:r>
          </w:p>
          <w:p w14:paraId="7FE5F7CE">
            <w:pPr>
              <w:pStyle w:val="6"/>
              <w:spacing w:before="22" w:line="222" w:lineRule="auto"/>
              <w:ind w:left="331"/>
              <w:rPr>
                <w:sz w:val="22"/>
                <w:szCs w:val="22"/>
              </w:rPr>
            </w:pPr>
            <w:r>
              <w:rPr>
                <w:spacing w:val="-4"/>
                <w:sz w:val="22"/>
                <w:szCs w:val="22"/>
              </w:rPr>
              <w:t>要求</w:t>
            </w:r>
          </w:p>
          <w:p w14:paraId="7F030970">
            <w:pPr>
              <w:pStyle w:val="6"/>
              <w:spacing w:before="21" w:line="209" w:lineRule="auto"/>
              <w:ind w:left="330"/>
              <w:rPr>
                <w:sz w:val="22"/>
                <w:szCs w:val="22"/>
              </w:rPr>
            </w:pPr>
            <w:r>
              <w:rPr>
                <w:spacing w:val="-4"/>
                <w:sz w:val="22"/>
                <w:szCs w:val="22"/>
              </w:rPr>
              <w:t>层级</w:t>
            </w:r>
          </w:p>
        </w:tc>
        <w:tc>
          <w:tcPr>
            <w:tcW w:w="849" w:type="dxa"/>
            <w:vAlign w:val="top"/>
          </w:tcPr>
          <w:p w14:paraId="5C6B91AA">
            <w:pPr>
              <w:pStyle w:val="6"/>
              <w:spacing w:before="173"/>
              <w:ind w:left="210" w:right="200" w:firstLine="5"/>
              <w:rPr>
                <w:sz w:val="22"/>
                <w:szCs w:val="22"/>
              </w:rPr>
            </w:pPr>
            <w:r>
              <w:rPr>
                <w:spacing w:val="-7"/>
                <w:sz w:val="22"/>
                <w:szCs w:val="22"/>
              </w:rPr>
              <w:t>管控</w:t>
            </w:r>
            <w:r>
              <w:rPr>
                <w:spacing w:val="-4"/>
                <w:sz w:val="22"/>
                <w:szCs w:val="22"/>
              </w:rPr>
              <w:t>类型</w:t>
            </w:r>
          </w:p>
        </w:tc>
        <w:tc>
          <w:tcPr>
            <w:tcW w:w="7586" w:type="dxa"/>
            <w:vAlign w:val="top"/>
          </w:tcPr>
          <w:p w14:paraId="26F641EB">
            <w:pPr>
              <w:spacing w:line="242" w:lineRule="auto"/>
              <w:rPr>
                <w:rFonts w:ascii="Arial"/>
                <w:sz w:val="21"/>
              </w:rPr>
            </w:pPr>
          </w:p>
          <w:p w14:paraId="3AA670BC">
            <w:pPr>
              <w:pStyle w:val="6"/>
              <w:spacing w:before="72" w:line="220" w:lineRule="auto"/>
              <w:ind w:left="3364"/>
              <w:rPr>
                <w:sz w:val="22"/>
                <w:szCs w:val="22"/>
              </w:rPr>
            </w:pPr>
            <w:r>
              <w:rPr>
                <w:spacing w:val="-4"/>
                <w:sz w:val="22"/>
                <w:szCs w:val="22"/>
              </w:rPr>
              <w:t>管控要求</w:t>
            </w:r>
          </w:p>
        </w:tc>
        <w:tc>
          <w:tcPr>
            <w:tcW w:w="3306" w:type="dxa"/>
            <w:vAlign w:val="top"/>
          </w:tcPr>
          <w:p w14:paraId="54B56FF2">
            <w:pPr>
              <w:spacing w:line="242" w:lineRule="auto"/>
              <w:rPr>
                <w:rFonts w:ascii="Arial"/>
                <w:sz w:val="21"/>
              </w:rPr>
            </w:pPr>
          </w:p>
          <w:p w14:paraId="51686C53">
            <w:pPr>
              <w:pStyle w:val="6"/>
              <w:spacing w:before="71" w:line="221" w:lineRule="auto"/>
              <w:ind w:left="1003"/>
              <w:rPr>
                <w:sz w:val="22"/>
                <w:szCs w:val="22"/>
              </w:rPr>
            </w:pPr>
            <w:r>
              <w:rPr>
                <w:spacing w:val="-2"/>
                <w:sz w:val="22"/>
                <w:szCs w:val="22"/>
              </w:rPr>
              <w:t>建设项目情况</w:t>
            </w:r>
          </w:p>
        </w:tc>
        <w:tc>
          <w:tcPr>
            <w:tcW w:w="820" w:type="dxa"/>
            <w:vAlign w:val="top"/>
          </w:tcPr>
          <w:p w14:paraId="3EA8CD31">
            <w:pPr>
              <w:pStyle w:val="6"/>
              <w:spacing w:before="174"/>
              <w:ind w:left="310" w:right="181" w:hanging="108"/>
              <w:rPr>
                <w:sz w:val="22"/>
                <w:szCs w:val="22"/>
              </w:rPr>
            </w:pPr>
            <w:r>
              <w:rPr>
                <w:spacing w:val="-5"/>
                <w:sz w:val="22"/>
                <w:szCs w:val="22"/>
              </w:rPr>
              <w:t>符合</w:t>
            </w:r>
            <w:r>
              <w:rPr>
                <w:sz w:val="22"/>
                <w:szCs w:val="22"/>
              </w:rPr>
              <w:t>性</w:t>
            </w:r>
          </w:p>
        </w:tc>
        <w:tc>
          <w:tcPr>
            <w:tcW w:w="113" w:type="dxa"/>
            <w:tcBorders>
              <w:top w:val="nil"/>
              <w:bottom w:val="nil"/>
            </w:tcBorders>
            <w:vAlign w:val="top"/>
          </w:tcPr>
          <w:p w14:paraId="6C2CB551">
            <w:pPr>
              <w:rPr>
                <w:rFonts w:ascii="Arial"/>
                <w:sz w:val="21"/>
              </w:rPr>
            </w:pPr>
          </w:p>
        </w:tc>
      </w:tr>
      <w:tr w14:paraId="2A744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982" w:type="dxa"/>
            <w:vMerge w:val="restart"/>
            <w:tcBorders>
              <w:bottom w:val="nil"/>
            </w:tcBorders>
            <w:vAlign w:val="top"/>
          </w:tcPr>
          <w:p w14:paraId="0EF0D27F">
            <w:pPr>
              <w:spacing w:line="253" w:lineRule="auto"/>
              <w:rPr>
                <w:rFonts w:ascii="Arial"/>
                <w:sz w:val="21"/>
              </w:rPr>
            </w:pPr>
          </w:p>
          <w:p w14:paraId="46C286FC">
            <w:pPr>
              <w:spacing w:line="253" w:lineRule="auto"/>
              <w:rPr>
                <w:rFonts w:ascii="Arial"/>
                <w:sz w:val="21"/>
              </w:rPr>
            </w:pPr>
          </w:p>
          <w:p w14:paraId="29DC461E">
            <w:pPr>
              <w:spacing w:line="253" w:lineRule="auto"/>
              <w:rPr>
                <w:rFonts w:ascii="Arial"/>
                <w:sz w:val="21"/>
              </w:rPr>
            </w:pPr>
          </w:p>
          <w:p w14:paraId="624D7941">
            <w:pPr>
              <w:spacing w:line="253" w:lineRule="auto"/>
              <w:rPr>
                <w:rFonts w:ascii="Arial"/>
                <w:sz w:val="21"/>
              </w:rPr>
            </w:pPr>
          </w:p>
          <w:p w14:paraId="6FD93915">
            <w:pPr>
              <w:spacing w:line="253" w:lineRule="auto"/>
              <w:rPr>
                <w:rFonts w:ascii="Arial"/>
                <w:sz w:val="21"/>
              </w:rPr>
            </w:pPr>
          </w:p>
          <w:p w14:paraId="71D8D370">
            <w:pPr>
              <w:spacing w:line="253" w:lineRule="auto"/>
              <w:rPr>
                <w:rFonts w:ascii="Arial"/>
                <w:sz w:val="21"/>
              </w:rPr>
            </w:pPr>
          </w:p>
          <w:p w14:paraId="217D7D88">
            <w:pPr>
              <w:spacing w:line="253" w:lineRule="auto"/>
              <w:rPr>
                <w:rFonts w:ascii="Arial"/>
                <w:sz w:val="21"/>
              </w:rPr>
            </w:pPr>
          </w:p>
          <w:p w14:paraId="79FA15A8">
            <w:pPr>
              <w:spacing w:line="254" w:lineRule="auto"/>
              <w:rPr>
                <w:rFonts w:ascii="Arial"/>
                <w:sz w:val="21"/>
              </w:rPr>
            </w:pPr>
          </w:p>
          <w:p w14:paraId="68CF9E25">
            <w:pPr>
              <w:spacing w:line="254" w:lineRule="auto"/>
              <w:rPr>
                <w:rFonts w:ascii="Arial"/>
                <w:sz w:val="21"/>
              </w:rPr>
            </w:pPr>
          </w:p>
          <w:p w14:paraId="15D63FD2">
            <w:pPr>
              <w:spacing w:line="254" w:lineRule="auto"/>
              <w:rPr>
                <w:rFonts w:ascii="Arial"/>
                <w:sz w:val="21"/>
              </w:rPr>
            </w:pPr>
          </w:p>
          <w:p w14:paraId="53669E5B">
            <w:pPr>
              <w:pStyle w:val="6"/>
              <w:spacing w:before="71"/>
              <w:ind w:left="330" w:right="213"/>
              <w:jc w:val="both"/>
              <w:rPr>
                <w:sz w:val="22"/>
                <w:szCs w:val="22"/>
              </w:rPr>
            </w:pPr>
            <w:r>
              <w:rPr>
                <w:spacing w:val="-4"/>
                <w:sz w:val="22"/>
                <w:szCs w:val="22"/>
              </w:rPr>
              <w:t>全市总体管控要求</w:t>
            </w:r>
          </w:p>
        </w:tc>
        <w:tc>
          <w:tcPr>
            <w:tcW w:w="849" w:type="dxa"/>
            <w:vMerge w:val="restart"/>
            <w:tcBorders>
              <w:bottom w:val="nil"/>
            </w:tcBorders>
            <w:vAlign w:val="top"/>
          </w:tcPr>
          <w:p w14:paraId="21942ECA">
            <w:pPr>
              <w:spacing w:line="243" w:lineRule="auto"/>
              <w:rPr>
                <w:rFonts w:ascii="Arial"/>
                <w:sz w:val="21"/>
              </w:rPr>
            </w:pPr>
          </w:p>
          <w:p w14:paraId="66A58A1E">
            <w:pPr>
              <w:spacing w:line="243" w:lineRule="auto"/>
              <w:rPr>
                <w:rFonts w:ascii="Arial"/>
                <w:sz w:val="21"/>
              </w:rPr>
            </w:pPr>
          </w:p>
          <w:p w14:paraId="63217300">
            <w:pPr>
              <w:spacing w:line="243" w:lineRule="auto"/>
              <w:rPr>
                <w:rFonts w:ascii="Arial"/>
                <w:sz w:val="21"/>
              </w:rPr>
            </w:pPr>
          </w:p>
          <w:p w14:paraId="72D6D82F">
            <w:pPr>
              <w:spacing w:line="243" w:lineRule="auto"/>
              <w:rPr>
                <w:rFonts w:ascii="Arial"/>
                <w:sz w:val="21"/>
              </w:rPr>
            </w:pPr>
          </w:p>
          <w:p w14:paraId="3868F29D">
            <w:pPr>
              <w:spacing w:line="243" w:lineRule="auto"/>
              <w:rPr>
                <w:rFonts w:ascii="Arial"/>
                <w:sz w:val="21"/>
              </w:rPr>
            </w:pPr>
          </w:p>
          <w:p w14:paraId="151ED887">
            <w:pPr>
              <w:spacing w:line="243" w:lineRule="auto"/>
              <w:rPr>
                <w:rFonts w:ascii="Arial"/>
                <w:sz w:val="21"/>
              </w:rPr>
            </w:pPr>
          </w:p>
          <w:p w14:paraId="54884D02">
            <w:pPr>
              <w:spacing w:line="243" w:lineRule="auto"/>
              <w:rPr>
                <w:rFonts w:ascii="Arial"/>
                <w:sz w:val="21"/>
              </w:rPr>
            </w:pPr>
          </w:p>
          <w:p w14:paraId="23B0C29D">
            <w:pPr>
              <w:spacing w:line="243" w:lineRule="auto"/>
              <w:rPr>
                <w:rFonts w:ascii="Arial"/>
                <w:sz w:val="21"/>
              </w:rPr>
            </w:pPr>
          </w:p>
          <w:p w14:paraId="14026EE8">
            <w:pPr>
              <w:spacing w:line="243" w:lineRule="auto"/>
              <w:rPr>
                <w:rFonts w:ascii="Arial"/>
                <w:sz w:val="21"/>
              </w:rPr>
            </w:pPr>
          </w:p>
          <w:p w14:paraId="4AE055F7">
            <w:pPr>
              <w:spacing w:line="243" w:lineRule="auto"/>
              <w:rPr>
                <w:rFonts w:ascii="Arial"/>
                <w:sz w:val="21"/>
              </w:rPr>
            </w:pPr>
          </w:p>
          <w:p w14:paraId="1F0C20BD">
            <w:pPr>
              <w:spacing w:line="244" w:lineRule="auto"/>
              <w:rPr>
                <w:rFonts w:ascii="Arial"/>
                <w:sz w:val="21"/>
              </w:rPr>
            </w:pPr>
          </w:p>
          <w:p w14:paraId="1D5DE36A">
            <w:pPr>
              <w:pStyle w:val="6"/>
              <w:spacing w:before="72"/>
              <w:ind w:left="210" w:right="200" w:firstLine="6"/>
              <w:jc w:val="both"/>
              <w:rPr>
                <w:sz w:val="22"/>
                <w:szCs w:val="22"/>
              </w:rPr>
            </w:pPr>
            <w:r>
              <w:rPr>
                <w:spacing w:val="-7"/>
                <w:sz w:val="22"/>
                <w:szCs w:val="22"/>
              </w:rPr>
              <w:t>空间</w:t>
            </w:r>
            <w:r>
              <w:rPr>
                <w:spacing w:val="-4"/>
                <w:sz w:val="22"/>
                <w:szCs w:val="22"/>
              </w:rPr>
              <w:t>布局约束</w:t>
            </w:r>
          </w:p>
        </w:tc>
        <w:tc>
          <w:tcPr>
            <w:tcW w:w="7586" w:type="dxa"/>
            <w:vAlign w:val="top"/>
          </w:tcPr>
          <w:p w14:paraId="51519E9B">
            <w:pPr>
              <w:pStyle w:val="6"/>
              <w:spacing w:before="31" w:line="220" w:lineRule="auto"/>
              <w:ind w:left="132"/>
              <w:rPr>
                <w:sz w:val="22"/>
                <w:szCs w:val="22"/>
              </w:rPr>
            </w:pPr>
            <w:r>
              <w:rPr>
                <w:rFonts w:ascii="Times New Roman" w:hAnsi="Times New Roman" w:eastAsia="Times New Roman" w:cs="Times New Roman"/>
                <w:spacing w:val="-1"/>
                <w:sz w:val="22"/>
                <w:szCs w:val="22"/>
              </w:rPr>
              <w:t>1</w:t>
            </w:r>
            <w:r>
              <w:rPr>
                <w:rFonts w:ascii="Times New Roman" w:hAnsi="Times New Roman" w:eastAsia="Times New Roman" w:cs="Times New Roman"/>
                <w:spacing w:val="-31"/>
                <w:sz w:val="22"/>
                <w:szCs w:val="22"/>
              </w:rPr>
              <w:t xml:space="preserve"> </w:t>
            </w:r>
            <w:r>
              <w:rPr>
                <w:spacing w:val="-1"/>
                <w:sz w:val="22"/>
                <w:szCs w:val="22"/>
              </w:rPr>
              <w:t>、深入贯彻习近平生态文明思想，筑牢长</w:t>
            </w:r>
            <w:r>
              <w:rPr>
                <w:spacing w:val="-2"/>
                <w:sz w:val="22"/>
                <w:szCs w:val="22"/>
              </w:rPr>
              <w:t>江上游重要生态屏障，推动优势区</w:t>
            </w:r>
          </w:p>
          <w:p w14:paraId="3EBA3BE1">
            <w:pPr>
              <w:pStyle w:val="6"/>
              <w:spacing w:before="23" w:line="220" w:lineRule="auto"/>
              <w:ind w:left="113"/>
              <w:rPr>
                <w:sz w:val="22"/>
                <w:szCs w:val="22"/>
              </w:rPr>
            </w:pPr>
            <w:r>
              <w:rPr>
                <w:spacing w:val="-3"/>
                <w:sz w:val="22"/>
                <w:szCs w:val="22"/>
              </w:rPr>
              <w:t>域重点发展、生态功能区重点保护、城乡融合发展，优化重</w:t>
            </w:r>
            <w:r>
              <w:rPr>
                <w:spacing w:val="-4"/>
                <w:sz w:val="22"/>
                <w:szCs w:val="22"/>
              </w:rPr>
              <w:t>点区域、流域、产</w:t>
            </w:r>
          </w:p>
          <w:p w14:paraId="4AA213EE">
            <w:pPr>
              <w:pStyle w:val="6"/>
              <w:spacing w:before="22" w:line="208" w:lineRule="auto"/>
              <w:ind w:left="3137"/>
              <w:rPr>
                <w:sz w:val="22"/>
                <w:szCs w:val="22"/>
              </w:rPr>
            </w:pPr>
            <w:r>
              <w:rPr>
                <w:spacing w:val="-1"/>
                <w:sz w:val="22"/>
                <w:szCs w:val="22"/>
              </w:rPr>
              <w:t>业的空间布局</w:t>
            </w:r>
          </w:p>
        </w:tc>
        <w:tc>
          <w:tcPr>
            <w:tcW w:w="3306" w:type="dxa"/>
            <w:vAlign w:val="top"/>
          </w:tcPr>
          <w:p w14:paraId="158A5528">
            <w:pPr>
              <w:spacing w:line="244" w:lineRule="auto"/>
              <w:rPr>
                <w:rFonts w:ascii="Arial"/>
                <w:sz w:val="21"/>
              </w:rPr>
            </w:pPr>
          </w:p>
          <w:p w14:paraId="6B24DDFE">
            <w:pPr>
              <w:pStyle w:val="6"/>
              <w:spacing w:before="71" w:line="219" w:lineRule="auto"/>
              <w:ind w:left="1001"/>
              <w:rPr>
                <w:sz w:val="22"/>
                <w:szCs w:val="22"/>
              </w:rPr>
            </w:pPr>
            <w:r>
              <w:rPr>
                <w:spacing w:val="-2"/>
                <w:sz w:val="22"/>
                <w:szCs w:val="22"/>
              </w:rPr>
              <w:t>本项目不涉及</w:t>
            </w:r>
          </w:p>
        </w:tc>
        <w:tc>
          <w:tcPr>
            <w:tcW w:w="820" w:type="dxa"/>
            <w:vAlign w:val="top"/>
          </w:tcPr>
          <w:p w14:paraId="3D757D6B">
            <w:pPr>
              <w:spacing w:line="244" w:lineRule="auto"/>
              <w:rPr>
                <w:rFonts w:ascii="Arial"/>
                <w:sz w:val="21"/>
              </w:rPr>
            </w:pPr>
          </w:p>
          <w:p w14:paraId="424F0BFA">
            <w:pPr>
              <w:pStyle w:val="6"/>
              <w:spacing w:before="71" w:line="220" w:lineRule="auto"/>
              <w:ind w:left="202"/>
              <w:rPr>
                <w:sz w:val="22"/>
                <w:szCs w:val="22"/>
              </w:rPr>
            </w:pPr>
            <w:r>
              <w:rPr>
                <w:spacing w:val="-5"/>
                <w:sz w:val="22"/>
                <w:szCs w:val="22"/>
              </w:rPr>
              <w:t>符合</w:t>
            </w:r>
          </w:p>
        </w:tc>
        <w:tc>
          <w:tcPr>
            <w:tcW w:w="113" w:type="dxa"/>
            <w:tcBorders>
              <w:top w:val="nil"/>
              <w:bottom w:val="nil"/>
            </w:tcBorders>
            <w:vAlign w:val="top"/>
          </w:tcPr>
          <w:p w14:paraId="2B9C3AC1">
            <w:pPr>
              <w:rPr>
                <w:rFonts w:ascii="Arial"/>
                <w:sz w:val="21"/>
              </w:rPr>
            </w:pPr>
          </w:p>
        </w:tc>
      </w:tr>
      <w:tr w14:paraId="6C6F9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982" w:type="dxa"/>
            <w:vMerge w:val="continue"/>
            <w:tcBorders>
              <w:top w:val="nil"/>
              <w:bottom w:val="nil"/>
            </w:tcBorders>
            <w:vAlign w:val="top"/>
          </w:tcPr>
          <w:p w14:paraId="7241989C">
            <w:pPr>
              <w:rPr>
                <w:rFonts w:ascii="Arial"/>
                <w:sz w:val="21"/>
              </w:rPr>
            </w:pPr>
          </w:p>
        </w:tc>
        <w:tc>
          <w:tcPr>
            <w:tcW w:w="849" w:type="dxa"/>
            <w:vMerge w:val="continue"/>
            <w:tcBorders>
              <w:top w:val="nil"/>
              <w:bottom w:val="nil"/>
            </w:tcBorders>
            <w:vAlign w:val="top"/>
          </w:tcPr>
          <w:p w14:paraId="378A3105">
            <w:pPr>
              <w:rPr>
                <w:rFonts w:ascii="Arial"/>
                <w:sz w:val="21"/>
              </w:rPr>
            </w:pPr>
          </w:p>
        </w:tc>
        <w:tc>
          <w:tcPr>
            <w:tcW w:w="7586" w:type="dxa"/>
            <w:vAlign w:val="top"/>
          </w:tcPr>
          <w:p w14:paraId="6A832AF4">
            <w:pPr>
              <w:pStyle w:val="6"/>
              <w:spacing w:before="174" w:line="219" w:lineRule="auto"/>
              <w:ind w:left="110"/>
              <w:rPr>
                <w:sz w:val="22"/>
                <w:szCs w:val="22"/>
              </w:rPr>
            </w:pPr>
            <w:r>
              <w:rPr>
                <w:rFonts w:ascii="Times New Roman" w:hAnsi="Times New Roman" w:eastAsia="Times New Roman" w:cs="Times New Roman"/>
                <w:spacing w:val="-1"/>
                <w:sz w:val="22"/>
                <w:szCs w:val="22"/>
              </w:rPr>
              <w:t>2</w:t>
            </w:r>
            <w:r>
              <w:rPr>
                <w:rFonts w:ascii="Times New Roman" w:hAnsi="Times New Roman" w:eastAsia="Times New Roman" w:cs="Times New Roman"/>
                <w:spacing w:val="-25"/>
                <w:sz w:val="22"/>
                <w:szCs w:val="22"/>
              </w:rPr>
              <w:t xml:space="preserve"> </w:t>
            </w:r>
            <w:r>
              <w:rPr>
                <w:spacing w:val="-1"/>
                <w:sz w:val="22"/>
                <w:szCs w:val="22"/>
              </w:rPr>
              <w:t>、禁止在长江干支流、重要湖泊岸线一公里范围内新建、扩建化工园区和化</w:t>
            </w:r>
          </w:p>
          <w:p w14:paraId="358C560D">
            <w:pPr>
              <w:pStyle w:val="6"/>
              <w:spacing w:before="24" w:line="219" w:lineRule="auto"/>
              <w:ind w:left="172"/>
              <w:rPr>
                <w:sz w:val="22"/>
                <w:szCs w:val="22"/>
              </w:rPr>
            </w:pPr>
            <w:r>
              <w:rPr>
                <w:sz w:val="22"/>
                <w:szCs w:val="22"/>
              </w:rPr>
              <w:t>工项目。禁止在长江干流岸线三公里范围内和重要</w:t>
            </w:r>
            <w:r>
              <w:rPr>
                <w:spacing w:val="-1"/>
                <w:sz w:val="22"/>
                <w:szCs w:val="22"/>
              </w:rPr>
              <w:t>支流岸线一公里范围内新</w:t>
            </w:r>
          </w:p>
          <w:p w14:paraId="1D11328F">
            <w:pPr>
              <w:pStyle w:val="6"/>
              <w:spacing w:before="24" w:line="219" w:lineRule="auto"/>
              <w:ind w:left="115"/>
              <w:rPr>
                <w:sz w:val="22"/>
                <w:szCs w:val="22"/>
              </w:rPr>
            </w:pPr>
            <w:r>
              <w:rPr>
                <w:spacing w:val="-3"/>
                <w:sz w:val="22"/>
                <w:szCs w:val="22"/>
              </w:rPr>
              <w:t>建、改建、扩建尾矿库、冶炼渣库、磷石膏</w:t>
            </w:r>
            <w:r>
              <w:rPr>
                <w:spacing w:val="-4"/>
                <w:sz w:val="22"/>
                <w:szCs w:val="22"/>
              </w:rPr>
              <w:t>库，以提升安全、生态环境保护水</w:t>
            </w:r>
          </w:p>
          <w:p w14:paraId="5138E082">
            <w:pPr>
              <w:pStyle w:val="6"/>
              <w:spacing w:before="24" w:line="219" w:lineRule="auto"/>
              <w:ind w:left="111"/>
              <w:rPr>
                <w:sz w:val="22"/>
                <w:szCs w:val="22"/>
              </w:rPr>
            </w:pPr>
            <w:r>
              <w:rPr>
                <w:spacing w:val="-3"/>
                <w:sz w:val="22"/>
                <w:szCs w:val="22"/>
              </w:rPr>
              <w:t>平为目的的改建除外。禁止在长江、嘉陵江、乌江</w:t>
            </w:r>
            <w:r>
              <w:rPr>
                <w:spacing w:val="-4"/>
                <w:sz w:val="22"/>
                <w:szCs w:val="22"/>
              </w:rPr>
              <w:t>岸线一公里范围内布局新建</w:t>
            </w:r>
          </w:p>
          <w:p w14:paraId="4E1863A3">
            <w:pPr>
              <w:pStyle w:val="6"/>
              <w:spacing w:before="25" w:line="220" w:lineRule="auto"/>
              <w:ind w:left="1490"/>
              <w:rPr>
                <w:sz w:val="22"/>
                <w:szCs w:val="22"/>
              </w:rPr>
            </w:pPr>
            <w:r>
              <w:rPr>
                <w:spacing w:val="-1"/>
                <w:sz w:val="22"/>
                <w:szCs w:val="22"/>
              </w:rPr>
              <w:t>重化工、纸浆制造、印染等存在环境风险的项目</w:t>
            </w:r>
          </w:p>
        </w:tc>
        <w:tc>
          <w:tcPr>
            <w:tcW w:w="3306" w:type="dxa"/>
            <w:vAlign w:val="top"/>
          </w:tcPr>
          <w:p w14:paraId="7D54FBC3">
            <w:pPr>
              <w:pStyle w:val="6"/>
              <w:spacing w:before="33" w:line="219" w:lineRule="auto"/>
              <w:ind w:left="123"/>
              <w:rPr>
                <w:sz w:val="22"/>
                <w:szCs w:val="22"/>
              </w:rPr>
            </w:pPr>
            <w:r>
              <w:rPr>
                <w:spacing w:val="-1"/>
                <w:sz w:val="22"/>
                <w:szCs w:val="22"/>
              </w:rPr>
              <w:t>本项目属于成品油销售项目，位</w:t>
            </w:r>
          </w:p>
          <w:p w14:paraId="6F8E7650">
            <w:pPr>
              <w:pStyle w:val="6"/>
              <w:spacing w:before="24" w:line="219" w:lineRule="auto"/>
              <w:ind w:left="233"/>
              <w:rPr>
                <w:sz w:val="22"/>
                <w:szCs w:val="22"/>
              </w:rPr>
            </w:pPr>
            <w:r>
              <w:rPr>
                <w:spacing w:val="-1"/>
                <w:sz w:val="22"/>
                <w:szCs w:val="22"/>
              </w:rPr>
              <w:t>于重庆市九龙坡区石堰村八社</w:t>
            </w:r>
          </w:p>
          <w:p w14:paraId="1DC1C720">
            <w:pPr>
              <w:pStyle w:val="6"/>
              <w:spacing w:before="24" w:line="211" w:lineRule="auto"/>
              <w:ind w:left="158"/>
              <w:rPr>
                <w:sz w:val="22"/>
                <w:szCs w:val="22"/>
              </w:rPr>
            </w:pPr>
            <w:r>
              <w:rPr>
                <w:rFonts w:ascii="Times New Roman" w:hAnsi="Times New Roman" w:eastAsia="Times New Roman" w:cs="Times New Roman"/>
                <w:spacing w:val="-3"/>
                <w:sz w:val="22"/>
                <w:szCs w:val="22"/>
              </w:rPr>
              <w:t>(</w:t>
            </w:r>
            <w:r>
              <w:rPr>
                <w:spacing w:val="-3"/>
                <w:sz w:val="22"/>
                <w:szCs w:val="22"/>
              </w:rPr>
              <w:t>乔鹤佳苑小区旁</w:t>
            </w:r>
            <w:r>
              <w:rPr>
                <w:rFonts w:ascii="Times New Roman" w:hAnsi="Times New Roman" w:eastAsia="Times New Roman" w:cs="Times New Roman"/>
                <w:spacing w:val="-3"/>
                <w:sz w:val="22"/>
                <w:szCs w:val="22"/>
              </w:rPr>
              <w:t>)</w:t>
            </w:r>
            <w:r>
              <w:rPr>
                <w:rFonts w:ascii="Times New Roman" w:hAnsi="Times New Roman" w:eastAsia="Times New Roman" w:cs="Times New Roman"/>
                <w:spacing w:val="-21"/>
                <w:sz w:val="22"/>
                <w:szCs w:val="22"/>
              </w:rPr>
              <w:t xml:space="preserve"> </w:t>
            </w:r>
            <w:r>
              <w:rPr>
                <w:spacing w:val="-3"/>
                <w:sz w:val="22"/>
                <w:szCs w:val="22"/>
              </w:rPr>
              <w:t>，不属于尾矿</w:t>
            </w:r>
          </w:p>
          <w:p w14:paraId="65A57F7D">
            <w:pPr>
              <w:pStyle w:val="6"/>
              <w:spacing w:before="32" w:line="219" w:lineRule="auto"/>
              <w:ind w:left="123"/>
              <w:rPr>
                <w:sz w:val="22"/>
                <w:szCs w:val="22"/>
              </w:rPr>
            </w:pPr>
            <w:r>
              <w:rPr>
                <w:spacing w:val="-1"/>
                <w:sz w:val="22"/>
                <w:szCs w:val="22"/>
              </w:rPr>
              <w:t>库、冶炼渣库、磷石膏库，不属</w:t>
            </w:r>
          </w:p>
          <w:p w14:paraId="058CCD99">
            <w:pPr>
              <w:pStyle w:val="6"/>
              <w:spacing w:before="26" w:line="220" w:lineRule="auto"/>
              <w:ind w:left="125"/>
              <w:rPr>
                <w:sz w:val="22"/>
                <w:szCs w:val="22"/>
              </w:rPr>
            </w:pPr>
            <w:r>
              <w:rPr>
                <w:spacing w:val="-1"/>
                <w:sz w:val="22"/>
                <w:szCs w:val="22"/>
              </w:rPr>
              <w:t>于新建重化工、纸浆制造、印染</w:t>
            </w:r>
          </w:p>
          <w:p w14:paraId="12F60B4D">
            <w:pPr>
              <w:pStyle w:val="6"/>
              <w:spacing w:before="20" w:line="207" w:lineRule="auto"/>
              <w:ind w:left="563"/>
              <w:rPr>
                <w:sz w:val="22"/>
                <w:szCs w:val="22"/>
              </w:rPr>
            </w:pPr>
            <w:r>
              <w:rPr>
                <w:spacing w:val="-1"/>
                <w:sz w:val="22"/>
                <w:szCs w:val="22"/>
              </w:rPr>
              <w:t>等存在环境风险的项目</w:t>
            </w:r>
          </w:p>
        </w:tc>
        <w:tc>
          <w:tcPr>
            <w:tcW w:w="820" w:type="dxa"/>
            <w:vAlign w:val="top"/>
          </w:tcPr>
          <w:p w14:paraId="031CBF44">
            <w:pPr>
              <w:spacing w:line="335" w:lineRule="auto"/>
              <w:rPr>
                <w:rFonts w:ascii="Arial"/>
                <w:sz w:val="21"/>
              </w:rPr>
            </w:pPr>
          </w:p>
          <w:p w14:paraId="157DE049">
            <w:pPr>
              <w:spacing w:line="335" w:lineRule="auto"/>
              <w:rPr>
                <w:rFonts w:ascii="Arial"/>
                <w:sz w:val="21"/>
              </w:rPr>
            </w:pPr>
          </w:p>
          <w:p w14:paraId="408498B0">
            <w:pPr>
              <w:pStyle w:val="6"/>
              <w:spacing w:before="71" w:line="220" w:lineRule="auto"/>
              <w:ind w:left="202"/>
              <w:rPr>
                <w:sz w:val="22"/>
                <w:szCs w:val="22"/>
              </w:rPr>
            </w:pPr>
            <w:r>
              <w:rPr>
                <w:spacing w:val="-5"/>
                <w:sz w:val="22"/>
                <w:szCs w:val="22"/>
              </w:rPr>
              <w:t>符合</w:t>
            </w:r>
          </w:p>
        </w:tc>
        <w:tc>
          <w:tcPr>
            <w:tcW w:w="113" w:type="dxa"/>
            <w:tcBorders>
              <w:top w:val="nil"/>
              <w:bottom w:val="nil"/>
            </w:tcBorders>
            <w:vAlign w:val="top"/>
          </w:tcPr>
          <w:p w14:paraId="16AE96A5">
            <w:pPr>
              <w:rPr>
                <w:rFonts w:ascii="Arial"/>
                <w:sz w:val="21"/>
              </w:rPr>
            </w:pPr>
          </w:p>
        </w:tc>
      </w:tr>
      <w:tr w14:paraId="43479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6" w:hRule="atLeast"/>
        </w:trPr>
        <w:tc>
          <w:tcPr>
            <w:tcW w:w="982" w:type="dxa"/>
            <w:vMerge w:val="continue"/>
            <w:tcBorders>
              <w:top w:val="nil"/>
              <w:bottom w:val="nil"/>
            </w:tcBorders>
            <w:vAlign w:val="top"/>
          </w:tcPr>
          <w:p w14:paraId="44476F01">
            <w:pPr>
              <w:rPr>
                <w:rFonts w:ascii="Arial"/>
                <w:sz w:val="21"/>
              </w:rPr>
            </w:pPr>
          </w:p>
        </w:tc>
        <w:tc>
          <w:tcPr>
            <w:tcW w:w="849" w:type="dxa"/>
            <w:vMerge w:val="continue"/>
            <w:tcBorders>
              <w:top w:val="nil"/>
              <w:bottom w:val="nil"/>
            </w:tcBorders>
            <w:vAlign w:val="top"/>
          </w:tcPr>
          <w:p w14:paraId="05D1CCBC">
            <w:pPr>
              <w:rPr>
                <w:rFonts w:ascii="Arial"/>
                <w:sz w:val="21"/>
              </w:rPr>
            </w:pPr>
          </w:p>
        </w:tc>
        <w:tc>
          <w:tcPr>
            <w:tcW w:w="7586" w:type="dxa"/>
            <w:vAlign w:val="top"/>
          </w:tcPr>
          <w:p w14:paraId="4E96AE0B">
            <w:pPr>
              <w:pStyle w:val="6"/>
              <w:spacing w:before="32" w:line="234" w:lineRule="auto"/>
              <w:ind w:left="111" w:right="101" w:firstLine="3"/>
              <w:jc w:val="both"/>
              <w:rPr>
                <w:sz w:val="22"/>
                <w:szCs w:val="22"/>
              </w:rPr>
            </w:pPr>
            <w:r>
              <w:rPr>
                <w:rFonts w:ascii="Times New Roman" w:hAnsi="Times New Roman" w:eastAsia="Times New Roman" w:cs="Times New Roman"/>
                <w:spacing w:val="-1"/>
                <w:sz w:val="22"/>
                <w:szCs w:val="22"/>
              </w:rPr>
              <w:t>3</w:t>
            </w:r>
            <w:r>
              <w:rPr>
                <w:rFonts w:ascii="Times New Roman" w:hAnsi="Times New Roman" w:eastAsia="Times New Roman" w:cs="Times New Roman"/>
                <w:spacing w:val="-31"/>
                <w:sz w:val="22"/>
                <w:szCs w:val="22"/>
              </w:rPr>
              <w:t xml:space="preserve"> </w:t>
            </w:r>
            <w:r>
              <w:rPr>
                <w:spacing w:val="-1"/>
                <w:sz w:val="22"/>
                <w:szCs w:val="22"/>
              </w:rPr>
              <w:t>、禁止在合规园区外新建、扩建钢铁、石化、化工、焦化、建材、有色、制</w:t>
            </w:r>
            <w:r>
              <w:rPr>
                <w:spacing w:val="3"/>
                <w:sz w:val="22"/>
                <w:szCs w:val="22"/>
              </w:rPr>
              <w:t>浆造纸等高污染项目（高污染项目严格按照《环境保护综合</w:t>
            </w:r>
            <w:r>
              <w:rPr>
                <w:spacing w:val="2"/>
                <w:sz w:val="22"/>
                <w:szCs w:val="22"/>
              </w:rPr>
              <w:t>名录》</w:t>
            </w:r>
            <w:r>
              <w:rPr>
                <w:rFonts w:ascii="Times New Roman" w:hAnsi="Times New Roman" w:eastAsia="Times New Roman" w:cs="Times New Roman"/>
                <w:spacing w:val="2"/>
                <w:sz w:val="22"/>
                <w:szCs w:val="22"/>
              </w:rPr>
              <w:t>“</w:t>
            </w:r>
            <w:r>
              <w:rPr>
                <w:rFonts w:ascii="Times New Roman" w:hAnsi="Times New Roman" w:eastAsia="Times New Roman" w:cs="Times New Roman"/>
                <w:spacing w:val="-40"/>
                <w:sz w:val="22"/>
                <w:szCs w:val="22"/>
              </w:rPr>
              <w:t xml:space="preserve"> </w:t>
            </w:r>
            <w:r>
              <w:rPr>
                <w:spacing w:val="2"/>
                <w:sz w:val="22"/>
                <w:szCs w:val="22"/>
              </w:rPr>
              <w:t>高污染</w:t>
            </w:r>
            <w:r>
              <w:rPr>
                <w:rFonts w:ascii="Times New Roman" w:hAnsi="Times New Roman" w:eastAsia="Times New Roman" w:cs="Times New Roman"/>
                <w:spacing w:val="2"/>
                <w:sz w:val="22"/>
                <w:szCs w:val="22"/>
              </w:rPr>
              <w:t>”</w:t>
            </w:r>
            <w:r>
              <w:rPr>
                <w:spacing w:val="-3"/>
                <w:sz w:val="22"/>
                <w:szCs w:val="22"/>
              </w:rPr>
              <w:t>产品名录执行）。禁止新建、扩建不符合国家石化</w:t>
            </w:r>
            <w:r>
              <w:rPr>
                <w:spacing w:val="-4"/>
                <w:sz w:val="22"/>
                <w:szCs w:val="22"/>
              </w:rPr>
              <w:t>、现代煤化工等产业布局规</w:t>
            </w:r>
            <w:r>
              <w:rPr>
                <w:spacing w:val="-3"/>
                <w:sz w:val="22"/>
                <w:szCs w:val="22"/>
              </w:rPr>
              <w:t>划的项目。新建、改建、扩建</w:t>
            </w:r>
            <w:r>
              <w:rPr>
                <w:rFonts w:ascii="Times New Roman" w:hAnsi="Times New Roman" w:eastAsia="Times New Roman" w:cs="Times New Roman"/>
                <w:spacing w:val="-3"/>
                <w:sz w:val="22"/>
                <w:szCs w:val="22"/>
              </w:rPr>
              <w:t>“</w:t>
            </w:r>
            <w:r>
              <w:rPr>
                <w:spacing w:val="-3"/>
                <w:sz w:val="22"/>
                <w:szCs w:val="22"/>
              </w:rPr>
              <w:t>两高</w:t>
            </w:r>
            <w:r>
              <w:rPr>
                <w:rFonts w:ascii="Times New Roman" w:hAnsi="Times New Roman" w:eastAsia="Times New Roman" w:cs="Times New Roman"/>
                <w:spacing w:val="-3"/>
                <w:sz w:val="22"/>
                <w:szCs w:val="22"/>
              </w:rPr>
              <w:t>”</w:t>
            </w:r>
            <w:r>
              <w:rPr>
                <w:spacing w:val="-3"/>
                <w:sz w:val="22"/>
                <w:szCs w:val="22"/>
              </w:rPr>
              <w:t>项目须符合生态环境保护法律法规和相关法定规划，满足重点污染物排放总量控制、碳排放</w:t>
            </w:r>
            <w:r>
              <w:rPr>
                <w:spacing w:val="-4"/>
                <w:sz w:val="22"/>
                <w:szCs w:val="22"/>
              </w:rPr>
              <w:t>达峰目标、生态环境准入清</w:t>
            </w:r>
            <w:r>
              <w:rPr>
                <w:spacing w:val="-3"/>
                <w:sz w:val="22"/>
                <w:szCs w:val="22"/>
              </w:rPr>
              <w:t>单、相关规划环评和相应行业建设项目环境准入条</w:t>
            </w:r>
            <w:r>
              <w:rPr>
                <w:spacing w:val="-4"/>
                <w:sz w:val="22"/>
                <w:szCs w:val="22"/>
              </w:rPr>
              <w:t>件、环评文件审批原则要求</w:t>
            </w:r>
          </w:p>
        </w:tc>
        <w:tc>
          <w:tcPr>
            <w:tcW w:w="3306" w:type="dxa"/>
            <w:vAlign w:val="top"/>
          </w:tcPr>
          <w:p w14:paraId="7F84889B">
            <w:pPr>
              <w:pStyle w:val="6"/>
              <w:spacing w:before="178" w:line="239" w:lineRule="auto"/>
              <w:ind w:left="123" w:right="105"/>
              <w:jc w:val="both"/>
              <w:rPr>
                <w:sz w:val="22"/>
                <w:szCs w:val="22"/>
              </w:rPr>
            </w:pPr>
            <w:r>
              <w:rPr>
                <w:spacing w:val="-1"/>
                <w:sz w:val="22"/>
                <w:szCs w:val="22"/>
              </w:rPr>
              <w:t>本项目属于成品油销售项目，不属于新建、扩建钢铁、石化、化工、焦化、建材、有色、制浆造纸等高污染项目；不属于石化、</w:t>
            </w:r>
          </w:p>
          <w:p w14:paraId="1B65B1B5">
            <w:pPr>
              <w:pStyle w:val="6"/>
              <w:spacing w:line="220" w:lineRule="auto"/>
              <w:ind w:left="245"/>
              <w:rPr>
                <w:sz w:val="22"/>
                <w:szCs w:val="22"/>
              </w:rPr>
            </w:pPr>
            <w:r>
              <w:rPr>
                <w:spacing w:val="-1"/>
                <w:sz w:val="22"/>
                <w:szCs w:val="22"/>
              </w:rPr>
              <w:t>煤化工等；不属于</w:t>
            </w:r>
            <w:r>
              <w:rPr>
                <w:rFonts w:ascii="Times New Roman" w:hAnsi="Times New Roman" w:eastAsia="Times New Roman" w:cs="Times New Roman"/>
                <w:spacing w:val="-1"/>
                <w:sz w:val="22"/>
                <w:szCs w:val="22"/>
              </w:rPr>
              <w:t>“</w:t>
            </w:r>
            <w:r>
              <w:rPr>
                <w:spacing w:val="-1"/>
                <w:sz w:val="22"/>
                <w:szCs w:val="22"/>
              </w:rPr>
              <w:t>两高</w:t>
            </w:r>
            <w:r>
              <w:rPr>
                <w:rFonts w:ascii="Times New Roman" w:hAnsi="Times New Roman" w:eastAsia="Times New Roman" w:cs="Times New Roman"/>
                <w:spacing w:val="-1"/>
                <w:sz w:val="22"/>
                <w:szCs w:val="22"/>
              </w:rPr>
              <w:t>”</w:t>
            </w:r>
            <w:r>
              <w:rPr>
                <w:spacing w:val="-1"/>
                <w:sz w:val="22"/>
                <w:szCs w:val="22"/>
              </w:rPr>
              <w:t>项目</w:t>
            </w:r>
          </w:p>
        </w:tc>
        <w:tc>
          <w:tcPr>
            <w:tcW w:w="820" w:type="dxa"/>
            <w:vAlign w:val="top"/>
          </w:tcPr>
          <w:p w14:paraId="57FE6CAD">
            <w:pPr>
              <w:spacing w:line="335" w:lineRule="auto"/>
              <w:rPr>
                <w:rFonts w:ascii="Arial"/>
                <w:sz w:val="21"/>
              </w:rPr>
            </w:pPr>
          </w:p>
          <w:p w14:paraId="2FCF64DC">
            <w:pPr>
              <w:spacing w:line="335" w:lineRule="auto"/>
              <w:rPr>
                <w:rFonts w:ascii="Arial"/>
                <w:sz w:val="21"/>
              </w:rPr>
            </w:pPr>
          </w:p>
          <w:p w14:paraId="4BF41AB9">
            <w:pPr>
              <w:pStyle w:val="6"/>
              <w:spacing w:before="72" w:line="220" w:lineRule="auto"/>
              <w:ind w:left="202"/>
              <w:rPr>
                <w:sz w:val="22"/>
                <w:szCs w:val="22"/>
              </w:rPr>
            </w:pPr>
            <w:r>
              <w:rPr>
                <w:spacing w:val="-5"/>
                <w:sz w:val="22"/>
                <w:szCs w:val="22"/>
              </w:rPr>
              <w:t>符合</w:t>
            </w:r>
          </w:p>
        </w:tc>
        <w:tc>
          <w:tcPr>
            <w:tcW w:w="113" w:type="dxa"/>
            <w:tcBorders>
              <w:top w:val="nil"/>
              <w:bottom w:val="nil"/>
            </w:tcBorders>
            <w:vAlign w:val="top"/>
          </w:tcPr>
          <w:p w14:paraId="6E20158F">
            <w:pPr>
              <w:rPr>
                <w:rFonts w:ascii="Arial"/>
                <w:sz w:val="21"/>
              </w:rPr>
            </w:pPr>
          </w:p>
        </w:tc>
      </w:tr>
      <w:tr w14:paraId="44BB4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1" w:hRule="atLeast"/>
        </w:trPr>
        <w:tc>
          <w:tcPr>
            <w:tcW w:w="982" w:type="dxa"/>
            <w:vMerge w:val="continue"/>
            <w:tcBorders>
              <w:top w:val="nil"/>
              <w:bottom w:val="nil"/>
            </w:tcBorders>
            <w:vAlign w:val="top"/>
          </w:tcPr>
          <w:p w14:paraId="64C19968">
            <w:pPr>
              <w:rPr>
                <w:rFonts w:ascii="Arial"/>
                <w:sz w:val="21"/>
              </w:rPr>
            </w:pPr>
          </w:p>
        </w:tc>
        <w:tc>
          <w:tcPr>
            <w:tcW w:w="849" w:type="dxa"/>
            <w:vMerge w:val="continue"/>
            <w:tcBorders>
              <w:top w:val="nil"/>
              <w:bottom w:val="nil"/>
            </w:tcBorders>
            <w:vAlign w:val="top"/>
          </w:tcPr>
          <w:p w14:paraId="35A887B1">
            <w:pPr>
              <w:rPr>
                <w:rFonts w:ascii="Arial"/>
                <w:sz w:val="21"/>
              </w:rPr>
            </w:pPr>
          </w:p>
        </w:tc>
        <w:tc>
          <w:tcPr>
            <w:tcW w:w="7586" w:type="dxa"/>
            <w:vAlign w:val="top"/>
          </w:tcPr>
          <w:p w14:paraId="4155841C">
            <w:pPr>
              <w:pStyle w:val="6"/>
              <w:spacing w:before="35" w:line="220" w:lineRule="auto"/>
              <w:ind w:left="109"/>
              <w:rPr>
                <w:sz w:val="22"/>
                <w:szCs w:val="22"/>
              </w:rPr>
            </w:pPr>
            <w:r>
              <w:rPr>
                <w:rFonts w:ascii="Times New Roman" w:hAnsi="Times New Roman" w:eastAsia="Times New Roman" w:cs="Times New Roman"/>
                <w:spacing w:val="-1"/>
                <w:sz w:val="22"/>
                <w:szCs w:val="22"/>
              </w:rPr>
              <w:t>4</w:t>
            </w:r>
            <w:r>
              <w:rPr>
                <w:rFonts w:ascii="Times New Roman" w:hAnsi="Times New Roman" w:eastAsia="Times New Roman" w:cs="Times New Roman"/>
                <w:spacing w:val="-24"/>
                <w:sz w:val="22"/>
                <w:szCs w:val="22"/>
              </w:rPr>
              <w:t xml:space="preserve"> </w:t>
            </w:r>
            <w:r>
              <w:rPr>
                <w:spacing w:val="-1"/>
                <w:sz w:val="22"/>
                <w:szCs w:val="22"/>
              </w:rPr>
              <w:t>、严把项目准入关口，对不符合要求的高耗能、高排放、低水平项目坚决不</w:t>
            </w:r>
          </w:p>
          <w:p w14:paraId="3BD310E6">
            <w:pPr>
              <w:pStyle w:val="6"/>
              <w:spacing w:before="23" w:line="219" w:lineRule="auto"/>
              <w:ind w:left="119"/>
              <w:rPr>
                <w:sz w:val="22"/>
                <w:szCs w:val="22"/>
              </w:rPr>
            </w:pPr>
            <w:r>
              <w:rPr>
                <w:spacing w:val="-4"/>
                <w:sz w:val="22"/>
                <w:szCs w:val="22"/>
              </w:rPr>
              <w:t>予准入。除在安全或者产业布局等方面有特殊要求的项目外，新建有污染物排</w:t>
            </w:r>
          </w:p>
          <w:p w14:paraId="2B21ABD5">
            <w:pPr>
              <w:pStyle w:val="6"/>
              <w:spacing w:before="24" w:line="219" w:lineRule="auto"/>
              <w:ind w:left="112"/>
              <w:rPr>
                <w:sz w:val="22"/>
                <w:szCs w:val="22"/>
              </w:rPr>
            </w:pPr>
            <w:r>
              <w:rPr>
                <w:spacing w:val="-3"/>
                <w:sz w:val="22"/>
                <w:szCs w:val="22"/>
              </w:rPr>
              <w:t>放的工业项目应当进入工业集聚区。新建化工</w:t>
            </w:r>
            <w:r>
              <w:rPr>
                <w:spacing w:val="-4"/>
                <w:sz w:val="22"/>
                <w:szCs w:val="22"/>
              </w:rPr>
              <w:t>项目应当进入全市统一布局的化</w:t>
            </w:r>
          </w:p>
          <w:p w14:paraId="167D97AC">
            <w:pPr>
              <w:pStyle w:val="6"/>
              <w:spacing w:before="22" w:line="220" w:lineRule="auto"/>
              <w:ind w:left="115"/>
              <w:rPr>
                <w:sz w:val="22"/>
                <w:szCs w:val="22"/>
              </w:rPr>
            </w:pPr>
            <w:r>
              <w:rPr>
                <w:spacing w:val="-3"/>
                <w:sz w:val="22"/>
                <w:szCs w:val="22"/>
              </w:rPr>
              <w:t>工产业集聚区。鼓励现有工业项目、化工项</w:t>
            </w:r>
            <w:r>
              <w:rPr>
                <w:spacing w:val="-4"/>
                <w:sz w:val="22"/>
                <w:szCs w:val="22"/>
              </w:rPr>
              <w:t>目分别搬入工业集聚区、化工产业</w:t>
            </w:r>
          </w:p>
          <w:p w14:paraId="07B84DCE">
            <w:pPr>
              <w:pStyle w:val="6"/>
              <w:spacing w:before="25" w:line="204" w:lineRule="auto"/>
              <w:ind w:left="3470"/>
              <w:rPr>
                <w:sz w:val="22"/>
                <w:szCs w:val="22"/>
              </w:rPr>
            </w:pPr>
            <w:r>
              <w:rPr>
                <w:spacing w:val="-3"/>
                <w:sz w:val="22"/>
                <w:szCs w:val="22"/>
              </w:rPr>
              <w:t>集聚区</w:t>
            </w:r>
          </w:p>
        </w:tc>
        <w:tc>
          <w:tcPr>
            <w:tcW w:w="3306" w:type="dxa"/>
            <w:vAlign w:val="top"/>
          </w:tcPr>
          <w:p w14:paraId="08334F8A">
            <w:pPr>
              <w:spacing w:line="248" w:lineRule="auto"/>
              <w:rPr>
                <w:rFonts w:ascii="Arial"/>
                <w:sz w:val="21"/>
              </w:rPr>
            </w:pPr>
          </w:p>
          <w:p w14:paraId="66485EF3">
            <w:pPr>
              <w:pStyle w:val="6"/>
              <w:spacing w:before="72" w:line="219" w:lineRule="auto"/>
              <w:ind w:left="123"/>
              <w:rPr>
                <w:sz w:val="22"/>
                <w:szCs w:val="22"/>
              </w:rPr>
            </w:pPr>
            <w:r>
              <w:rPr>
                <w:sz w:val="22"/>
                <w:szCs w:val="22"/>
              </w:rPr>
              <w:t>本项目属于成品油销售项目，不</w:t>
            </w:r>
          </w:p>
          <w:p w14:paraId="00CCD2D1">
            <w:pPr>
              <w:pStyle w:val="6"/>
              <w:spacing w:before="24" w:line="220" w:lineRule="auto"/>
              <w:ind w:left="124"/>
              <w:rPr>
                <w:sz w:val="22"/>
                <w:szCs w:val="22"/>
              </w:rPr>
            </w:pPr>
            <w:r>
              <w:rPr>
                <w:spacing w:val="-1"/>
                <w:sz w:val="22"/>
                <w:szCs w:val="22"/>
              </w:rPr>
              <w:t>属于高耗能、高排放、低水平项</w:t>
            </w:r>
          </w:p>
          <w:p w14:paraId="14834E7A">
            <w:pPr>
              <w:pStyle w:val="6"/>
              <w:spacing w:before="20" w:line="223" w:lineRule="auto"/>
              <w:ind w:left="1592"/>
              <w:rPr>
                <w:sz w:val="22"/>
                <w:szCs w:val="22"/>
              </w:rPr>
            </w:pPr>
            <w:r>
              <w:rPr>
                <w:sz w:val="22"/>
                <w:szCs w:val="22"/>
              </w:rPr>
              <w:t>目</w:t>
            </w:r>
          </w:p>
        </w:tc>
        <w:tc>
          <w:tcPr>
            <w:tcW w:w="820" w:type="dxa"/>
            <w:vAlign w:val="top"/>
          </w:tcPr>
          <w:p w14:paraId="6D2A5DB2">
            <w:pPr>
              <w:spacing w:line="266" w:lineRule="auto"/>
              <w:rPr>
                <w:rFonts w:ascii="Arial"/>
                <w:sz w:val="21"/>
              </w:rPr>
            </w:pPr>
          </w:p>
          <w:p w14:paraId="40715018">
            <w:pPr>
              <w:spacing w:line="266" w:lineRule="auto"/>
              <w:rPr>
                <w:rFonts w:ascii="Arial"/>
                <w:sz w:val="21"/>
              </w:rPr>
            </w:pPr>
          </w:p>
          <w:p w14:paraId="60BDEB35">
            <w:pPr>
              <w:pStyle w:val="6"/>
              <w:spacing w:before="71" w:line="220" w:lineRule="auto"/>
              <w:ind w:left="202"/>
              <w:rPr>
                <w:sz w:val="22"/>
                <w:szCs w:val="22"/>
              </w:rPr>
            </w:pPr>
            <w:r>
              <w:rPr>
                <w:spacing w:val="-5"/>
                <w:sz w:val="22"/>
                <w:szCs w:val="22"/>
              </w:rPr>
              <w:t>符合</w:t>
            </w:r>
          </w:p>
        </w:tc>
        <w:tc>
          <w:tcPr>
            <w:tcW w:w="113" w:type="dxa"/>
            <w:tcBorders>
              <w:top w:val="nil"/>
              <w:bottom w:val="nil"/>
            </w:tcBorders>
            <w:vAlign w:val="top"/>
          </w:tcPr>
          <w:p w14:paraId="1B5FAFBF">
            <w:pPr>
              <w:rPr>
                <w:rFonts w:ascii="Arial"/>
                <w:sz w:val="21"/>
              </w:rPr>
            </w:pPr>
          </w:p>
        </w:tc>
      </w:tr>
      <w:tr w14:paraId="1A94C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982" w:type="dxa"/>
            <w:vMerge w:val="continue"/>
            <w:tcBorders>
              <w:top w:val="nil"/>
            </w:tcBorders>
            <w:vAlign w:val="top"/>
          </w:tcPr>
          <w:p w14:paraId="419A488A">
            <w:pPr>
              <w:rPr>
                <w:rFonts w:ascii="Arial"/>
                <w:sz w:val="21"/>
              </w:rPr>
            </w:pPr>
          </w:p>
        </w:tc>
        <w:tc>
          <w:tcPr>
            <w:tcW w:w="849" w:type="dxa"/>
            <w:vMerge w:val="continue"/>
            <w:tcBorders>
              <w:top w:val="nil"/>
            </w:tcBorders>
            <w:vAlign w:val="top"/>
          </w:tcPr>
          <w:p w14:paraId="6F9D23D0">
            <w:pPr>
              <w:rPr>
                <w:rFonts w:ascii="Arial"/>
                <w:sz w:val="21"/>
              </w:rPr>
            </w:pPr>
          </w:p>
        </w:tc>
        <w:tc>
          <w:tcPr>
            <w:tcW w:w="7586" w:type="dxa"/>
            <w:vAlign w:val="top"/>
          </w:tcPr>
          <w:p w14:paraId="74C6C2F6">
            <w:pPr>
              <w:pStyle w:val="6"/>
              <w:spacing w:before="35" w:line="219" w:lineRule="auto"/>
              <w:ind w:left="116"/>
              <w:rPr>
                <w:sz w:val="22"/>
                <w:szCs w:val="22"/>
              </w:rPr>
            </w:pPr>
            <w:r>
              <w:rPr>
                <w:rFonts w:ascii="Times New Roman" w:hAnsi="Times New Roman" w:eastAsia="Times New Roman" w:cs="Times New Roman"/>
                <w:spacing w:val="-1"/>
                <w:sz w:val="22"/>
                <w:szCs w:val="22"/>
              </w:rPr>
              <w:t>5</w:t>
            </w:r>
            <w:r>
              <w:rPr>
                <w:rFonts w:ascii="Times New Roman" w:hAnsi="Times New Roman" w:eastAsia="Times New Roman" w:cs="Times New Roman"/>
                <w:spacing w:val="-31"/>
                <w:sz w:val="22"/>
                <w:szCs w:val="22"/>
              </w:rPr>
              <w:t xml:space="preserve"> </w:t>
            </w:r>
            <w:r>
              <w:rPr>
                <w:spacing w:val="-1"/>
                <w:sz w:val="22"/>
                <w:szCs w:val="22"/>
              </w:rPr>
              <w:t>、新建、扩建有色金属冶炼、电镀、铅蓄电池等企业应布设在依法合规设立</w:t>
            </w:r>
          </w:p>
          <w:p w14:paraId="2BE3FF6C">
            <w:pPr>
              <w:pStyle w:val="6"/>
              <w:spacing w:before="24" w:line="215" w:lineRule="auto"/>
              <w:ind w:left="2484"/>
              <w:rPr>
                <w:sz w:val="22"/>
                <w:szCs w:val="22"/>
              </w:rPr>
            </w:pPr>
            <w:r>
              <w:rPr>
                <w:spacing w:val="-2"/>
                <w:sz w:val="22"/>
                <w:szCs w:val="22"/>
              </w:rPr>
              <w:t>并经过规划环评的产业园区</w:t>
            </w:r>
          </w:p>
        </w:tc>
        <w:tc>
          <w:tcPr>
            <w:tcW w:w="3306" w:type="dxa"/>
            <w:vAlign w:val="top"/>
          </w:tcPr>
          <w:p w14:paraId="326B93F5">
            <w:pPr>
              <w:pStyle w:val="6"/>
              <w:spacing w:before="35" w:line="227" w:lineRule="auto"/>
              <w:ind w:left="123" w:right="105"/>
              <w:rPr>
                <w:sz w:val="22"/>
                <w:szCs w:val="22"/>
              </w:rPr>
            </w:pPr>
            <w:r>
              <w:rPr>
                <w:spacing w:val="-1"/>
                <w:sz w:val="22"/>
                <w:szCs w:val="22"/>
              </w:rPr>
              <w:t>本项目不属于新建、扩建有色金属冶炼、电镀、铅蓄电池等企业</w:t>
            </w:r>
          </w:p>
        </w:tc>
        <w:tc>
          <w:tcPr>
            <w:tcW w:w="820" w:type="dxa"/>
            <w:vAlign w:val="top"/>
          </w:tcPr>
          <w:p w14:paraId="2A72E9B6">
            <w:pPr>
              <w:pStyle w:val="6"/>
              <w:spacing w:before="179" w:line="220" w:lineRule="auto"/>
              <w:ind w:left="202"/>
              <w:rPr>
                <w:sz w:val="22"/>
                <w:szCs w:val="22"/>
              </w:rPr>
            </w:pPr>
            <w:r>
              <w:rPr>
                <w:spacing w:val="-5"/>
                <w:sz w:val="22"/>
                <w:szCs w:val="22"/>
              </w:rPr>
              <w:t>符合</w:t>
            </w:r>
          </w:p>
        </w:tc>
        <w:tc>
          <w:tcPr>
            <w:tcW w:w="113" w:type="dxa"/>
            <w:tcBorders>
              <w:top w:val="nil"/>
            </w:tcBorders>
            <w:vAlign w:val="top"/>
          </w:tcPr>
          <w:p w14:paraId="0EE8FCAC">
            <w:pPr>
              <w:rPr>
                <w:rFonts w:ascii="Arial"/>
                <w:sz w:val="21"/>
              </w:rPr>
            </w:pPr>
          </w:p>
        </w:tc>
      </w:tr>
    </w:tbl>
    <w:p w14:paraId="4D473F5A">
      <w:pPr>
        <w:pStyle w:val="2"/>
        <w:rPr>
          <w:sz w:val="21"/>
        </w:rPr>
      </w:pPr>
    </w:p>
    <w:p w14:paraId="1CE2418A">
      <w:pPr>
        <w:rPr>
          <w:sz w:val="21"/>
          <w:szCs w:val="21"/>
        </w:rPr>
        <w:sectPr>
          <w:footerReference r:id="rId23" w:type="default"/>
          <w:pgSz w:w="16839" w:h="11906"/>
          <w:pgMar w:top="400" w:right="1588" w:bottom="1006" w:left="1588" w:header="0" w:footer="768" w:gutter="0"/>
          <w:cols w:space="720" w:num="1"/>
        </w:sectPr>
      </w:pPr>
    </w:p>
    <w:p w14:paraId="7B2A1233">
      <w:pPr>
        <w:spacing w:before="42"/>
      </w:pPr>
    </w:p>
    <w:p w14:paraId="212A13B0">
      <w:pPr>
        <w:spacing w:before="41"/>
      </w:pPr>
    </w:p>
    <w:p w14:paraId="108BDA3C">
      <w:pPr>
        <w:spacing w:before="41"/>
      </w:pPr>
    </w:p>
    <w:p w14:paraId="79E8B334">
      <w:pPr>
        <w:spacing w:before="41"/>
      </w:pPr>
    </w:p>
    <w:tbl>
      <w:tblPr>
        <w:tblStyle w:val="5"/>
        <w:tblW w:w="13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2"/>
        <w:gridCol w:w="849"/>
        <w:gridCol w:w="7586"/>
        <w:gridCol w:w="3306"/>
        <w:gridCol w:w="820"/>
        <w:gridCol w:w="113"/>
      </w:tblGrid>
      <w:tr w14:paraId="2C0A8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982" w:type="dxa"/>
            <w:vMerge w:val="restart"/>
            <w:tcBorders>
              <w:bottom w:val="nil"/>
            </w:tcBorders>
            <w:vAlign w:val="top"/>
          </w:tcPr>
          <w:p w14:paraId="09F5779A">
            <w:pPr>
              <w:rPr>
                <w:rFonts w:ascii="Arial"/>
                <w:sz w:val="21"/>
              </w:rPr>
            </w:pPr>
          </w:p>
        </w:tc>
        <w:tc>
          <w:tcPr>
            <w:tcW w:w="849" w:type="dxa"/>
            <w:vMerge w:val="restart"/>
            <w:tcBorders>
              <w:bottom w:val="nil"/>
            </w:tcBorders>
            <w:vAlign w:val="top"/>
          </w:tcPr>
          <w:p w14:paraId="6F8AEB63">
            <w:pPr>
              <w:rPr>
                <w:rFonts w:ascii="Arial"/>
                <w:sz w:val="21"/>
              </w:rPr>
            </w:pPr>
          </w:p>
        </w:tc>
        <w:tc>
          <w:tcPr>
            <w:tcW w:w="7586" w:type="dxa"/>
            <w:vAlign w:val="top"/>
          </w:tcPr>
          <w:p w14:paraId="1C0968B5">
            <w:pPr>
              <w:pStyle w:val="6"/>
              <w:spacing w:before="46" w:line="219" w:lineRule="auto"/>
              <w:ind w:left="115"/>
              <w:rPr>
                <w:sz w:val="22"/>
                <w:szCs w:val="22"/>
              </w:rPr>
            </w:pPr>
            <w:r>
              <w:rPr>
                <w:rFonts w:ascii="Times New Roman" w:hAnsi="Times New Roman" w:eastAsia="Times New Roman" w:cs="Times New Roman"/>
                <w:spacing w:val="-1"/>
                <w:sz w:val="22"/>
                <w:szCs w:val="22"/>
              </w:rPr>
              <w:t>6</w:t>
            </w:r>
            <w:r>
              <w:rPr>
                <w:rFonts w:ascii="Times New Roman" w:hAnsi="Times New Roman" w:eastAsia="Times New Roman" w:cs="Times New Roman"/>
                <w:spacing w:val="-30"/>
                <w:sz w:val="22"/>
                <w:szCs w:val="22"/>
              </w:rPr>
              <w:t xml:space="preserve"> </w:t>
            </w:r>
            <w:r>
              <w:rPr>
                <w:spacing w:val="-1"/>
                <w:sz w:val="22"/>
                <w:szCs w:val="22"/>
              </w:rPr>
              <w:t>、涉及环境防护距离的工业企业或项目应通过选址或调整布局原则上将环境</w:t>
            </w:r>
          </w:p>
          <w:p w14:paraId="6C051A23">
            <w:pPr>
              <w:pStyle w:val="6"/>
              <w:spacing w:before="24" w:line="219" w:lineRule="auto"/>
              <w:ind w:left="126"/>
              <w:rPr>
                <w:sz w:val="22"/>
                <w:szCs w:val="22"/>
              </w:rPr>
            </w:pPr>
            <w:r>
              <w:rPr>
                <w:spacing w:val="-4"/>
                <w:sz w:val="22"/>
                <w:szCs w:val="22"/>
              </w:rPr>
              <w:t>防护距离控制在园区边界或用地红线内，提前合理规划项目地块布置、预防环</w:t>
            </w:r>
          </w:p>
          <w:p w14:paraId="47306F4D">
            <w:pPr>
              <w:pStyle w:val="6"/>
              <w:spacing w:before="23" w:line="208" w:lineRule="auto"/>
              <w:ind w:left="3470"/>
              <w:rPr>
                <w:sz w:val="22"/>
                <w:szCs w:val="22"/>
              </w:rPr>
            </w:pPr>
            <w:r>
              <w:rPr>
                <w:spacing w:val="-3"/>
                <w:sz w:val="22"/>
                <w:szCs w:val="22"/>
              </w:rPr>
              <w:t>境风险</w:t>
            </w:r>
          </w:p>
        </w:tc>
        <w:tc>
          <w:tcPr>
            <w:tcW w:w="3306" w:type="dxa"/>
            <w:vAlign w:val="top"/>
          </w:tcPr>
          <w:p w14:paraId="1740611C">
            <w:pPr>
              <w:spacing w:line="259" w:lineRule="auto"/>
              <w:rPr>
                <w:rFonts w:ascii="Arial"/>
                <w:sz w:val="21"/>
              </w:rPr>
            </w:pPr>
          </w:p>
          <w:p w14:paraId="68504323">
            <w:pPr>
              <w:pStyle w:val="6"/>
              <w:spacing w:before="71" w:line="219" w:lineRule="auto"/>
              <w:ind w:left="341"/>
              <w:rPr>
                <w:sz w:val="22"/>
                <w:szCs w:val="22"/>
              </w:rPr>
            </w:pPr>
            <w:r>
              <w:rPr>
                <w:spacing w:val="-1"/>
                <w:sz w:val="22"/>
                <w:szCs w:val="22"/>
              </w:rPr>
              <w:t>本项目不涉及环境防护距离</w:t>
            </w:r>
          </w:p>
        </w:tc>
        <w:tc>
          <w:tcPr>
            <w:tcW w:w="820" w:type="dxa"/>
            <w:vAlign w:val="top"/>
          </w:tcPr>
          <w:p w14:paraId="3AEDAA76">
            <w:pPr>
              <w:spacing w:line="259" w:lineRule="auto"/>
              <w:rPr>
                <w:rFonts w:ascii="Arial"/>
                <w:sz w:val="21"/>
              </w:rPr>
            </w:pPr>
          </w:p>
          <w:p w14:paraId="37416C29">
            <w:pPr>
              <w:pStyle w:val="6"/>
              <w:spacing w:before="71" w:line="220" w:lineRule="auto"/>
              <w:ind w:left="202"/>
              <w:rPr>
                <w:sz w:val="22"/>
                <w:szCs w:val="22"/>
              </w:rPr>
            </w:pPr>
            <w:r>
              <w:rPr>
                <w:spacing w:val="-5"/>
                <w:sz w:val="22"/>
                <w:szCs w:val="22"/>
              </w:rPr>
              <w:t>符合</w:t>
            </w:r>
          </w:p>
        </w:tc>
        <w:tc>
          <w:tcPr>
            <w:tcW w:w="113" w:type="dxa"/>
            <w:tcBorders>
              <w:bottom w:val="nil"/>
            </w:tcBorders>
            <w:vAlign w:val="top"/>
          </w:tcPr>
          <w:p w14:paraId="52A1B61A">
            <w:pPr>
              <w:rPr>
                <w:rFonts w:ascii="Arial"/>
                <w:sz w:val="21"/>
              </w:rPr>
            </w:pPr>
          </w:p>
        </w:tc>
      </w:tr>
      <w:tr w14:paraId="7F99D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982" w:type="dxa"/>
            <w:vMerge w:val="continue"/>
            <w:tcBorders>
              <w:top w:val="nil"/>
              <w:bottom w:val="nil"/>
            </w:tcBorders>
            <w:vAlign w:val="top"/>
          </w:tcPr>
          <w:p w14:paraId="3412885F">
            <w:pPr>
              <w:rPr>
                <w:rFonts w:ascii="Arial"/>
                <w:sz w:val="21"/>
              </w:rPr>
            </w:pPr>
          </w:p>
        </w:tc>
        <w:tc>
          <w:tcPr>
            <w:tcW w:w="849" w:type="dxa"/>
            <w:vMerge w:val="continue"/>
            <w:tcBorders>
              <w:top w:val="nil"/>
            </w:tcBorders>
            <w:vAlign w:val="top"/>
          </w:tcPr>
          <w:p w14:paraId="429C060C">
            <w:pPr>
              <w:rPr>
                <w:rFonts w:ascii="Arial"/>
                <w:sz w:val="21"/>
              </w:rPr>
            </w:pPr>
          </w:p>
        </w:tc>
        <w:tc>
          <w:tcPr>
            <w:tcW w:w="7586" w:type="dxa"/>
            <w:vAlign w:val="top"/>
          </w:tcPr>
          <w:p w14:paraId="4227EB94">
            <w:pPr>
              <w:pStyle w:val="6"/>
              <w:spacing w:before="32" w:line="220" w:lineRule="auto"/>
              <w:ind w:left="114"/>
              <w:rPr>
                <w:sz w:val="22"/>
                <w:szCs w:val="22"/>
              </w:rPr>
            </w:pPr>
            <w:r>
              <w:rPr>
                <w:rFonts w:ascii="Times New Roman" w:hAnsi="Times New Roman" w:eastAsia="Times New Roman" w:cs="Times New Roman"/>
                <w:spacing w:val="-1"/>
                <w:sz w:val="22"/>
                <w:szCs w:val="22"/>
              </w:rPr>
              <w:t>7</w:t>
            </w:r>
            <w:r>
              <w:rPr>
                <w:rFonts w:ascii="Times New Roman" w:hAnsi="Times New Roman" w:eastAsia="Times New Roman" w:cs="Times New Roman"/>
                <w:spacing w:val="-29"/>
                <w:sz w:val="22"/>
                <w:szCs w:val="22"/>
              </w:rPr>
              <w:t xml:space="preserve"> </w:t>
            </w:r>
            <w:r>
              <w:rPr>
                <w:spacing w:val="-1"/>
                <w:sz w:val="22"/>
                <w:szCs w:val="22"/>
              </w:rPr>
              <w:t>、有效规范空间开发秩序，合理控制空间开发强度，切实将各类开发活动限</w:t>
            </w:r>
          </w:p>
          <w:p w14:paraId="0B73F46F">
            <w:pPr>
              <w:pStyle w:val="6"/>
              <w:spacing w:before="21" w:line="220" w:lineRule="auto"/>
              <w:ind w:left="113"/>
              <w:rPr>
                <w:sz w:val="22"/>
                <w:szCs w:val="22"/>
              </w:rPr>
            </w:pPr>
            <w:r>
              <w:rPr>
                <w:spacing w:val="-3"/>
                <w:sz w:val="22"/>
                <w:szCs w:val="22"/>
              </w:rPr>
              <w:t>制在资源环境承载能力之内，为构建高效协调</w:t>
            </w:r>
            <w:r>
              <w:rPr>
                <w:spacing w:val="-4"/>
                <w:sz w:val="22"/>
                <w:szCs w:val="22"/>
              </w:rPr>
              <w:t>可持续的国土空间开发格局奠定</w:t>
            </w:r>
          </w:p>
          <w:p w14:paraId="286FAC2A">
            <w:pPr>
              <w:pStyle w:val="6"/>
              <w:spacing w:before="23" w:line="209" w:lineRule="auto"/>
              <w:ind w:left="3363"/>
              <w:rPr>
                <w:sz w:val="22"/>
                <w:szCs w:val="22"/>
              </w:rPr>
            </w:pPr>
            <w:r>
              <w:rPr>
                <w:spacing w:val="-3"/>
                <w:sz w:val="22"/>
                <w:szCs w:val="22"/>
              </w:rPr>
              <w:t>坚实基础</w:t>
            </w:r>
          </w:p>
        </w:tc>
        <w:tc>
          <w:tcPr>
            <w:tcW w:w="3306" w:type="dxa"/>
            <w:vAlign w:val="top"/>
          </w:tcPr>
          <w:p w14:paraId="0CA2FB47">
            <w:pPr>
              <w:spacing w:line="243" w:lineRule="auto"/>
              <w:rPr>
                <w:rFonts w:ascii="Arial"/>
                <w:sz w:val="21"/>
              </w:rPr>
            </w:pPr>
          </w:p>
          <w:p w14:paraId="55421808">
            <w:pPr>
              <w:pStyle w:val="6"/>
              <w:spacing w:before="72" w:line="219" w:lineRule="auto"/>
              <w:ind w:left="1001"/>
              <w:rPr>
                <w:sz w:val="22"/>
                <w:szCs w:val="22"/>
              </w:rPr>
            </w:pPr>
            <w:r>
              <w:rPr>
                <w:spacing w:val="-2"/>
                <w:sz w:val="22"/>
                <w:szCs w:val="22"/>
              </w:rPr>
              <w:t>本项目不涉及</w:t>
            </w:r>
          </w:p>
        </w:tc>
        <w:tc>
          <w:tcPr>
            <w:tcW w:w="820" w:type="dxa"/>
            <w:vAlign w:val="top"/>
          </w:tcPr>
          <w:p w14:paraId="583F67E7">
            <w:pPr>
              <w:spacing w:line="243" w:lineRule="auto"/>
              <w:rPr>
                <w:rFonts w:ascii="Arial"/>
                <w:sz w:val="21"/>
              </w:rPr>
            </w:pPr>
          </w:p>
          <w:p w14:paraId="036315AF">
            <w:pPr>
              <w:pStyle w:val="6"/>
              <w:spacing w:before="71" w:line="220" w:lineRule="auto"/>
              <w:ind w:left="202"/>
              <w:rPr>
                <w:sz w:val="22"/>
                <w:szCs w:val="22"/>
              </w:rPr>
            </w:pPr>
            <w:r>
              <w:rPr>
                <w:spacing w:val="-5"/>
                <w:sz w:val="22"/>
                <w:szCs w:val="22"/>
              </w:rPr>
              <w:t>符合</w:t>
            </w:r>
          </w:p>
        </w:tc>
        <w:tc>
          <w:tcPr>
            <w:tcW w:w="113" w:type="dxa"/>
            <w:tcBorders>
              <w:top w:val="nil"/>
              <w:bottom w:val="nil"/>
            </w:tcBorders>
            <w:vAlign w:val="top"/>
          </w:tcPr>
          <w:p w14:paraId="6B1B3E71">
            <w:pPr>
              <w:rPr>
                <w:rFonts w:ascii="Arial"/>
                <w:sz w:val="21"/>
              </w:rPr>
            </w:pPr>
          </w:p>
        </w:tc>
      </w:tr>
      <w:tr w14:paraId="430F6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1" w:hRule="atLeast"/>
        </w:trPr>
        <w:tc>
          <w:tcPr>
            <w:tcW w:w="982" w:type="dxa"/>
            <w:vMerge w:val="continue"/>
            <w:tcBorders>
              <w:top w:val="nil"/>
              <w:bottom w:val="nil"/>
            </w:tcBorders>
            <w:vAlign w:val="top"/>
          </w:tcPr>
          <w:p w14:paraId="36B1DAC2">
            <w:pPr>
              <w:rPr>
                <w:rFonts w:ascii="Arial"/>
                <w:sz w:val="21"/>
              </w:rPr>
            </w:pPr>
          </w:p>
        </w:tc>
        <w:tc>
          <w:tcPr>
            <w:tcW w:w="849" w:type="dxa"/>
            <w:vMerge w:val="restart"/>
            <w:tcBorders>
              <w:bottom w:val="nil"/>
            </w:tcBorders>
            <w:vAlign w:val="top"/>
          </w:tcPr>
          <w:p w14:paraId="603FB587">
            <w:pPr>
              <w:spacing w:line="255" w:lineRule="auto"/>
              <w:rPr>
                <w:rFonts w:ascii="Arial"/>
                <w:sz w:val="21"/>
              </w:rPr>
            </w:pPr>
          </w:p>
          <w:p w14:paraId="7040C270">
            <w:pPr>
              <w:spacing w:line="256" w:lineRule="auto"/>
              <w:rPr>
                <w:rFonts w:ascii="Arial"/>
                <w:sz w:val="21"/>
              </w:rPr>
            </w:pPr>
          </w:p>
          <w:p w14:paraId="5A527F0B">
            <w:pPr>
              <w:spacing w:line="256" w:lineRule="auto"/>
              <w:rPr>
                <w:rFonts w:ascii="Arial"/>
                <w:sz w:val="21"/>
              </w:rPr>
            </w:pPr>
          </w:p>
          <w:p w14:paraId="1E76D2CE">
            <w:pPr>
              <w:spacing w:line="256" w:lineRule="auto"/>
              <w:rPr>
                <w:rFonts w:ascii="Arial"/>
                <w:sz w:val="21"/>
              </w:rPr>
            </w:pPr>
          </w:p>
          <w:p w14:paraId="78FE68E4">
            <w:pPr>
              <w:spacing w:line="256" w:lineRule="auto"/>
              <w:rPr>
                <w:rFonts w:ascii="Arial"/>
                <w:sz w:val="21"/>
              </w:rPr>
            </w:pPr>
          </w:p>
          <w:p w14:paraId="01A020D1">
            <w:pPr>
              <w:spacing w:line="256" w:lineRule="auto"/>
              <w:rPr>
                <w:rFonts w:ascii="Arial"/>
                <w:sz w:val="21"/>
              </w:rPr>
            </w:pPr>
          </w:p>
          <w:p w14:paraId="53A9CE49">
            <w:pPr>
              <w:spacing w:line="256" w:lineRule="auto"/>
              <w:rPr>
                <w:rFonts w:ascii="Arial"/>
                <w:sz w:val="21"/>
              </w:rPr>
            </w:pPr>
          </w:p>
          <w:p w14:paraId="7421720B">
            <w:pPr>
              <w:spacing w:line="256" w:lineRule="auto"/>
              <w:rPr>
                <w:rFonts w:ascii="Arial"/>
                <w:sz w:val="21"/>
              </w:rPr>
            </w:pPr>
          </w:p>
          <w:p w14:paraId="3326A76A">
            <w:pPr>
              <w:spacing w:line="256" w:lineRule="auto"/>
              <w:rPr>
                <w:rFonts w:ascii="Arial"/>
                <w:sz w:val="21"/>
              </w:rPr>
            </w:pPr>
          </w:p>
          <w:p w14:paraId="0A99B982">
            <w:pPr>
              <w:spacing w:line="256" w:lineRule="auto"/>
              <w:rPr>
                <w:rFonts w:ascii="Arial"/>
                <w:sz w:val="21"/>
              </w:rPr>
            </w:pPr>
          </w:p>
          <w:p w14:paraId="6412C222">
            <w:pPr>
              <w:spacing w:line="256" w:lineRule="auto"/>
              <w:rPr>
                <w:rFonts w:ascii="Arial"/>
                <w:sz w:val="21"/>
              </w:rPr>
            </w:pPr>
          </w:p>
          <w:p w14:paraId="72A3CE24">
            <w:pPr>
              <w:pStyle w:val="6"/>
              <w:spacing w:before="72"/>
              <w:ind w:left="210" w:right="200" w:firstLine="1"/>
              <w:jc w:val="both"/>
              <w:rPr>
                <w:sz w:val="22"/>
                <w:szCs w:val="22"/>
              </w:rPr>
            </w:pPr>
            <w:r>
              <w:rPr>
                <w:spacing w:val="-5"/>
                <w:sz w:val="22"/>
                <w:szCs w:val="22"/>
              </w:rPr>
              <w:t>污染</w:t>
            </w:r>
            <w:r>
              <w:rPr>
                <w:spacing w:val="-4"/>
                <w:sz w:val="22"/>
                <w:szCs w:val="22"/>
              </w:rPr>
              <w:t>物排放管</w:t>
            </w:r>
            <w:r>
              <w:rPr>
                <w:spacing w:val="32"/>
                <w:w w:val="131"/>
                <w:sz w:val="22"/>
                <w:szCs w:val="22"/>
              </w:rPr>
              <w:t>控</w:t>
            </w:r>
          </w:p>
        </w:tc>
        <w:tc>
          <w:tcPr>
            <w:tcW w:w="7586" w:type="dxa"/>
            <w:vAlign w:val="top"/>
          </w:tcPr>
          <w:p w14:paraId="40656CD8">
            <w:pPr>
              <w:pStyle w:val="6"/>
              <w:spacing w:before="33" w:line="220" w:lineRule="auto"/>
              <w:ind w:left="119"/>
              <w:rPr>
                <w:sz w:val="22"/>
                <w:szCs w:val="22"/>
              </w:rPr>
            </w:pPr>
            <w:r>
              <w:rPr>
                <w:rFonts w:ascii="Times New Roman" w:hAnsi="Times New Roman" w:eastAsia="Times New Roman" w:cs="Times New Roman"/>
                <w:spacing w:val="-1"/>
                <w:sz w:val="22"/>
                <w:szCs w:val="22"/>
              </w:rPr>
              <w:t>8</w:t>
            </w:r>
            <w:r>
              <w:rPr>
                <w:rFonts w:ascii="Times New Roman" w:hAnsi="Times New Roman" w:eastAsia="Times New Roman" w:cs="Times New Roman"/>
                <w:spacing w:val="-31"/>
                <w:sz w:val="22"/>
                <w:szCs w:val="22"/>
              </w:rPr>
              <w:t xml:space="preserve"> </w:t>
            </w:r>
            <w:r>
              <w:rPr>
                <w:spacing w:val="-1"/>
                <w:sz w:val="22"/>
                <w:szCs w:val="22"/>
              </w:rPr>
              <w:t>、新建石化、煤化工、燃煤发电（含热电）、钢铁、有色金属冶炼、</w:t>
            </w:r>
            <w:r>
              <w:rPr>
                <w:spacing w:val="-2"/>
                <w:sz w:val="22"/>
                <w:szCs w:val="22"/>
              </w:rPr>
              <w:t>制浆造</w:t>
            </w:r>
          </w:p>
          <w:p w14:paraId="641052DA">
            <w:pPr>
              <w:pStyle w:val="6"/>
              <w:spacing w:before="21" w:line="219" w:lineRule="auto"/>
              <w:ind w:left="114"/>
              <w:rPr>
                <w:sz w:val="22"/>
                <w:szCs w:val="22"/>
              </w:rPr>
            </w:pPr>
            <w:r>
              <w:rPr>
                <w:spacing w:val="-3"/>
                <w:sz w:val="22"/>
                <w:szCs w:val="22"/>
              </w:rPr>
              <w:t>纸行业依据区域环境质量改善目标，制定配</w:t>
            </w:r>
            <w:r>
              <w:rPr>
                <w:spacing w:val="-4"/>
                <w:sz w:val="22"/>
                <w:szCs w:val="22"/>
              </w:rPr>
              <w:t>套区域污染物削减方案，采取有效</w:t>
            </w:r>
          </w:p>
          <w:p w14:paraId="6B484D12">
            <w:pPr>
              <w:pStyle w:val="6"/>
              <w:spacing w:before="24" w:line="220" w:lineRule="auto"/>
              <w:jc w:val="right"/>
              <w:rPr>
                <w:sz w:val="22"/>
                <w:szCs w:val="22"/>
              </w:rPr>
            </w:pPr>
            <w:r>
              <w:rPr>
                <w:spacing w:val="-8"/>
                <w:sz w:val="22"/>
                <w:szCs w:val="22"/>
              </w:rPr>
              <w:t>的污染物区域削减措施，腾出足够的环境容量。严格</w:t>
            </w:r>
            <w:r>
              <w:rPr>
                <w:spacing w:val="-9"/>
                <w:sz w:val="22"/>
                <w:szCs w:val="22"/>
              </w:rPr>
              <w:t>按照国家及我市有关规定，</w:t>
            </w:r>
          </w:p>
          <w:p w14:paraId="3351304A">
            <w:pPr>
              <w:pStyle w:val="6"/>
              <w:spacing w:before="23" w:line="219" w:lineRule="auto"/>
              <w:ind w:left="111"/>
              <w:rPr>
                <w:sz w:val="22"/>
                <w:szCs w:val="22"/>
              </w:rPr>
            </w:pPr>
            <w:r>
              <w:rPr>
                <w:spacing w:val="-3"/>
                <w:sz w:val="22"/>
                <w:szCs w:val="22"/>
              </w:rPr>
              <w:t>对钢铁、水泥熟料、平板玻璃、电解铝等行业新建</w:t>
            </w:r>
            <w:r>
              <w:rPr>
                <w:spacing w:val="-4"/>
                <w:sz w:val="22"/>
                <w:szCs w:val="22"/>
              </w:rPr>
              <w:t>、扩建项目实行产能等量或</w:t>
            </w:r>
          </w:p>
          <w:p w14:paraId="385DFE4B">
            <w:pPr>
              <w:pStyle w:val="6"/>
              <w:spacing w:before="24" w:line="220" w:lineRule="auto"/>
              <w:ind w:left="112"/>
              <w:rPr>
                <w:sz w:val="22"/>
                <w:szCs w:val="22"/>
              </w:rPr>
            </w:pPr>
            <w:r>
              <w:rPr>
                <w:spacing w:val="-3"/>
                <w:sz w:val="22"/>
                <w:szCs w:val="22"/>
              </w:rPr>
              <w:t>减量置换。国家或地方已出台超低排放要求的</w:t>
            </w:r>
            <w:r>
              <w:rPr>
                <w:rFonts w:ascii="Times New Roman" w:hAnsi="Times New Roman" w:eastAsia="Times New Roman" w:cs="Times New Roman"/>
                <w:spacing w:val="-3"/>
                <w:sz w:val="22"/>
                <w:szCs w:val="22"/>
              </w:rPr>
              <w:t>“</w:t>
            </w:r>
            <w:r>
              <w:rPr>
                <w:spacing w:val="-3"/>
                <w:sz w:val="22"/>
                <w:szCs w:val="22"/>
              </w:rPr>
              <w:t>两高</w:t>
            </w:r>
            <w:r>
              <w:rPr>
                <w:rFonts w:ascii="Times New Roman" w:hAnsi="Times New Roman" w:eastAsia="Times New Roman" w:cs="Times New Roman"/>
                <w:spacing w:val="-3"/>
                <w:sz w:val="22"/>
                <w:szCs w:val="22"/>
              </w:rPr>
              <w:t>”</w:t>
            </w:r>
            <w:r>
              <w:rPr>
                <w:spacing w:val="-3"/>
                <w:sz w:val="22"/>
                <w:szCs w:val="22"/>
              </w:rPr>
              <w:t>行业建设项目应满足超低</w:t>
            </w:r>
          </w:p>
          <w:p w14:paraId="24FCD77C">
            <w:pPr>
              <w:pStyle w:val="6"/>
              <w:spacing w:before="23" w:line="219" w:lineRule="auto"/>
              <w:ind w:left="112"/>
              <w:rPr>
                <w:sz w:val="22"/>
                <w:szCs w:val="22"/>
              </w:rPr>
            </w:pPr>
            <w:r>
              <w:rPr>
                <w:spacing w:val="-3"/>
                <w:sz w:val="22"/>
                <w:szCs w:val="22"/>
              </w:rPr>
              <w:t>排放要求。加强水泥和平板玻璃行业差别化管</w:t>
            </w:r>
            <w:r>
              <w:rPr>
                <w:spacing w:val="-4"/>
                <w:sz w:val="22"/>
                <w:szCs w:val="22"/>
              </w:rPr>
              <w:t>理，新改扩建项目严格落实相关</w:t>
            </w:r>
          </w:p>
          <w:p w14:paraId="576E166A">
            <w:pPr>
              <w:pStyle w:val="6"/>
              <w:spacing w:before="22" w:line="209" w:lineRule="auto"/>
              <w:ind w:left="916"/>
              <w:rPr>
                <w:sz w:val="22"/>
                <w:szCs w:val="22"/>
              </w:rPr>
            </w:pPr>
            <w:r>
              <w:rPr>
                <w:spacing w:val="-1"/>
                <w:sz w:val="22"/>
                <w:szCs w:val="22"/>
              </w:rPr>
              <w:t>产业政策要求，满足能效标杆水平、环保绩效</w:t>
            </w:r>
            <w:r>
              <w:rPr>
                <w:spacing w:val="-37"/>
                <w:sz w:val="22"/>
                <w:szCs w:val="22"/>
              </w:rPr>
              <w:t xml:space="preserve"> </w:t>
            </w:r>
            <w:r>
              <w:rPr>
                <w:rFonts w:ascii="Times New Roman" w:hAnsi="Times New Roman" w:eastAsia="Times New Roman" w:cs="Times New Roman"/>
                <w:spacing w:val="-1"/>
                <w:sz w:val="22"/>
                <w:szCs w:val="22"/>
              </w:rPr>
              <w:t xml:space="preserve">A </w:t>
            </w:r>
            <w:r>
              <w:rPr>
                <w:spacing w:val="-1"/>
                <w:sz w:val="22"/>
                <w:szCs w:val="22"/>
              </w:rPr>
              <w:t>级指标要求</w:t>
            </w:r>
          </w:p>
        </w:tc>
        <w:tc>
          <w:tcPr>
            <w:tcW w:w="3306" w:type="dxa"/>
            <w:vAlign w:val="top"/>
          </w:tcPr>
          <w:p w14:paraId="75C01007">
            <w:pPr>
              <w:spacing w:line="270" w:lineRule="auto"/>
              <w:rPr>
                <w:rFonts w:ascii="Arial"/>
                <w:sz w:val="21"/>
              </w:rPr>
            </w:pPr>
          </w:p>
          <w:p w14:paraId="7132DB76">
            <w:pPr>
              <w:spacing w:line="270" w:lineRule="auto"/>
              <w:rPr>
                <w:rFonts w:ascii="Arial"/>
                <w:sz w:val="21"/>
              </w:rPr>
            </w:pPr>
          </w:p>
          <w:p w14:paraId="6DBD385E">
            <w:pPr>
              <w:spacing w:line="271" w:lineRule="auto"/>
              <w:rPr>
                <w:rFonts w:ascii="Arial"/>
                <w:sz w:val="21"/>
              </w:rPr>
            </w:pPr>
          </w:p>
          <w:p w14:paraId="49318CB5">
            <w:pPr>
              <w:pStyle w:val="6"/>
              <w:spacing w:before="72" w:line="219" w:lineRule="auto"/>
              <w:ind w:left="1001"/>
              <w:rPr>
                <w:sz w:val="22"/>
                <w:szCs w:val="22"/>
              </w:rPr>
            </w:pPr>
            <w:r>
              <w:rPr>
                <w:spacing w:val="-2"/>
                <w:sz w:val="22"/>
                <w:szCs w:val="22"/>
              </w:rPr>
              <w:t>本项目不涉及</w:t>
            </w:r>
          </w:p>
        </w:tc>
        <w:tc>
          <w:tcPr>
            <w:tcW w:w="820" w:type="dxa"/>
            <w:vAlign w:val="top"/>
          </w:tcPr>
          <w:p w14:paraId="4484625A">
            <w:pPr>
              <w:spacing w:line="270" w:lineRule="auto"/>
              <w:rPr>
                <w:rFonts w:ascii="Arial"/>
                <w:sz w:val="21"/>
              </w:rPr>
            </w:pPr>
          </w:p>
          <w:p w14:paraId="1E054AB2">
            <w:pPr>
              <w:spacing w:line="270" w:lineRule="auto"/>
              <w:rPr>
                <w:rFonts w:ascii="Arial"/>
                <w:sz w:val="21"/>
              </w:rPr>
            </w:pPr>
          </w:p>
          <w:p w14:paraId="581BC463">
            <w:pPr>
              <w:spacing w:line="271" w:lineRule="auto"/>
              <w:rPr>
                <w:rFonts w:ascii="Arial"/>
                <w:sz w:val="21"/>
              </w:rPr>
            </w:pPr>
          </w:p>
          <w:p w14:paraId="1FC0951A">
            <w:pPr>
              <w:pStyle w:val="6"/>
              <w:spacing w:before="71" w:line="220" w:lineRule="auto"/>
              <w:ind w:left="202"/>
              <w:rPr>
                <w:sz w:val="22"/>
                <w:szCs w:val="22"/>
              </w:rPr>
            </w:pPr>
            <w:r>
              <w:rPr>
                <w:spacing w:val="-5"/>
                <w:sz w:val="22"/>
                <w:szCs w:val="22"/>
              </w:rPr>
              <w:t>符合</w:t>
            </w:r>
          </w:p>
        </w:tc>
        <w:tc>
          <w:tcPr>
            <w:tcW w:w="113" w:type="dxa"/>
            <w:tcBorders>
              <w:top w:val="nil"/>
              <w:bottom w:val="nil"/>
            </w:tcBorders>
            <w:vAlign w:val="top"/>
          </w:tcPr>
          <w:p w14:paraId="5F011A0B">
            <w:pPr>
              <w:rPr>
                <w:rFonts w:ascii="Arial"/>
                <w:sz w:val="21"/>
              </w:rPr>
            </w:pPr>
          </w:p>
        </w:tc>
      </w:tr>
      <w:tr w14:paraId="15842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982" w:type="dxa"/>
            <w:vMerge w:val="continue"/>
            <w:tcBorders>
              <w:top w:val="nil"/>
              <w:bottom w:val="nil"/>
            </w:tcBorders>
            <w:vAlign w:val="top"/>
          </w:tcPr>
          <w:p w14:paraId="38F2784C">
            <w:pPr>
              <w:rPr>
                <w:rFonts w:ascii="Arial"/>
                <w:sz w:val="21"/>
              </w:rPr>
            </w:pPr>
          </w:p>
        </w:tc>
        <w:tc>
          <w:tcPr>
            <w:tcW w:w="849" w:type="dxa"/>
            <w:vMerge w:val="continue"/>
            <w:tcBorders>
              <w:top w:val="nil"/>
              <w:bottom w:val="nil"/>
            </w:tcBorders>
            <w:vAlign w:val="top"/>
          </w:tcPr>
          <w:p w14:paraId="0C85DEB9">
            <w:pPr>
              <w:rPr>
                <w:rFonts w:ascii="Arial"/>
                <w:sz w:val="21"/>
              </w:rPr>
            </w:pPr>
          </w:p>
        </w:tc>
        <w:tc>
          <w:tcPr>
            <w:tcW w:w="7586" w:type="dxa"/>
            <w:vAlign w:val="top"/>
          </w:tcPr>
          <w:p w14:paraId="6E7CD4E2">
            <w:pPr>
              <w:pStyle w:val="6"/>
              <w:spacing w:before="33" w:line="220" w:lineRule="auto"/>
              <w:jc w:val="right"/>
              <w:rPr>
                <w:sz w:val="22"/>
                <w:szCs w:val="22"/>
              </w:rPr>
            </w:pPr>
            <w:r>
              <w:rPr>
                <w:rFonts w:ascii="Times New Roman" w:hAnsi="Times New Roman" w:eastAsia="Times New Roman" w:cs="Times New Roman"/>
                <w:spacing w:val="-5"/>
                <w:sz w:val="22"/>
                <w:szCs w:val="22"/>
              </w:rPr>
              <w:t>9</w:t>
            </w:r>
            <w:r>
              <w:rPr>
                <w:spacing w:val="-5"/>
                <w:sz w:val="22"/>
                <w:szCs w:val="22"/>
              </w:rPr>
              <w:t>、严格落实国家及我市大气污染防控相关要求，对大气环境质量未达标地区，</w:t>
            </w:r>
          </w:p>
          <w:p w14:paraId="5C025EC2">
            <w:pPr>
              <w:pStyle w:val="6"/>
              <w:spacing w:before="23" w:line="220" w:lineRule="auto"/>
              <w:ind w:left="113"/>
              <w:rPr>
                <w:sz w:val="22"/>
                <w:szCs w:val="22"/>
              </w:rPr>
            </w:pPr>
            <w:r>
              <w:rPr>
                <w:spacing w:val="-3"/>
                <w:sz w:val="22"/>
                <w:szCs w:val="22"/>
              </w:rPr>
              <w:t>新建、改扩建项目实施更严格的污染物排放总</w:t>
            </w:r>
            <w:r>
              <w:rPr>
                <w:spacing w:val="-4"/>
                <w:sz w:val="22"/>
                <w:szCs w:val="22"/>
              </w:rPr>
              <w:t>量控制要求。严格落实区域削减</w:t>
            </w:r>
          </w:p>
          <w:p w14:paraId="5B0264B5">
            <w:pPr>
              <w:pStyle w:val="6"/>
              <w:spacing w:before="23" w:line="221" w:lineRule="auto"/>
              <w:jc w:val="right"/>
              <w:rPr>
                <w:sz w:val="22"/>
                <w:szCs w:val="22"/>
              </w:rPr>
            </w:pPr>
            <w:r>
              <w:rPr>
                <w:spacing w:val="-8"/>
                <w:sz w:val="22"/>
                <w:szCs w:val="22"/>
              </w:rPr>
              <w:t>要求，所在区域、流域控制单元环境质量未达到国家或者地方环境质量标准的，</w:t>
            </w:r>
          </w:p>
          <w:p w14:paraId="6271BF24">
            <w:pPr>
              <w:pStyle w:val="6"/>
              <w:spacing w:before="20" w:line="207" w:lineRule="auto"/>
              <w:ind w:left="501"/>
              <w:rPr>
                <w:sz w:val="22"/>
                <w:szCs w:val="22"/>
              </w:rPr>
            </w:pPr>
            <w:r>
              <w:rPr>
                <w:sz w:val="22"/>
                <w:szCs w:val="22"/>
              </w:rPr>
              <w:t>建设项目需提出有效的区域削减方案，主要</w:t>
            </w:r>
            <w:r>
              <w:rPr>
                <w:spacing w:val="-1"/>
                <w:sz w:val="22"/>
                <w:szCs w:val="22"/>
              </w:rPr>
              <w:t>污染物实行区域倍量削减</w:t>
            </w:r>
          </w:p>
        </w:tc>
        <w:tc>
          <w:tcPr>
            <w:tcW w:w="3306" w:type="dxa"/>
            <w:vAlign w:val="top"/>
          </w:tcPr>
          <w:p w14:paraId="7597D538">
            <w:pPr>
              <w:pStyle w:val="6"/>
              <w:spacing w:before="175" w:line="220" w:lineRule="auto"/>
              <w:ind w:left="175"/>
              <w:rPr>
                <w:sz w:val="22"/>
                <w:szCs w:val="22"/>
              </w:rPr>
            </w:pPr>
            <w:r>
              <w:rPr>
                <w:spacing w:val="-1"/>
                <w:sz w:val="22"/>
                <w:szCs w:val="22"/>
              </w:rPr>
              <w:t>根据</w:t>
            </w:r>
            <w:r>
              <w:rPr>
                <w:spacing w:val="-46"/>
                <w:sz w:val="22"/>
                <w:szCs w:val="22"/>
              </w:rPr>
              <w:t xml:space="preserve"> </w:t>
            </w:r>
            <w:r>
              <w:rPr>
                <w:rFonts w:ascii="Times New Roman" w:hAnsi="Times New Roman" w:eastAsia="Times New Roman" w:cs="Times New Roman"/>
                <w:spacing w:val="-1"/>
                <w:sz w:val="22"/>
                <w:szCs w:val="22"/>
              </w:rPr>
              <w:t xml:space="preserve">2024 </w:t>
            </w:r>
            <w:r>
              <w:rPr>
                <w:spacing w:val="-1"/>
                <w:sz w:val="22"/>
                <w:szCs w:val="22"/>
              </w:rPr>
              <w:t>年重庆市生态环境状</w:t>
            </w:r>
          </w:p>
          <w:p w14:paraId="05C84BEA">
            <w:pPr>
              <w:pStyle w:val="6"/>
              <w:spacing w:before="23" w:line="219" w:lineRule="auto"/>
              <w:ind w:left="116"/>
              <w:rPr>
                <w:sz w:val="22"/>
                <w:szCs w:val="22"/>
              </w:rPr>
            </w:pPr>
            <w:r>
              <w:rPr>
                <w:spacing w:val="-5"/>
                <w:sz w:val="22"/>
                <w:szCs w:val="22"/>
              </w:rPr>
              <w:t>况公报，本项目所在区</w:t>
            </w:r>
            <w:r>
              <w:rPr>
                <w:rFonts w:ascii="Times New Roman" w:hAnsi="Times New Roman" w:eastAsia="Times New Roman" w:cs="Times New Roman"/>
                <w:spacing w:val="-5"/>
                <w:sz w:val="22"/>
                <w:szCs w:val="22"/>
              </w:rPr>
              <w:t>-</w:t>
            </w:r>
            <w:r>
              <w:rPr>
                <w:spacing w:val="-5"/>
                <w:sz w:val="22"/>
                <w:szCs w:val="22"/>
              </w:rPr>
              <w:t>九龙坡区</w:t>
            </w:r>
          </w:p>
          <w:p w14:paraId="58FBE574">
            <w:pPr>
              <w:pStyle w:val="6"/>
              <w:spacing w:before="23" w:line="221" w:lineRule="auto"/>
              <w:ind w:left="564"/>
              <w:rPr>
                <w:sz w:val="22"/>
                <w:szCs w:val="22"/>
              </w:rPr>
            </w:pPr>
            <w:r>
              <w:rPr>
                <w:spacing w:val="-2"/>
                <w:sz w:val="22"/>
                <w:szCs w:val="22"/>
              </w:rPr>
              <w:t>为环境空气质量达标区</w:t>
            </w:r>
          </w:p>
        </w:tc>
        <w:tc>
          <w:tcPr>
            <w:tcW w:w="820" w:type="dxa"/>
            <w:vAlign w:val="top"/>
          </w:tcPr>
          <w:p w14:paraId="4AD52425">
            <w:pPr>
              <w:spacing w:line="387" w:lineRule="auto"/>
              <w:rPr>
                <w:rFonts w:ascii="Arial"/>
                <w:sz w:val="21"/>
              </w:rPr>
            </w:pPr>
          </w:p>
          <w:p w14:paraId="60F3239E">
            <w:pPr>
              <w:pStyle w:val="6"/>
              <w:spacing w:before="71" w:line="220" w:lineRule="auto"/>
              <w:ind w:left="202"/>
              <w:rPr>
                <w:sz w:val="22"/>
                <w:szCs w:val="22"/>
              </w:rPr>
            </w:pPr>
            <w:r>
              <w:rPr>
                <w:spacing w:val="-5"/>
                <w:sz w:val="22"/>
                <w:szCs w:val="22"/>
              </w:rPr>
              <w:t>符合</w:t>
            </w:r>
          </w:p>
        </w:tc>
        <w:tc>
          <w:tcPr>
            <w:tcW w:w="113" w:type="dxa"/>
            <w:tcBorders>
              <w:top w:val="nil"/>
              <w:bottom w:val="nil"/>
            </w:tcBorders>
            <w:vAlign w:val="top"/>
          </w:tcPr>
          <w:p w14:paraId="0E279310">
            <w:pPr>
              <w:rPr>
                <w:rFonts w:ascii="Arial"/>
                <w:sz w:val="21"/>
              </w:rPr>
            </w:pPr>
          </w:p>
        </w:tc>
      </w:tr>
      <w:tr w14:paraId="033A1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1" w:hRule="atLeast"/>
        </w:trPr>
        <w:tc>
          <w:tcPr>
            <w:tcW w:w="982" w:type="dxa"/>
            <w:vMerge w:val="continue"/>
            <w:tcBorders>
              <w:top w:val="nil"/>
              <w:bottom w:val="nil"/>
            </w:tcBorders>
            <w:vAlign w:val="top"/>
          </w:tcPr>
          <w:p w14:paraId="4C695C72">
            <w:pPr>
              <w:rPr>
                <w:rFonts w:ascii="Arial"/>
                <w:sz w:val="21"/>
              </w:rPr>
            </w:pPr>
          </w:p>
        </w:tc>
        <w:tc>
          <w:tcPr>
            <w:tcW w:w="849" w:type="dxa"/>
            <w:vMerge w:val="continue"/>
            <w:tcBorders>
              <w:top w:val="nil"/>
              <w:bottom w:val="nil"/>
            </w:tcBorders>
            <w:vAlign w:val="top"/>
          </w:tcPr>
          <w:p w14:paraId="0BD24FA8">
            <w:pPr>
              <w:rPr>
                <w:rFonts w:ascii="Arial"/>
                <w:sz w:val="21"/>
              </w:rPr>
            </w:pPr>
          </w:p>
        </w:tc>
        <w:tc>
          <w:tcPr>
            <w:tcW w:w="7586" w:type="dxa"/>
            <w:vAlign w:val="top"/>
          </w:tcPr>
          <w:p w14:paraId="198EBC62">
            <w:pPr>
              <w:pStyle w:val="6"/>
              <w:spacing w:before="35" w:line="220" w:lineRule="auto"/>
              <w:ind w:left="129"/>
              <w:rPr>
                <w:sz w:val="22"/>
                <w:szCs w:val="22"/>
              </w:rPr>
            </w:pPr>
            <w:r>
              <w:rPr>
                <w:rFonts w:ascii="Times New Roman" w:hAnsi="Times New Roman" w:eastAsia="Times New Roman" w:cs="Times New Roman"/>
                <w:spacing w:val="-5"/>
                <w:sz w:val="22"/>
                <w:szCs w:val="22"/>
              </w:rPr>
              <w:t>10</w:t>
            </w:r>
            <w:r>
              <w:rPr>
                <w:rFonts w:ascii="Times New Roman" w:hAnsi="Times New Roman" w:eastAsia="Times New Roman" w:cs="Times New Roman"/>
                <w:spacing w:val="-13"/>
                <w:sz w:val="22"/>
                <w:szCs w:val="22"/>
              </w:rPr>
              <w:t xml:space="preserve"> </w:t>
            </w:r>
            <w:r>
              <w:rPr>
                <w:spacing w:val="-5"/>
                <w:sz w:val="22"/>
                <w:szCs w:val="22"/>
              </w:rPr>
              <w:t>、在重点行业（石化、化工、工业涂装、包装印刷、油品储运销等）推进挥</w:t>
            </w:r>
          </w:p>
          <w:p w14:paraId="69DB6E7F">
            <w:pPr>
              <w:pStyle w:val="6"/>
              <w:spacing w:before="23" w:line="219" w:lineRule="auto"/>
              <w:ind w:left="115"/>
              <w:rPr>
                <w:sz w:val="22"/>
                <w:szCs w:val="22"/>
              </w:rPr>
            </w:pPr>
            <w:r>
              <w:rPr>
                <w:spacing w:val="-4"/>
                <w:sz w:val="22"/>
                <w:szCs w:val="22"/>
              </w:rPr>
              <w:t>发性有机物综合治理，推动低挥发性有机物原辅材料和产品源头替代，推广使</w:t>
            </w:r>
          </w:p>
          <w:p w14:paraId="242FB4D2">
            <w:pPr>
              <w:pStyle w:val="6"/>
              <w:spacing w:before="22" w:line="219" w:lineRule="auto"/>
              <w:ind w:left="114"/>
              <w:rPr>
                <w:sz w:val="22"/>
                <w:szCs w:val="22"/>
              </w:rPr>
            </w:pPr>
            <w:r>
              <w:rPr>
                <w:spacing w:val="-3"/>
                <w:sz w:val="22"/>
                <w:szCs w:val="22"/>
              </w:rPr>
              <w:t>用低挥发性有机物含量产品，推动纳入政府</w:t>
            </w:r>
            <w:r>
              <w:rPr>
                <w:spacing w:val="-4"/>
                <w:sz w:val="22"/>
                <w:szCs w:val="22"/>
              </w:rPr>
              <w:t>绿色采购名录。有条件的工业集聚</w:t>
            </w:r>
          </w:p>
          <w:p w14:paraId="550F8C3C">
            <w:pPr>
              <w:pStyle w:val="6"/>
              <w:spacing w:before="24" w:line="220" w:lineRule="auto"/>
              <w:ind w:left="128"/>
              <w:rPr>
                <w:sz w:val="22"/>
                <w:szCs w:val="22"/>
              </w:rPr>
            </w:pPr>
            <w:r>
              <w:rPr>
                <w:spacing w:val="-4"/>
                <w:sz w:val="22"/>
                <w:szCs w:val="22"/>
              </w:rPr>
              <w:t>区建设集中喷涂工程中心，配备高效治污设施，替代企业独立喷涂工序，对涉</w:t>
            </w:r>
          </w:p>
          <w:p w14:paraId="3D8BEC04">
            <w:pPr>
              <w:pStyle w:val="6"/>
              <w:spacing w:before="23" w:line="206" w:lineRule="auto"/>
              <w:ind w:left="1817"/>
              <w:rPr>
                <w:sz w:val="22"/>
                <w:szCs w:val="22"/>
              </w:rPr>
            </w:pPr>
            <w:r>
              <w:rPr>
                <w:spacing w:val="-1"/>
                <w:sz w:val="22"/>
                <w:szCs w:val="22"/>
              </w:rPr>
              <w:t>及喷漆、喷粉、印刷等废气进行集中处理</w:t>
            </w:r>
          </w:p>
        </w:tc>
        <w:tc>
          <w:tcPr>
            <w:tcW w:w="3306" w:type="dxa"/>
            <w:vAlign w:val="top"/>
          </w:tcPr>
          <w:p w14:paraId="632BCA9A">
            <w:pPr>
              <w:spacing w:line="388" w:lineRule="auto"/>
              <w:rPr>
                <w:rFonts w:ascii="Arial"/>
                <w:sz w:val="21"/>
              </w:rPr>
            </w:pPr>
          </w:p>
          <w:p w14:paraId="7E1D1A86">
            <w:pPr>
              <w:pStyle w:val="6"/>
              <w:spacing w:before="71"/>
              <w:ind w:left="790" w:right="107" w:hanging="667"/>
              <w:rPr>
                <w:sz w:val="22"/>
                <w:szCs w:val="22"/>
              </w:rPr>
            </w:pPr>
            <w:r>
              <w:rPr>
                <w:spacing w:val="-1"/>
                <w:sz w:val="22"/>
                <w:szCs w:val="22"/>
              </w:rPr>
              <w:t>本项目不属于重点行业、不涉及</w:t>
            </w:r>
            <w:r>
              <w:rPr>
                <w:spacing w:val="-2"/>
                <w:sz w:val="22"/>
                <w:szCs w:val="22"/>
              </w:rPr>
              <w:t>喷漆、喷粉、印刷</w:t>
            </w:r>
          </w:p>
        </w:tc>
        <w:tc>
          <w:tcPr>
            <w:tcW w:w="820" w:type="dxa"/>
            <w:vAlign w:val="top"/>
          </w:tcPr>
          <w:p w14:paraId="03155883">
            <w:pPr>
              <w:spacing w:line="264" w:lineRule="auto"/>
              <w:rPr>
                <w:rFonts w:ascii="Arial"/>
                <w:sz w:val="21"/>
              </w:rPr>
            </w:pPr>
          </w:p>
          <w:p w14:paraId="7A1C4F9E">
            <w:pPr>
              <w:spacing w:line="265" w:lineRule="auto"/>
              <w:rPr>
                <w:rFonts w:ascii="Arial"/>
                <w:sz w:val="21"/>
              </w:rPr>
            </w:pPr>
          </w:p>
          <w:p w14:paraId="35BF386E">
            <w:pPr>
              <w:pStyle w:val="6"/>
              <w:spacing w:before="72" w:line="220" w:lineRule="auto"/>
              <w:ind w:left="202"/>
              <w:rPr>
                <w:sz w:val="22"/>
                <w:szCs w:val="22"/>
              </w:rPr>
            </w:pPr>
            <w:r>
              <w:rPr>
                <w:spacing w:val="-5"/>
                <w:sz w:val="22"/>
                <w:szCs w:val="22"/>
              </w:rPr>
              <w:t>符合</w:t>
            </w:r>
          </w:p>
        </w:tc>
        <w:tc>
          <w:tcPr>
            <w:tcW w:w="113" w:type="dxa"/>
            <w:tcBorders>
              <w:top w:val="nil"/>
              <w:bottom w:val="nil"/>
            </w:tcBorders>
            <w:vAlign w:val="top"/>
          </w:tcPr>
          <w:p w14:paraId="0EBA7145">
            <w:pPr>
              <w:rPr>
                <w:rFonts w:ascii="Arial"/>
                <w:sz w:val="21"/>
              </w:rPr>
            </w:pPr>
          </w:p>
        </w:tc>
      </w:tr>
      <w:tr w14:paraId="5A484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982" w:type="dxa"/>
            <w:vMerge w:val="continue"/>
            <w:tcBorders>
              <w:top w:val="nil"/>
              <w:bottom w:val="nil"/>
            </w:tcBorders>
            <w:vAlign w:val="top"/>
          </w:tcPr>
          <w:p w14:paraId="6DEF222F">
            <w:pPr>
              <w:rPr>
                <w:rFonts w:ascii="Arial"/>
                <w:sz w:val="21"/>
              </w:rPr>
            </w:pPr>
          </w:p>
        </w:tc>
        <w:tc>
          <w:tcPr>
            <w:tcW w:w="849" w:type="dxa"/>
            <w:vMerge w:val="continue"/>
            <w:tcBorders>
              <w:top w:val="nil"/>
              <w:bottom w:val="nil"/>
            </w:tcBorders>
            <w:vAlign w:val="top"/>
          </w:tcPr>
          <w:p w14:paraId="5ED57B3E">
            <w:pPr>
              <w:rPr>
                <w:rFonts w:ascii="Arial"/>
                <w:sz w:val="21"/>
              </w:rPr>
            </w:pPr>
          </w:p>
        </w:tc>
        <w:tc>
          <w:tcPr>
            <w:tcW w:w="7586" w:type="dxa"/>
            <w:vAlign w:val="top"/>
          </w:tcPr>
          <w:p w14:paraId="1E1B4C19">
            <w:pPr>
              <w:pStyle w:val="6"/>
              <w:spacing w:before="34" w:line="228" w:lineRule="auto"/>
              <w:ind w:left="113" w:right="101" w:firstLine="16"/>
              <w:jc w:val="both"/>
              <w:rPr>
                <w:sz w:val="22"/>
                <w:szCs w:val="22"/>
              </w:rPr>
            </w:pPr>
            <w:r>
              <w:rPr>
                <w:rFonts w:ascii="Times New Roman" w:hAnsi="Times New Roman" w:eastAsia="Times New Roman" w:cs="Times New Roman"/>
                <w:spacing w:val="-4"/>
                <w:sz w:val="22"/>
                <w:szCs w:val="22"/>
              </w:rPr>
              <w:t>11</w:t>
            </w:r>
            <w:r>
              <w:rPr>
                <w:spacing w:val="-4"/>
                <w:sz w:val="22"/>
                <w:szCs w:val="22"/>
              </w:rPr>
              <w:t>、工业集聚区应当按照有关规定配套建设相应的污水集中处理设施，安装自</w:t>
            </w:r>
            <w:r>
              <w:rPr>
                <w:spacing w:val="-3"/>
                <w:sz w:val="22"/>
                <w:szCs w:val="22"/>
              </w:rPr>
              <w:t>动监测设备，工业集聚区内的企业向污水集中</w:t>
            </w:r>
            <w:r>
              <w:rPr>
                <w:spacing w:val="-4"/>
                <w:sz w:val="22"/>
                <w:szCs w:val="22"/>
              </w:rPr>
              <w:t>处理设施排放工业废水的，应当</w:t>
            </w:r>
            <w:r>
              <w:rPr>
                <w:spacing w:val="1"/>
                <w:sz w:val="22"/>
                <w:szCs w:val="22"/>
              </w:rPr>
              <w:t>按照国家有关规定进行预处理，达到集中处理设施处理工艺要求后方可排放</w:t>
            </w:r>
          </w:p>
        </w:tc>
        <w:tc>
          <w:tcPr>
            <w:tcW w:w="3306" w:type="dxa"/>
            <w:vAlign w:val="top"/>
          </w:tcPr>
          <w:p w14:paraId="2ABF3F41">
            <w:pPr>
              <w:spacing w:line="245" w:lineRule="auto"/>
              <w:rPr>
                <w:rFonts w:ascii="Arial"/>
                <w:sz w:val="21"/>
              </w:rPr>
            </w:pPr>
          </w:p>
          <w:p w14:paraId="2C493C2B">
            <w:pPr>
              <w:pStyle w:val="6"/>
              <w:spacing w:before="71" w:line="219" w:lineRule="auto"/>
              <w:ind w:left="123"/>
              <w:rPr>
                <w:sz w:val="22"/>
                <w:szCs w:val="22"/>
              </w:rPr>
            </w:pPr>
            <w:r>
              <w:rPr>
                <w:spacing w:val="-1"/>
                <w:sz w:val="22"/>
                <w:szCs w:val="22"/>
              </w:rPr>
              <w:t>本项目所在位置不属于工业园区</w:t>
            </w:r>
          </w:p>
        </w:tc>
        <w:tc>
          <w:tcPr>
            <w:tcW w:w="820" w:type="dxa"/>
            <w:vAlign w:val="top"/>
          </w:tcPr>
          <w:p w14:paraId="39FFAE82">
            <w:pPr>
              <w:spacing w:line="245" w:lineRule="auto"/>
              <w:rPr>
                <w:rFonts w:ascii="Arial"/>
                <w:sz w:val="21"/>
              </w:rPr>
            </w:pPr>
          </w:p>
          <w:p w14:paraId="5749255D">
            <w:pPr>
              <w:pStyle w:val="6"/>
              <w:spacing w:before="71" w:line="220" w:lineRule="auto"/>
              <w:ind w:left="202"/>
              <w:rPr>
                <w:sz w:val="22"/>
                <w:szCs w:val="22"/>
              </w:rPr>
            </w:pPr>
            <w:r>
              <w:rPr>
                <w:spacing w:val="-5"/>
                <w:sz w:val="22"/>
                <w:szCs w:val="22"/>
              </w:rPr>
              <w:t>符合</w:t>
            </w:r>
          </w:p>
        </w:tc>
        <w:tc>
          <w:tcPr>
            <w:tcW w:w="113" w:type="dxa"/>
            <w:tcBorders>
              <w:top w:val="nil"/>
              <w:bottom w:val="nil"/>
            </w:tcBorders>
            <w:vAlign w:val="top"/>
          </w:tcPr>
          <w:p w14:paraId="625A0DEA">
            <w:pPr>
              <w:rPr>
                <w:rFonts w:ascii="Arial"/>
                <w:sz w:val="21"/>
              </w:rPr>
            </w:pPr>
          </w:p>
        </w:tc>
      </w:tr>
      <w:tr w14:paraId="6393E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3" w:hRule="atLeast"/>
        </w:trPr>
        <w:tc>
          <w:tcPr>
            <w:tcW w:w="982" w:type="dxa"/>
            <w:vMerge w:val="continue"/>
            <w:tcBorders>
              <w:top w:val="nil"/>
            </w:tcBorders>
            <w:vAlign w:val="top"/>
          </w:tcPr>
          <w:p w14:paraId="4EE57D06">
            <w:pPr>
              <w:rPr>
                <w:rFonts w:ascii="Arial"/>
                <w:sz w:val="21"/>
              </w:rPr>
            </w:pPr>
          </w:p>
        </w:tc>
        <w:tc>
          <w:tcPr>
            <w:tcW w:w="849" w:type="dxa"/>
            <w:vMerge w:val="continue"/>
            <w:tcBorders>
              <w:top w:val="nil"/>
            </w:tcBorders>
            <w:vAlign w:val="top"/>
          </w:tcPr>
          <w:p w14:paraId="6DEA4282">
            <w:pPr>
              <w:rPr>
                <w:rFonts w:ascii="Arial"/>
                <w:sz w:val="21"/>
              </w:rPr>
            </w:pPr>
          </w:p>
        </w:tc>
        <w:tc>
          <w:tcPr>
            <w:tcW w:w="7586" w:type="dxa"/>
            <w:vAlign w:val="top"/>
          </w:tcPr>
          <w:p w14:paraId="27734A76">
            <w:pPr>
              <w:pStyle w:val="6"/>
              <w:spacing w:before="36" w:line="220" w:lineRule="auto"/>
              <w:ind w:left="129"/>
              <w:rPr>
                <w:sz w:val="22"/>
                <w:szCs w:val="22"/>
              </w:rPr>
            </w:pPr>
            <w:r>
              <w:rPr>
                <w:rFonts w:ascii="Times New Roman" w:hAnsi="Times New Roman" w:eastAsia="Times New Roman" w:cs="Times New Roman"/>
                <w:spacing w:val="-4"/>
                <w:sz w:val="22"/>
                <w:szCs w:val="22"/>
              </w:rPr>
              <w:t>12</w:t>
            </w:r>
            <w:r>
              <w:rPr>
                <w:spacing w:val="-4"/>
                <w:sz w:val="22"/>
                <w:szCs w:val="22"/>
              </w:rPr>
              <w:t>、推进乡镇生活污水处理设施达标改造。新建城市生活污水处理厂全部按照</w:t>
            </w:r>
          </w:p>
          <w:p w14:paraId="447532FE">
            <w:pPr>
              <w:pStyle w:val="6"/>
              <w:spacing w:before="23" w:line="220" w:lineRule="auto"/>
              <w:ind w:left="149"/>
              <w:rPr>
                <w:sz w:val="22"/>
                <w:szCs w:val="22"/>
              </w:rPr>
            </w:pPr>
            <w:r>
              <w:rPr>
                <w:sz w:val="22"/>
                <w:szCs w:val="22"/>
              </w:rPr>
              <w:t>一级</w:t>
            </w:r>
            <w:r>
              <w:rPr>
                <w:spacing w:val="-56"/>
                <w:sz w:val="22"/>
                <w:szCs w:val="22"/>
              </w:rPr>
              <w:t xml:space="preserve"> </w:t>
            </w:r>
            <w:r>
              <w:rPr>
                <w:rFonts w:ascii="Times New Roman" w:hAnsi="Times New Roman" w:eastAsia="Times New Roman" w:cs="Times New Roman"/>
                <w:sz w:val="22"/>
                <w:szCs w:val="22"/>
              </w:rPr>
              <w:t xml:space="preserve">A </w:t>
            </w:r>
            <w:r>
              <w:rPr>
                <w:sz w:val="22"/>
                <w:szCs w:val="22"/>
              </w:rPr>
              <w:t>标及以上排放标准设计、施工、验收，建</w:t>
            </w:r>
            <w:r>
              <w:rPr>
                <w:spacing w:val="-1"/>
                <w:sz w:val="22"/>
                <w:szCs w:val="22"/>
              </w:rPr>
              <w:t>制乡镇生活污水处理设施出</w:t>
            </w:r>
          </w:p>
          <w:p w14:paraId="0B710F42">
            <w:pPr>
              <w:pStyle w:val="6"/>
              <w:spacing w:before="21" w:line="220" w:lineRule="auto"/>
              <w:ind w:left="153"/>
              <w:rPr>
                <w:sz w:val="22"/>
                <w:szCs w:val="22"/>
              </w:rPr>
            </w:pPr>
            <w:r>
              <w:rPr>
                <w:sz w:val="22"/>
                <w:szCs w:val="22"/>
              </w:rPr>
              <w:t>水水质不得低于一级</w:t>
            </w:r>
            <w:r>
              <w:rPr>
                <w:spacing w:val="-51"/>
                <w:sz w:val="22"/>
                <w:szCs w:val="22"/>
              </w:rPr>
              <w:t xml:space="preserve"> </w:t>
            </w:r>
            <w:r>
              <w:rPr>
                <w:rFonts w:ascii="Times New Roman" w:hAnsi="Times New Roman" w:eastAsia="Times New Roman" w:cs="Times New Roman"/>
                <w:sz w:val="22"/>
                <w:szCs w:val="22"/>
              </w:rPr>
              <w:t xml:space="preserve">B </w:t>
            </w:r>
            <w:r>
              <w:rPr>
                <w:sz w:val="22"/>
                <w:szCs w:val="22"/>
              </w:rPr>
              <w:t>标排放标准；对现</w:t>
            </w:r>
            <w:r>
              <w:rPr>
                <w:spacing w:val="-1"/>
                <w:sz w:val="22"/>
                <w:szCs w:val="22"/>
              </w:rPr>
              <w:t>有截留制排水管网实施雨污分流改</w:t>
            </w:r>
          </w:p>
          <w:p w14:paraId="3A6F74DC">
            <w:pPr>
              <w:pStyle w:val="6"/>
              <w:spacing w:before="23" w:line="220" w:lineRule="auto"/>
              <w:ind w:left="111"/>
              <w:rPr>
                <w:sz w:val="22"/>
                <w:szCs w:val="22"/>
              </w:rPr>
            </w:pPr>
            <w:r>
              <w:rPr>
                <w:spacing w:val="-3"/>
                <w:sz w:val="22"/>
                <w:szCs w:val="22"/>
              </w:rPr>
              <w:t>造，针对无法彻底雨污分流的老城区，尊重现实</w:t>
            </w:r>
            <w:r>
              <w:rPr>
                <w:spacing w:val="-4"/>
                <w:sz w:val="22"/>
                <w:szCs w:val="22"/>
              </w:rPr>
              <w:t>合理保留截留制区域，合理提</w:t>
            </w:r>
          </w:p>
          <w:p w14:paraId="18707DFC">
            <w:pPr>
              <w:pStyle w:val="6"/>
              <w:spacing w:before="22" w:line="216" w:lineRule="auto"/>
              <w:ind w:left="615"/>
              <w:rPr>
                <w:sz w:val="22"/>
                <w:szCs w:val="22"/>
              </w:rPr>
            </w:pPr>
            <w:r>
              <w:rPr>
                <w:spacing w:val="-1"/>
                <w:sz w:val="22"/>
                <w:szCs w:val="22"/>
              </w:rPr>
              <w:t>高截留倍数；对新建的排水管网，全部按照雨污分流模式实施建设</w:t>
            </w:r>
          </w:p>
        </w:tc>
        <w:tc>
          <w:tcPr>
            <w:tcW w:w="3306" w:type="dxa"/>
            <w:vAlign w:val="top"/>
          </w:tcPr>
          <w:p w14:paraId="280EE5EF">
            <w:pPr>
              <w:pStyle w:val="6"/>
              <w:spacing w:before="36" w:line="219" w:lineRule="auto"/>
              <w:ind w:left="123"/>
              <w:rPr>
                <w:sz w:val="22"/>
                <w:szCs w:val="22"/>
              </w:rPr>
            </w:pPr>
            <w:r>
              <w:rPr>
                <w:spacing w:val="-1"/>
                <w:sz w:val="22"/>
                <w:szCs w:val="22"/>
              </w:rPr>
              <w:t>本项目污废水纳入大九污水处理</w:t>
            </w:r>
          </w:p>
          <w:p w14:paraId="0C41E57F">
            <w:pPr>
              <w:pStyle w:val="6"/>
              <w:spacing w:before="24" w:line="220" w:lineRule="auto"/>
              <w:ind w:left="125"/>
              <w:rPr>
                <w:sz w:val="22"/>
                <w:szCs w:val="22"/>
              </w:rPr>
            </w:pPr>
            <w:r>
              <w:rPr>
                <w:spacing w:val="-1"/>
                <w:sz w:val="22"/>
                <w:szCs w:val="22"/>
              </w:rPr>
              <w:t>厂收纳范围内，大九污水处理厂</w:t>
            </w:r>
          </w:p>
          <w:p w14:paraId="3FEE73E0">
            <w:pPr>
              <w:pStyle w:val="6"/>
              <w:spacing w:before="21" w:line="220" w:lineRule="auto"/>
              <w:ind w:left="141"/>
              <w:rPr>
                <w:sz w:val="22"/>
                <w:szCs w:val="22"/>
              </w:rPr>
            </w:pPr>
            <w:r>
              <w:rPr>
                <w:spacing w:val="-2"/>
                <w:sz w:val="22"/>
                <w:szCs w:val="22"/>
              </w:rPr>
              <w:t>出水标准执行《城镇污水处理厂</w:t>
            </w:r>
          </w:p>
          <w:p w14:paraId="74FE162C">
            <w:pPr>
              <w:pStyle w:val="6"/>
              <w:spacing w:before="23" w:line="221" w:lineRule="auto"/>
              <w:ind w:left="784"/>
              <w:rPr>
                <w:sz w:val="22"/>
                <w:szCs w:val="22"/>
              </w:rPr>
            </w:pPr>
            <w:r>
              <w:rPr>
                <w:spacing w:val="-2"/>
                <w:sz w:val="22"/>
                <w:szCs w:val="22"/>
              </w:rPr>
              <w:t>污染物排放标准》</w:t>
            </w:r>
          </w:p>
          <w:p w14:paraId="456DCBF0">
            <w:pPr>
              <w:pStyle w:val="6"/>
              <w:spacing w:before="21" w:line="216" w:lineRule="auto"/>
              <w:ind w:left="121"/>
              <w:rPr>
                <w:sz w:val="22"/>
                <w:szCs w:val="22"/>
              </w:rPr>
            </w:pPr>
            <w:r>
              <w:rPr>
                <w:spacing w:val="-5"/>
                <w:sz w:val="22"/>
                <w:szCs w:val="22"/>
              </w:rPr>
              <w:t>（</w:t>
            </w:r>
            <w:r>
              <w:rPr>
                <w:rFonts w:ascii="Times New Roman" w:hAnsi="Times New Roman" w:eastAsia="Times New Roman" w:cs="Times New Roman"/>
                <w:spacing w:val="-5"/>
                <w:sz w:val="22"/>
                <w:szCs w:val="22"/>
              </w:rPr>
              <w:t>GB18918-2002</w:t>
            </w:r>
            <w:r>
              <w:rPr>
                <w:spacing w:val="-5"/>
                <w:sz w:val="22"/>
                <w:szCs w:val="22"/>
              </w:rPr>
              <w:t>）中一级</w:t>
            </w:r>
            <w:r>
              <w:rPr>
                <w:spacing w:val="-51"/>
                <w:sz w:val="22"/>
                <w:szCs w:val="22"/>
              </w:rPr>
              <w:t xml:space="preserve"> </w:t>
            </w:r>
            <w:r>
              <w:rPr>
                <w:rFonts w:ascii="Times New Roman" w:hAnsi="Times New Roman" w:eastAsia="Times New Roman" w:cs="Times New Roman"/>
                <w:spacing w:val="-5"/>
                <w:sz w:val="22"/>
                <w:szCs w:val="22"/>
              </w:rPr>
              <w:t xml:space="preserve">A </w:t>
            </w:r>
            <w:r>
              <w:rPr>
                <w:spacing w:val="-5"/>
                <w:sz w:val="22"/>
                <w:szCs w:val="22"/>
              </w:rPr>
              <w:t>标准</w:t>
            </w:r>
          </w:p>
        </w:tc>
        <w:tc>
          <w:tcPr>
            <w:tcW w:w="820" w:type="dxa"/>
            <w:vAlign w:val="top"/>
          </w:tcPr>
          <w:p w14:paraId="70DA51E4">
            <w:pPr>
              <w:spacing w:line="265" w:lineRule="auto"/>
              <w:rPr>
                <w:rFonts w:ascii="Arial"/>
                <w:sz w:val="21"/>
              </w:rPr>
            </w:pPr>
          </w:p>
          <w:p w14:paraId="5B32FDC1">
            <w:pPr>
              <w:spacing w:line="265" w:lineRule="auto"/>
              <w:rPr>
                <w:rFonts w:ascii="Arial"/>
                <w:sz w:val="21"/>
              </w:rPr>
            </w:pPr>
          </w:p>
          <w:p w14:paraId="68EC49BC">
            <w:pPr>
              <w:pStyle w:val="6"/>
              <w:spacing w:before="71" w:line="220" w:lineRule="auto"/>
              <w:ind w:left="202"/>
              <w:rPr>
                <w:sz w:val="22"/>
                <w:szCs w:val="22"/>
              </w:rPr>
            </w:pPr>
            <w:r>
              <w:rPr>
                <w:spacing w:val="-5"/>
                <w:sz w:val="22"/>
                <w:szCs w:val="22"/>
              </w:rPr>
              <w:t>符合</w:t>
            </w:r>
          </w:p>
        </w:tc>
        <w:tc>
          <w:tcPr>
            <w:tcW w:w="113" w:type="dxa"/>
            <w:tcBorders>
              <w:top w:val="nil"/>
            </w:tcBorders>
            <w:vAlign w:val="top"/>
          </w:tcPr>
          <w:p w14:paraId="0CC5AA6D">
            <w:pPr>
              <w:rPr>
                <w:rFonts w:ascii="Arial"/>
                <w:sz w:val="21"/>
              </w:rPr>
            </w:pPr>
          </w:p>
        </w:tc>
      </w:tr>
    </w:tbl>
    <w:p w14:paraId="1D4A5A37">
      <w:pPr>
        <w:pStyle w:val="2"/>
        <w:rPr>
          <w:sz w:val="21"/>
        </w:rPr>
      </w:pPr>
    </w:p>
    <w:p w14:paraId="1D8916E6">
      <w:pPr>
        <w:rPr>
          <w:sz w:val="21"/>
          <w:szCs w:val="21"/>
        </w:rPr>
        <w:sectPr>
          <w:footerReference r:id="rId24" w:type="default"/>
          <w:pgSz w:w="16839" w:h="11906"/>
          <w:pgMar w:top="400" w:right="1588" w:bottom="1006" w:left="1588" w:header="0" w:footer="768" w:gutter="0"/>
          <w:cols w:space="720" w:num="1"/>
        </w:sectPr>
      </w:pPr>
    </w:p>
    <w:p w14:paraId="33155BBA">
      <w:pPr>
        <w:spacing w:before="42"/>
      </w:pPr>
    </w:p>
    <w:p w14:paraId="58CEF584">
      <w:pPr>
        <w:spacing w:before="41"/>
      </w:pPr>
    </w:p>
    <w:p w14:paraId="5942D70B">
      <w:pPr>
        <w:spacing w:before="41"/>
      </w:pPr>
    </w:p>
    <w:p w14:paraId="3391F171">
      <w:pPr>
        <w:spacing w:before="41"/>
      </w:pPr>
    </w:p>
    <w:tbl>
      <w:tblPr>
        <w:tblStyle w:val="5"/>
        <w:tblW w:w="13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2"/>
        <w:gridCol w:w="849"/>
        <w:gridCol w:w="7586"/>
        <w:gridCol w:w="3306"/>
        <w:gridCol w:w="820"/>
        <w:gridCol w:w="113"/>
      </w:tblGrid>
      <w:tr w14:paraId="5D025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6" w:hRule="atLeast"/>
        </w:trPr>
        <w:tc>
          <w:tcPr>
            <w:tcW w:w="982" w:type="dxa"/>
            <w:vMerge w:val="restart"/>
            <w:tcBorders>
              <w:bottom w:val="nil"/>
            </w:tcBorders>
            <w:vAlign w:val="top"/>
          </w:tcPr>
          <w:p w14:paraId="158772E9">
            <w:pPr>
              <w:rPr>
                <w:rFonts w:ascii="Arial"/>
                <w:sz w:val="21"/>
              </w:rPr>
            </w:pPr>
          </w:p>
        </w:tc>
        <w:tc>
          <w:tcPr>
            <w:tcW w:w="849" w:type="dxa"/>
            <w:vMerge w:val="restart"/>
            <w:tcBorders>
              <w:bottom w:val="nil"/>
            </w:tcBorders>
            <w:vAlign w:val="top"/>
          </w:tcPr>
          <w:p w14:paraId="380EADEB">
            <w:pPr>
              <w:rPr>
                <w:rFonts w:ascii="Arial"/>
                <w:sz w:val="21"/>
              </w:rPr>
            </w:pPr>
          </w:p>
        </w:tc>
        <w:tc>
          <w:tcPr>
            <w:tcW w:w="7586" w:type="dxa"/>
            <w:vAlign w:val="top"/>
          </w:tcPr>
          <w:p w14:paraId="74E13BB2">
            <w:pPr>
              <w:pStyle w:val="6"/>
              <w:spacing w:before="46" w:line="219" w:lineRule="auto"/>
              <w:ind w:left="129"/>
              <w:rPr>
                <w:sz w:val="22"/>
                <w:szCs w:val="22"/>
              </w:rPr>
            </w:pPr>
            <w:r>
              <w:rPr>
                <w:rFonts w:ascii="Times New Roman" w:hAnsi="Times New Roman" w:eastAsia="Times New Roman" w:cs="Times New Roman"/>
                <w:spacing w:val="-4"/>
                <w:sz w:val="22"/>
                <w:szCs w:val="22"/>
              </w:rPr>
              <w:t>13</w:t>
            </w:r>
            <w:r>
              <w:rPr>
                <w:rFonts w:ascii="Times New Roman" w:hAnsi="Times New Roman" w:eastAsia="Times New Roman" w:cs="Times New Roman"/>
                <w:spacing w:val="-31"/>
                <w:sz w:val="22"/>
                <w:szCs w:val="22"/>
              </w:rPr>
              <w:t xml:space="preserve"> </w:t>
            </w:r>
            <w:r>
              <w:rPr>
                <w:spacing w:val="-4"/>
                <w:sz w:val="22"/>
                <w:szCs w:val="22"/>
              </w:rPr>
              <w:t>、新、改、扩建重点行业〔重有色金属矿采选业（铜、</w:t>
            </w:r>
            <w:r>
              <w:rPr>
                <w:spacing w:val="-5"/>
                <w:sz w:val="22"/>
                <w:szCs w:val="22"/>
              </w:rPr>
              <w:t>铅锌、镍钴、锡、锑</w:t>
            </w:r>
          </w:p>
          <w:p w14:paraId="1AFCCE3C">
            <w:pPr>
              <w:pStyle w:val="6"/>
              <w:spacing w:before="24" w:line="219" w:lineRule="auto"/>
              <w:ind w:left="113"/>
              <w:rPr>
                <w:sz w:val="22"/>
                <w:szCs w:val="22"/>
              </w:rPr>
            </w:pPr>
            <w:r>
              <w:rPr>
                <w:spacing w:val="-3"/>
                <w:sz w:val="22"/>
                <w:szCs w:val="22"/>
              </w:rPr>
              <w:t>和汞矿采选）、重有色金属冶炼业（铜、铅锌、镍钴、锡、锑和</w:t>
            </w:r>
            <w:r>
              <w:rPr>
                <w:spacing w:val="-4"/>
                <w:sz w:val="22"/>
                <w:szCs w:val="22"/>
              </w:rPr>
              <w:t>汞冶炼）、铅</w:t>
            </w:r>
          </w:p>
          <w:p w14:paraId="1FCDF5D3">
            <w:pPr>
              <w:pStyle w:val="6"/>
              <w:spacing w:before="24" w:line="220" w:lineRule="auto"/>
              <w:ind w:left="121"/>
              <w:rPr>
                <w:sz w:val="22"/>
                <w:szCs w:val="22"/>
              </w:rPr>
            </w:pPr>
            <w:r>
              <w:rPr>
                <w:spacing w:val="-4"/>
                <w:sz w:val="22"/>
                <w:szCs w:val="22"/>
              </w:rPr>
              <w:t>蓄电池制造业、皮革鞣制加工业、化学原料及化学制品制造业（电石法聚氯乙</w:t>
            </w:r>
          </w:p>
          <w:p w14:paraId="42C26009">
            <w:pPr>
              <w:pStyle w:val="6"/>
              <w:spacing w:before="23" w:line="219" w:lineRule="auto"/>
              <w:jc w:val="right"/>
              <w:rPr>
                <w:sz w:val="22"/>
                <w:szCs w:val="22"/>
              </w:rPr>
            </w:pPr>
            <w:r>
              <w:rPr>
                <w:spacing w:val="-1"/>
                <w:sz w:val="22"/>
                <w:szCs w:val="22"/>
              </w:rPr>
              <w:t>烯制造、铬盐制造、以工业固废为原料的锌无机</w:t>
            </w:r>
            <w:r>
              <w:rPr>
                <w:spacing w:val="-2"/>
                <w:sz w:val="22"/>
                <w:szCs w:val="22"/>
              </w:rPr>
              <w:t>化合物工业等）、电镀行业〕</w:t>
            </w:r>
          </w:p>
          <w:p w14:paraId="30A704B6">
            <w:pPr>
              <w:pStyle w:val="6"/>
              <w:spacing w:before="25" w:line="207" w:lineRule="auto"/>
              <w:ind w:left="1723"/>
              <w:rPr>
                <w:sz w:val="22"/>
                <w:szCs w:val="22"/>
              </w:rPr>
            </w:pPr>
            <w:r>
              <w:rPr>
                <w:spacing w:val="-1"/>
                <w:sz w:val="22"/>
                <w:szCs w:val="22"/>
              </w:rPr>
              <w:t>重点重金属污染物排放执行</w:t>
            </w:r>
            <w:r>
              <w:rPr>
                <w:rFonts w:ascii="Times New Roman" w:hAnsi="Times New Roman" w:eastAsia="Times New Roman" w:cs="Times New Roman"/>
                <w:spacing w:val="-1"/>
                <w:sz w:val="22"/>
                <w:szCs w:val="22"/>
              </w:rPr>
              <w:t>“</w:t>
            </w:r>
            <w:r>
              <w:rPr>
                <w:spacing w:val="-1"/>
                <w:sz w:val="22"/>
                <w:szCs w:val="22"/>
              </w:rPr>
              <w:t>等量替代</w:t>
            </w:r>
            <w:r>
              <w:rPr>
                <w:rFonts w:ascii="Times New Roman" w:hAnsi="Times New Roman" w:eastAsia="Times New Roman" w:cs="Times New Roman"/>
                <w:spacing w:val="-1"/>
                <w:sz w:val="22"/>
                <w:szCs w:val="22"/>
              </w:rPr>
              <w:t>”</w:t>
            </w:r>
            <w:r>
              <w:rPr>
                <w:spacing w:val="-1"/>
                <w:sz w:val="22"/>
                <w:szCs w:val="22"/>
              </w:rPr>
              <w:t>原则</w:t>
            </w:r>
          </w:p>
        </w:tc>
        <w:tc>
          <w:tcPr>
            <w:tcW w:w="3306" w:type="dxa"/>
            <w:vAlign w:val="top"/>
          </w:tcPr>
          <w:p w14:paraId="179E5AF2">
            <w:pPr>
              <w:spacing w:line="271" w:lineRule="auto"/>
              <w:rPr>
                <w:rFonts w:ascii="Arial"/>
                <w:sz w:val="21"/>
              </w:rPr>
            </w:pPr>
          </w:p>
          <w:p w14:paraId="24345BFC">
            <w:pPr>
              <w:spacing w:line="272" w:lineRule="auto"/>
              <w:rPr>
                <w:rFonts w:ascii="Arial"/>
                <w:sz w:val="21"/>
              </w:rPr>
            </w:pPr>
          </w:p>
          <w:p w14:paraId="030B8001">
            <w:pPr>
              <w:pStyle w:val="6"/>
              <w:spacing w:before="71" w:line="219" w:lineRule="auto"/>
              <w:ind w:left="1001"/>
              <w:rPr>
                <w:sz w:val="22"/>
                <w:szCs w:val="22"/>
              </w:rPr>
            </w:pPr>
            <w:r>
              <w:rPr>
                <w:spacing w:val="-2"/>
                <w:sz w:val="22"/>
                <w:szCs w:val="22"/>
              </w:rPr>
              <w:t>本项目不涉及</w:t>
            </w:r>
          </w:p>
        </w:tc>
        <w:tc>
          <w:tcPr>
            <w:tcW w:w="820" w:type="dxa"/>
            <w:vAlign w:val="top"/>
          </w:tcPr>
          <w:p w14:paraId="54F4D44F">
            <w:pPr>
              <w:spacing w:line="271" w:lineRule="auto"/>
              <w:rPr>
                <w:rFonts w:ascii="Arial"/>
                <w:sz w:val="21"/>
              </w:rPr>
            </w:pPr>
          </w:p>
          <w:p w14:paraId="4B27AFB8">
            <w:pPr>
              <w:spacing w:line="271" w:lineRule="auto"/>
              <w:rPr>
                <w:rFonts w:ascii="Arial"/>
                <w:sz w:val="21"/>
              </w:rPr>
            </w:pPr>
          </w:p>
          <w:p w14:paraId="22B86036">
            <w:pPr>
              <w:pStyle w:val="6"/>
              <w:spacing w:before="72" w:line="220" w:lineRule="auto"/>
              <w:ind w:left="202"/>
              <w:rPr>
                <w:sz w:val="22"/>
                <w:szCs w:val="22"/>
              </w:rPr>
            </w:pPr>
            <w:r>
              <w:rPr>
                <w:spacing w:val="-5"/>
                <w:sz w:val="22"/>
                <w:szCs w:val="22"/>
              </w:rPr>
              <w:t>符合</w:t>
            </w:r>
          </w:p>
        </w:tc>
        <w:tc>
          <w:tcPr>
            <w:tcW w:w="113" w:type="dxa"/>
            <w:tcBorders>
              <w:bottom w:val="nil"/>
            </w:tcBorders>
            <w:vAlign w:val="top"/>
          </w:tcPr>
          <w:p w14:paraId="18F3B8B3">
            <w:pPr>
              <w:rPr>
                <w:rFonts w:ascii="Arial"/>
                <w:sz w:val="21"/>
              </w:rPr>
            </w:pPr>
          </w:p>
        </w:tc>
      </w:tr>
      <w:tr w14:paraId="18344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982" w:type="dxa"/>
            <w:vMerge w:val="continue"/>
            <w:tcBorders>
              <w:top w:val="nil"/>
              <w:bottom w:val="nil"/>
            </w:tcBorders>
            <w:vAlign w:val="top"/>
          </w:tcPr>
          <w:p w14:paraId="6E808CAB">
            <w:pPr>
              <w:rPr>
                <w:rFonts w:ascii="Arial"/>
                <w:sz w:val="21"/>
              </w:rPr>
            </w:pPr>
          </w:p>
        </w:tc>
        <w:tc>
          <w:tcPr>
            <w:tcW w:w="849" w:type="dxa"/>
            <w:vMerge w:val="continue"/>
            <w:tcBorders>
              <w:top w:val="nil"/>
              <w:bottom w:val="nil"/>
            </w:tcBorders>
            <w:vAlign w:val="top"/>
          </w:tcPr>
          <w:p w14:paraId="65255A9D">
            <w:pPr>
              <w:rPr>
                <w:rFonts w:ascii="Arial"/>
                <w:sz w:val="21"/>
              </w:rPr>
            </w:pPr>
          </w:p>
        </w:tc>
        <w:tc>
          <w:tcPr>
            <w:tcW w:w="7586" w:type="dxa"/>
            <w:vAlign w:val="top"/>
          </w:tcPr>
          <w:p w14:paraId="45BAD316">
            <w:pPr>
              <w:pStyle w:val="6"/>
              <w:spacing w:before="33" w:line="220" w:lineRule="auto"/>
              <w:ind w:left="129"/>
              <w:rPr>
                <w:sz w:val="22"/>
                <w:szCs w:val="22"/>
              </w:rPr>
            </w:pPr>
            <w:r>
              <w:rPr>
                <w:rFonts w:ascii="Times New Roman" w:hAnsi="Times New Roman" w:eastAsia="Times New Roman" w:cs="Times New Roman"/>
                <w:spacing w:val="-4"/>
                <w:sz w:val="22"/>
                <w:szCs w:val="22"/>
              </w:rPr>
              <w:t>14</w:t>
            </w:r>
            <w:r>
              <w:rPr>
                <w:rFonts w:ascii="Times New Roman" w:hAnsi="Times New Roman" w:eastAsia="Times New Roman" w:cs="Times New Roman"/>
                <w:spacing w:val="-31"/>
                <w:sz w:val="22"/>
                <w:szCs w:val="22"/>
              </w:rPr>
              <w:t xml:space="preserve"> </w:t>
            </w:r>
            <w:r>
              <w:rPr>
                <w:spacing w:val="-4"/>
                <w:sz w:val="22"/>
                <w:szCs w:val="22"/>
              </w:rPr>
              <w:t>、固体废物污染环境防治坚持减量化、</w:t>
            </w:r>
            <w:r>
              <w:rPr>
                <w:spacing w:val="-5"/>
                <w:sz w:val="22"/>
                <w:szCs w:val="22"/>
              </w:rPr>
              <w:t>资源化和无害化的原则。产生工业固</w:t>
            </w:r>
          </w:p>
          <w:p w14:paraId="588A2709">
            <w:pPr>
              <w:pStyle w:val="6"/>
              <w:spacing w:before="21" w:line="220" w:lineRule="auto"/>
              <w:ind w:left="112"/>
              <w:rPr>
                <w:sz w:val="22"/>
                <w:szCs w:val="22"/>
              </w:rPr>
            </w:pPr>
            <w:r>
              <w:rPr>
                <w:spacing w:val="-3"/>
                <w:sz w:val="22"/>
                <w:szCs w:val="22"/>
              </w:rPr>
              <w:t>体废物的单位应当建立健全工业固体废物产生、收集、贮存、运输、利</w:t>
            </w:r>
            <w:r>
              <w:rPr>
                <w:spacing w:val="-4"/>
                <w:sz w:val="22"/>
                <w:szCs w:val="22"/>
              </w:rPr>
              <w:t>用、处</w:t>
            </w:r>
          </w:p>
          <w:p w14:paraId="5155B620">
            <w:pPr>
              <w:pStyle w:val="6"/>
              <w:spacing w:before="23" w:line="208" w:lineRule="auto"/>
              <w:ind w:left="717"/>
              <w:rPr>
                <w:sz w:val="22"/>
                <w:szCs w:val="22"/>
              </w:rPr>
            </w:pPr>
            <w:r>
              <w:rPr>
                <w:sz w:val="22"/>
                <w:szCs w:val="22"/>
              </w:rPr>
              <w:t>置全过程的污染环境防治责任制度，建立工业固</w:t>
            </w:r>
            <w:r>
              <w:rPr>
                <w:spacing w:val="-1"/>
                <w:sz w:val="22"/>
                <w:szCs w:val="22"/>
              </w:rPr>
              <w:t>体废物管理台账</w:t>
            </w:r>
          </w:p>
        </w:tc>
        <w:tc>
          <w:tcPr>
            <w:tcW w:w="3306" w:type="dxa"/>
            <w:vAlign w:val="top"/>
          </w:tcPr>
          <w:p w14:paraId="032FD039">
            <w:pPr>
              <w:pStyle w:val="6"/>
              <w:spacing w:before="33" w:line="219" w:lineRule="auto"/>
              <w:ind w:left="123"/>
              <w:rPr>
                <w:sz w:val="22"/>
                <w:szCs w:val="22"/>
              </w:rPr>
            </w:pPr>
            <w:r>
              <w:rPr>
                <w:spacing w:val="-1"/>
                <w:sz w:val="22"/>
                <w:szCs w:val="22"/>
              </w:rPr>
              <w:t>本项目为成品油销售项目，设置</w:t>
            </w:r>
          </w:p>
          <w:p w14:paraId="13EE312B">
            <w:pPr>
              <w:pStyle w:val="6"/>
              <w:spacing w:before="21" w:line="220" w:lineRule="auto"/>
              <w:ind w:left="125"/>
              <w:rPr>
                <w:sz w:val="22"/>
                <w:szCs w:val="22"/>
              </w:rPr>
            </w:pPr>
            <w:r>
              <w:rPr>
                <w:spacing w:val="-1"/>
                <w:sz w:val="22"/>
                <w:szCs w:val="22"/>
              </w:rPr>
              <w:t>危废贮存点并建立废物污染环境</w:t>
            </w:r>
          </w:p>
          <w:p w14:paraId="03E17789">
            <w:pPr>
              <w:pStyle w:val="6"/>
              <w:spacing w:before="23" w:line="208" w:lineRule="auto"/>
              <w:ind w:left="465"/>
              <w:rPr>
                <w:sz w:val="22"/>
                <w:szCs w:val="22"/>
              </w:rPr>
            </w:pPr>
            <w:r>
              <w:rPr>
                <w:spacing w:val="-2"/>
                <w:sz w:val="22"/>
                <w:szCs w:val="22"/>
              </w:rPr>
              <w:t>防治责任制度及管理台账</w:t>
            </w:r>
          </w:p>
        </w:tc>
        <w:tc>
          <w:tcPr>
            <w:tcW w:w="820" w:type="dxa"/>
            <w:vAlign w:val="top"/>
          </w:tcPr>
          <w:p w14:paraId="76D144E2">
            <w:pPr>
              <w:spacing w:line="243" w:lineRule="auto"/>
              <w:rPr>
                <w:rFonts w:ascii="Arial"/>
                <w:sz w:val="21"/>
              </w:rPr>
            </w:pPr>
          </w:p>
          <w:p w14:paraId="189EC49B">
            <w:pPr>
              <w:pStyle w:val="6"/>
              <w:spacing w:before="71" w:line="220" w:lineRule="auto"/>
              <w:ind w:left="202"/>
              <w:rPr>
                <w:sz w:val="22"/>
                <w:szCs w:val="22"/>
              </w:rPr>
            </w:pPr>
            <w:r>
              <w:rPr>
                <w:spacing w:val="-5"/>
                <w:sz w:val="22"/>
                <w:szCs w:val="22"/>
              </w:rPr>
              <w:t>符合</w:t>
            </w:r>
          </w:p>
        </w:tc>
        <w:tc>
          <w:tcPr>
            <w:tcW w:w="113" w:type="dxa"/>
            <w:tcBorders>
              <w:top w:val="nil"/>
              <w:bottom w:val="nil"/>
            </w:tcBorders>
            <w:vAlign w:val="top"/>
          </w:tcPr>
          <w:p w14:paraId="59D27C28">
            <w:pPr>
              <w:rPr>
                <w:rFonts w:ascii="Arial"/>
                <w:sz w:val="21"/>
              </w:rPr>
            </w:pPr>
          </w:p>
        </w:tc>
      </w:tr>
      <w:tr w14:paraId="4701D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982" w:type="dxa"/>
            <w:vMerge w:val="continue"/>
            <w:tcBorders>
              <w:top w:val="nil"/>
              <w:bottom w:val="nil"/>
            </w:tcBorders>
            <w:vAlign w:val="top"/>
          </w:tcPr>
          <w:p w14:paraId="1E028058">
            <w:pPr>
              <w:rPr>
                <w:rFonts w:ascii="Arial"/>
                <w:sz w:val="21"/>
              </w:rPr>
            </w:pPr>
          </w:p>
        </w:tc>
        <w:tc>
          <w:tcPr>
            <w:tcW w:w="849" w:type="dxa"/>
            <w:vMerge w:val="continue"/>
            <w:tcBorders>
              <w:top w:val="nil"/>
            </w:tcBorders>
            <w:vAlign w:val="top"/>
          </w:tcPr>
          <w:p w14:paraId="6308E171">
            <w:pPr>
              <w:rPr>
                <w:rFonts w:ascii="Arial"/>
                <w:sz w:val="21"/>
              </w:rPr>
            </w:pPr>
          </w:p>
        </w:tc>
        <w:tc>
          <w:tcPr>
            <w:tcW w:w="7586" w:type="dxa"/>
            <w:vAlign w:val="top"/>
          </w:tcPr>
          <w:p w14:paraId="48E19060">
            <w:pPr>
              <w:pStyle w:val="6"/>
              <w:spacing w:before="32" w:line="220" w:lineRule="auto"/>
              <w:ind w:left="129"/>
              <w:rPr>
                <w:sz w:val="22"/>
                <w:szCs w:val="22"/>
              </w:rPr>
            </w:pPr>
            <w:r>
              <w:rPr>
                <w:rFonts w:ascii="Times New Roman" w:hAnsi="Times New Roman" w:eastAsia="Times New Roman" w:cs="Times New Roman"/>
                <w:spacing w:val="-4"/>
                <w:sz w:val="22"/>
                <w:szCs w:val="22"/>
              </w:rPr>
              <w:t>15</w:t>
            </w:r>
            <w:r>
              <w:rPr>
                <w:spacing w:val="-4"/>
                <w:sz w:val="22"/>
                <w:szCs w:val="22"/>
              </w:rPr>
              <w:t>、建设分类投放、分类收集、分类运输、分类处理的生活垃圾处理系统。合</w:t>
            </w:r>
          </w:p>
          <w:p w14:paraId="32C8A6FD">
            <w:pPr>
              <w:pStyle w:val="6"/>
              <w:spacing w:before="23" w:line="219" w:lineRule="auto"/>
              <w:ind w:left="115"/>
              <w:rPr>
                <w:sz w:val="22"/>
                <w:szCs w:val="22"/>
              </w:rPr>
            </w:pPr>
            <w:r>
              <w:rPr>
                <w:spacing w:val="-3"/>
                <w:sz w:val="22"/>
                <w:szCs w:val="22"/>
              </w:rPr>
              <w:t>理布局生活垃圾分类收集站点，完善分类运</w:t>
            </w:r>
            <w:r>
              <w:rPr>
                <w:spacing w:val="-4"/>
                <w:sz w:val="22"/>
                <w:szCs w:val="22"/>
              </w:rPr>
              <w:t>输系统，加快补齐分类收集转运设</w:t>
            </w:r>
          </w:p>
          <w:p w14:paraId="30D8E7B1">
            <w:pPr>
              <w:pStyle w:val="6"/>
              <w:spacing w:before="24" w:line="219" w:lineRule="auto"/>
              <w:ind w:left="111"/>
              <w:rPr>
                <w:rFonts w:ascii="Times New Roman" w:hAnsi="Times New Roman" w:eastAsia="Times New Roman" w:cs="Times New Roman"/>
                <w:sz w:val="22"/>
                <w:szCs w:val="22"/>
              </w:rPr>
            </w:pPr>
            <w:r>
              <w:rPr>
                <w:sz w:val="22"/>
                <w:szCs w:val="22"/>
              </w:rPr>
              <w:t>施能力短板。强化</w:t>
            </w:r>
            <w:r>
              <w:rPr>
                <w:rFonts w:ascii="Times New Roman" w:hAnsi="Times New Roman" w:eastAsia="Times New Roman" w:cs="Times New Roman"/>
                <w:sz w:val="22"/>
                <w:szCs w:val="22"/>
              </w:rPr>
              <w:t>“</w:t>
            </w:r>
            <w:r>
              <w:rPr>
                <w:sz w:val="22"/>
                <w:szCs w:val="22"/>
              </w:rPr>
              <w:t>无废城市</w:t>
            </w:r>
            <w:r>
              <w:rPr>
                <w:rFonts w:ascii="Times New Roman" w:hAnsi="Times New Roman" w:eastAsia="Times New Roman" w:cs="Times New Roman"/>
                <w:sz w:val="22"/>
                <w:szCs w:val="22"/>
              </w:rPr>
              <w:t>”</w:t>
            </w:r>
            <w:r>
              <w:rPr>
                <w:sz w:val="22"/>
                <w:szCs w:val="22"/>
              </w:rPr>
              <w:t>制度、技术、</w:t>
            </w:r>
            <w:r>
              <w:rPr>
                <w:spacing w:val="-1"/>
                <w:sz w:val="22"/>
                <w:szCs w:val="22"/>
              </w:rPr>
              <w:t>市场、监管、全民行动</w:t>
            </w:r>
            <w:r>
              <w:rPr>
                <w:rFonts w:ascii="Times New Roman" w:hAnsi="Times New Roman" w:eastAsia="Times New Roman" w:cs="Times New Roman"/>
                <w:spacing w:val="-1"/>
                <w:sz w:val="22"/>
                <w:szCs w:val="22"/>
              </w:rPr>
              <w:t>“</w:t>
            </w:r>
            <w:r>
              <w:rPr>
                <w:spacing w:val="-1"/>
                <w:sz w:val="22"/>
                <w:szCs w:val="22"/>
              </w:rPr>
              <w:t>五大体系</w:t>
            </w:r>
            <w:r>
              <w:rPr>
                <w:rFonts w:ascii="Times New Roman" w:hAnsi="Times New Roman" w:eastAsia="Times New Roman" w:cs="Times New Roman"/>
                <w:spacing w:val="-1"/>
                <w:sz w:val="22"/>
                <w:szCs w:val="22"/>
              </w:rPr>
              <w:t>”</w:t>
            </w:r>
          </w:p>
          <w:p w14:paraId="32BAEDCA">
            <w:pPr>
              <w:pStyle w:val="6"/>
              <w:spacing w:before="23" w:line="207" w:lineRule="auto"/>
              <w:ind w:left="2042"/>
              <w:rPr>
                <w:sz w:val="22"/>
                <w:szCs w:val="22"/>
              </w:rPr>
            </w:pPr>
            <w:r>
              <w:rPr>
                <w:spacing w:val="-1"/>
                <w:sz w:val="22"/>
                <w:szCs w:val="22"/>
              </w:rPr>
              <w:t>建设，推进城市固体废物精细化管理</w:t>
            </w:r>
          </w:p>
        </w:tc>
        <w:tc>
          <w:tcPr>
            <w:tcW w:w="3306" w:type="dxa"/>
            <w:vAlign w:val="top"/>
          </w:tcPr>
          <w:p w14:paraId="1DD78CB3">
            <w:pPr>
              <w:pStyle w:val="6"/>
              <w:spacing w:before="176" w:line="219" w:lineRule="auto"/>
              <w:ind w:left="123"/>
              <w:rPr>
                <w:sz w:val="22"/>
                <w:szCs w:val="22"/>
              </w:rPr>
            </w:pPr>
            <w:r>
              <w:rPr>
                <w:sz w:val="22"/>
                <w:szCs w:val="22"/>
              </w:rPr>
              <w:t>本项目为生活垃圾分类收集，设</w:t>
            </w:r>
          </w:p>
          <w:p w14:paraId="2A667490">
            <w:pPr>
              <w:pStyle w:val="6"/>
              <w:spacing w:before="21" w:line="220" w:lineRule="auto"/>
              <w:ind w:left="120"/>
              <w:rPr>
                <w:sz w:val="22"/>
                <w:szCs w:val="22"/>
              </w:rPr>
            </w:pPr>
            <w:r>
              <w:rPr>
                <w:spacing w:val="-1"/>
                <w:sz w:val="22"/>
                <w:szCs w:val="22"/>
              </w:rPr>
              <w:t>置危废贮存点，固危废均妥善处</w:t>
            </w:r>
          </w:p>
          <w:p w14:paraId="748C14F4">
            <w:pPr>
              <w:pStyle w:val="6"/>
              <w:spacing w:before="23" w:line="226" w:lineRule="auto"/>
              <w:ind w:left="1548"/>
              <w:rPr>
                <w:sz w:val="22"/>
                <w:szCs w:val="22"/>
              </w:rPr>
            </w:pPr>
            <w:r>
              <w:rPr>
                <w:sz w:val="22"/>
                <w:szCs w:val="22"/>
              </w:rPr>
              <w:t>置</w:t>
            </w:r>
          </w:p>
        </w:tc>
        <w:tc>
          <w:tcPr>
            <w:tcW w:w="820" w:type="dxa"/>
            <w:vAlign w:val="top"/>
          </w:tcPr>
          <w:p w14:paraId="0A0251D0">
            <w:pPr>
              <w:spacing w:line="385" w:lineRule="auto"/>
              <w:rPr>
                <w:rFonts w:ascii="Arial"/>
                <w:sz w:val="21"/>
              </w:rPr>
            </w:pPr>
          </w:p>
          <w:p w14:paraId="14E4C9E6">
            <w:pPr>
              <w:pStyle w:val="6"/>
              <w:spacing w:before="71" w:line="220" w:lineRule="auto"/>
              <w:ind w:left="202"/>
              <w:rPr>
                <w:sz w:val="22"/>
                <w:szCs w:val="22"/>
              </w:rPr>
            </w:pPr>
            <w:r>
              <w:rPr>
                <w:spacing w:val="-5"/>
                <w:sz w:val="22"/>
                <w:szCs w:val="22"/>
              </w:rPr>
              <w:t>符合</w:t>
            </w:r>
          </w:p>
        </w:tc>
        <w:tc>
          <w:tcPr>
            <w:tcW w:w="113" w:type="dxa"/>
            <w:tcBorders>
              <w:top w:val="nil"/>
              <w:bottom w:val="nil"/>
            </w:tcBorders>
            <w:vAlign w:val="top"/>
          </w:tcPr>
          <w:p w14:paraId="53B6BD7A">
            <w:pPr>
              <w:rPr>
                <w:rFonts w:ascii="Arial"/>
                <w:sz w:val="21"/>
              </w:rPr>
            </w:pPr>
          </w:p>
        </w:tc>
      </w:tr>
      <w:tr w14:paraId="5F8C6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982" w:type="dxa"/>
            <w:vMerge w:val="continue"/>
            <w:tcBorders>
              <w:top w:val="nil"/>
              <w:bottom w:val="nil"/>
            </w:tcBorders>
            <w:vAlign w:val="top"/>
          </w:tcPr>
          <w:p w14:paraId="3EF9864E">
            <w:pPr>
              <w:rPr>
                <w:rFonts w:ascii="Arial"/>
                <w:sz w:val="21"/>
              </w:rPr>
            </w:pPr>
          </w:p>
        </w:tc>
        <w:tc>
          <w:tcPr>
            <w:tcW w:w="849" w:type="dxa"/>
            <w:vMerge w:val="restart"/>
            <w:tcBorders>
              <w:bottom w:val="nil"/>
            </w:tcBorders>
            <w:vAlign w:val="top"/>
          </w:tcPr>
          <w:p w14:paraId="5E0C4CDF">
            <w:pPr>
              <w:spacing w:line="267" w:lineRule="auto"/>
              <w:rPr>
                <w:rFonts w:ascii="Arial"/>
                <w:sz w:val="21"/>
              </w:rPr>
            </w:pPr>
          </w:p>
          <w:p w14:paraId="08E706ED">
            <w:pPr>
              <w:spacing w:line="268" w:lineRule="auto"/>
              <w:rPr>
                <w:rFonts w:ascii="Arial"/>
                <w:sz w:val="21"/>
              </w:rPr>
            </w:pPr>
          </w:p>
          <w:p w14:paraId="0939EE49">
            <w:pPr>
              <w:pStyle w:val="6"/>
              <w:spacing w:before="71"/>
              <w:ind w:left="210" w:right="200"/>
              <w:jc w:val="both"/>
              <w:rPr>
                <w:sz w:val="22"/>
                <w:szCs w:val="22"/>
              </w:rPr>
            </w:pPr>
            <w:r>
              <w:rPr>
                <w:spacing w:val="-4"/>
                <w:sz w:val="22"/>
                <w:szCs w:val="22"/>
              </w:rPr>
              <w:t>环境风险管控</w:t>
            </w:r>
          </w:p>
        </w:tc>
        <w:tc>
          <w:tcPr>
            <w:tcW w:w="7586" w:type="dxa"/>
            <w:vAlign w:val="top"/>
          </w:tcPr>
          <w:p w14:paraId="36E80DBB">
            <w:pPr>
              <w:pStyle w:val="6"/>
              <w:spacing w:before="34" w:line="220" w:lineRule="auto"/>
              <w:ind w:left="129"/>
              <w:rPr>
                <w:sz w:val="22"/>
                <w:szCs w:val="22"/>
              </w:rPr>
            </w:pPr>
            <w:r>
              <w:rPr>
                <w:rFonts w:ascii="Times New Roman" w:hAnsi="Times New Roman" w:eastAsia="Times New Roman" w:cs="Times New Roman"/>
                <w:spacing w:val="-4"/>
                <w:sz w:val="22"/>
                <w:szCs w:val="22"/>
              </w:rPr>
              <w:t>16</w:t>
            </w:r>
            <w:r>
              <w:rPr>
                <w:spacing w:val="-4"/>
                <w:sz w:val="22"/>
                <w:szCs w:val="22"/>
              </w:rPr>
              <w:t>、深入开展行政区域、重点流域、重点饮用水源、化工园区等突发环境事件</w:t>
            </w:r>
          </w:p>
          <w:p w14:paraId="2C718363">
            <w:pPr>
              <w:pStyle w:val="6"/>
              <w:spacing w:before="22" w:line="219" w:lineRule="auto"/>
              <w:ind w:left="113"/>
              <w:rPr>
                <w:sz w:val="22"/>
                <w:szCs w:val="22"/>
              </w:rPr>
            </w:pPr>
            <w:r>
              <w:rPr>
                <w:spacing w:val="-3"/>
                <w:sz w:val="22"/>
                <w:szCs w:val="22"/>
              </w:rPr>
              <w:t>风险评估，建立区域突发环境事件风险评估数据信息获取与动态更新</w:t>
            </w:r>
            <w:r>
              <w:rPr>
                <w:spacing w:val="-4"/>
                <w:sz w:val="22"/>
                <w:szCs w:val="22"/>
              </w:rPr>
              <w:t>机制。落</w:t>
            </w:r>
          </w:p>
          <w:p w14:paraId="51B885F9">
            <w:pPr>
              <w:pStyle w:val="6"/>
              <w:spacing w:before="24" w:line="219" w:lineRule="auto"/>
              <w:ind w:left="117"/>
              <w:rPr>
                <w:sz w:val="22"/>
                <w:szCs w:val="22"/>
              </w:rPr>
            </w:pPr>
            <w:r>
              <w:rPr>
                <w:spacing w:val="-3"/>
                <w:sz w:val="22"/>
                <w:szCs w:val="22"/>
              </w:rPr>
              <w:t>实企业突发环境事件风险评估制度，推进突发环境事件</w:t>
            </w:r>
            <w:r>
              <w:rPr>
                <w:spacing w:val="-4"/>
                <w:sz w:val="22"/>
                <w:szCs w:val="22"/>
              </w:rPr>
              <w:t>风险分类分级管理，严</w:t>
            </w:r>
          </w:p>
          <w:p w14:paraId="670386B2">
            <w:pPr>
              <w:pStyle w:val="6"/>
              <w:spacing w:before="22" w:line="207" w:lineRule="auto"/>
              <w:ind w:left="2150"/>
              <w:rPr>
                <w:sz w:val="22"/>
                <w:szCs w:val="22"/>
              </w:rPr>
            </w:pPr>
            <w:r>
              <w:rPr>
                <w:spacing w:val="-1"/>
                <w:sz w:val="22"/>
                <w:szCs w:val="22"/>
              </w:rPr>
              <w:t>格监管重大突发环境事件风险企业</w:t>
            </w:r>
          </w:p>
        </w:tc>
        <w:tc>
          <w:tcPr>
            <w:tcW w:w="3306" w:type="dxa"/>
            <w:vAlign w:val="top"/>
          </w:tcPr>
          <w:p w14:paraId="3C41F56B">
            <w:pPr>
              <w:spacing w:line="387" w:lineRule="auto"/>
              <w:rPr>
                <w:rFonts w:ascii="Arial"/>
                <w:sz w:val="21"/>
              </w:rPr>
            </w:pPr>
          </w:p>
          <w:p w14:paraId="1B0463C7">
            <w:pPr>
              <w:pStyle w:val="6"/>
              <w:spacing w:before="72" w:line="219" w:lineRule="auto"/>
              <w:ind w:left="1001"/>
              <w:rPr>
                <w:sz w:val="22"/>
                <w:szCs w:val="22"/>
              </w:rPr>
            </w:pPr>
            <w:r>
              <w:rPr>
                <w:spacing w:val="-2"/>
                <w:sz w:val="22"/>
                <w:szCs w:val="22"/>
              </w:rPr>
              <w:t>本项目不涉及</w:t>
            </w:r>
          </w:p>
        </w:tc>
        <w:tc>
          <w:tcPr>
            <w:tcW w:w="820" w:type="dxa"/>
            <w:vAlign w:val="top"/>
          </w:tcPr>
          <w:p w14:paraId="48D5E73B">
            <w:pPr>
              <w:spacing w:line="387" w:lineRule="auto"/>
              <w:rPr>
                <w:rFonts w:ascii="Arial"/>
                <w:sz w:val="21"/>
              </w:rPr>
            </w:pPr>
          </w:p>
          <w:p w14:paraId="1129DAFF">
            <w:pPr>
              <w:pStyle w:val="6"/>
              <w:spacing w:before="71" w:line="220" w:lineRule="auto"/>
              <w:ind w:left="202"/>
              <w:rPr>
                <w:sz w:val="22"/>
                <w:szCs w:val="22"/>
              </w:rPr>
            </w:pPr>
            <w:r>
              <w:rPr>
                <w:spacing w:val="-5"/>
                <w:sz w:val="22"/>
                <w:szCs w:val="22"/>
              </w:rPr>
              <w:t>符合</w:t>
            </w:r>
          </w:p>
        </w:tc>
        <w:tc>
          <w:tcPr>
            <w:tcW w:w="113" w:type="dxa"/>
            <w:tcBorders>
              <w:top w:val="nil"/>
              <w:bottom w:val="nil"/>
            </w:tcBorders>
            <w:vAlign w:val="top"/>
          </w:tcPr>
          <w:p w14:paraId="746047D2">
            <w:pPr>
              <w:rPr>
                <w:rFonts w:ascii="Arial"/>
                <w:sz w:val="21"/>
              </w:rPr>
            </w:pPr>
          </w:p>
        </w:tc>
      </w:tr>
      <w:tr w14:paraId="6C87D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982" w:type="dxa"/>
            <w:vMerge w:val="continue"/>
            <w:tcBorders>
              <w:top w:val="nil"/>
              <w:bottom w:val="nil"/>
            </w:tcBorders>
            <w:vAlign w:val="top"/>
          </w:tcPr>
          <w:p w14:paraId="22D792EE">
            <w:pPr>
              <w:rPr>
                <w:rFonts w:ascii="Arial"/>
                <w:sz w:val="21"/>
              </w:rPr>
            </w:pPr>
          </w:p>
        </w:tc>
        <w:tc>
          <w:tcPr>
            <w:tcW w:w="849" w:type="dxa"/>
            <w:vMerge w:val="continue"/>
            <w:tcBorders>
              <w:top w:val="nil"/>
            </w:tcBorders>
            <w:vAlign w:val="top"/>
          </w:tcPr>
          <w:p w14:paraId="060719C2">
            <w:pPr>
              <w:rPr>
                <w:rFonts w:ascii="Arial"/>
                <w:sz w:val="21"/>
              </w:rPr>
            </w:pPr>
          </w:p>
        </w:tc>
        <w:tc>
          <w:tcPr>
            <w:tcW w:w="7586" w:type="dxa"/>
            <w:vAlign w:val="top"/>
          </w:tcPr>
          <w:p w14:paraId="43567D64">
            <w:pPr>
              <w:pStyle w:val="6"/>
              <w:spacing w:before="36" w:line="220" w:lineRule="auto"/>
              <w:ind w:left="129"/>
              <w:rPr>
                <w:sz w:val="22"/>
                <w:szCs w:val="22"/>
              </w:rPr>
            </w:pPr>
            <w:r>
              <w:rPr>
                <w:rFonts w:ascii="Times New Roman" w:hAnsi="Times New Roman" w:eastAsia="Times New Roman" w:cs="Times New Roman"/>
                <w:spacing w:val="-4"/>
                <w:sz w:val="22"/>
                <w:szCs w:val="22"/>
              </w:rPr>
              <w:t>17</w:t>
            </w:r>
            <w:r>
              <w:rPr>
                <w:spacing w:val="-4"/>
                <w:sz w:val="22"/>
                <w:szCs w:val="22"/>
              </w:rPr>
              <w:t>、强化化工园区涉水突发环境事件四级环境风险防范体系建设。持续推进重</w:t>
            </w:r>
          </w:p>
          <w:p w14:paraId="66ADA4F8">
            <w:pPr>
              <w:pStyle w:val="6"/>
              <w:spacing w:before="23" w:line="220" w:lineRule="auto"/>
              <w:ind w:left="123"/>
              <w:rPr>
                <w:sz w:val="22"/>
                <w:szCs w:val="22"/>
              </w:rPr>
            </w:pPr>
            <w:r>
              <w:rPr>
                <w:spacing w:val="-4"/>
                <w:sz w:val="22"/>
                <w:szCs w:val="22"/>
              </w:rPr>
              <w:t>点化工园区（化工集中区）建设有毒有害气体监测预警体系和水质生物毒性预</w:t>
            </w:r>
          </w:p>
          <w:p w14:paraId="3B3AC384">
            <w:pPr>
              <w:pStyle w:val="6"/>
              <w:spacing w:before="22" w:line="205" w:lineRule="auto"/>
              <w:ind w:left="3473"/>
              <w:rPr>
                <w:sz w:val="22"/>
                <w:szCs w:val="22"/>
              </w:rPr>
            </w:pPr>
            <w:r>
              <w:rPr>
                <w:spacing w:val="-4"/>
                <w:sz w:val="22"/>
                <w:szCs w:val="22"/>
              </w:rPr>
              <w:t>警体系</w:t>
            </w:r>
          </w:p>
        </w:tc>
        <w:tc>
          <w:tcPr>
            <w:tcW w:w="3306" w:type="dxa"/>
            <w:vAlign w:val="top"/>
          </w:tcPr>
          <w:p w14:paraId="4B4777AD">
            <w:pPr>
              <w:spacing w:line="246" w:lineRule="auto"/>
              <w:rPr>
                <w:rFonts w:ascii="Arial"/>
                <w:sz w:val="21"/>
              </w:rPr>
            </w:pPr>
          </w:p>
          <w:p w14:paraId="15FD39B7">
            <w:pPr>
              <w:pStyle w:val="6"/>
              <w:spacing w:before="72" w:line="219" w:lineRule="auto"/>
              <w:ind w:left="1001"/>
              <w:rPr>
                <w:sz w:val="22"/>
                <w:szCs w:val="22"/>
              </w:rPr>
            </w:pPr>
            <w:r>
              <w:rPr>
                <w:spacing w:val="-2"/>
                <w:sz w:val="22"/>
                <w:szCs w:val="22"/>
              </w:rPr>
              <w:t>本项目不涉及</w:t>
            </w:r>
          </w:p>
        </w:tc>
        <w:tc>
          <w:tcPr>
            <w:tcW w:w="820" w:type="dxa"/>
            <w:vAlign w:val="top"/>
          </w:tcPr>
          <w:p w14:paraId="64632A11">
            <w:pPr>
              <w:spacing w:line="246" w:lineRule="auto"/>
              <w:rPr>
                <w:rFonts w:ascii="Arial"/>
                <w:sz w:val="21"/>
              </w:rPr>
            </w:pPr>
          </w:p>
          <w:p w14:paraId="272C1B3B">
            <w:pPr>
              <w:pStyle w:val="6"/>
              <w:spacing w:before="71" w:line="220" w:lineRule="auto"/>
              <w:ind w:left="202"/>
              <w:rPr>
                <w:sz w:val="22"/>
                <w:szCs w:val="22"/>
              </w:rPr>
            </w:pPr>
            <w:r>
              <w:rPr>
                <w:spacing w:val="-5"/>
                <w:sz w:val="22"/>
                <w:szCs w:val="22"/>
              </w:rPr>
              <w:t>符合</w:t>
            </w:r>
          </w:p>
        </w:tc>
        <w:tc>
          <w:tcPr>
            <w:tcW w:w="113" w:type="dxa"/>
            <w:tcBorders>
              <w:top w:val="nil"/>
              <w:bottom w:val="nil"/>
            </w:tcBorders>
            <w:vAlign w:val="top"/>
          </w:tcPr>
          <w:p w14:paraId="1CD4A966">
            <w:pPr>
              <w:rPr>
                <w:rFonts w:ascii="Arial"/>
                <w:sz w:val="21"/>
              </w:rPr>
            </w:pPr>
          </w:p>
        </w:tc>
      </w:tr>
      <w:tr w14:paraId="27B59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982" w:type="dxa"/>
            <w:vMerge w:val="continue"/>
            <w:tcBorders>
              <w:top w:val="nil"/>
              <w:bottom w:val="nil"/>
            </w:tcBorders>
            <w:vAlign w:val="top"/>
          </w:tcPr>
          <w:p w14:paraId="4466E403">
            <w:pPr>
              <w:rPr>
                <w:rFonts w:ascii="Arial"/>
                <w:sz w:val="21"/>
              </w:rPr>
            </w:pPr>
          </w:p>
        </w:tc>
        <w:tc>
          <w:tcPr>
            <w:tcW w:w="849" w:type="dxa"/>
            <w:vMerge w:val="restart"/>
            <w:tcBorders>
              <w:bottom w:val="nil"/>
            </w:tcBorders>
            <w:vAlign w:val="top"/>
          </w:tcPr>
          <w:p w14:paraId="5C8EB693">
            <w:pPr>
              <w:spacing w:line="278" w:lineRule="auto"/>
              <w:rPr>
                <w:rFonts w:ascii="Arial"/>
                <w:sz w:val="21"/>
              </w:rPr>
            </w:pPr>
          </w:p>
          <w:p w14:paraId="7575C1C0">
            <w:pPr>
              <w:spacing w:line="278" w:lineRule="auto"/>
              <w:rPr>
                <w:rFonts w:ascii="Arial"/>
                <w:sz w:val="21"/>
              </w:rPr>
            </w:pPr>
          </w:p>
          <w:p w14:paraId="6C24E8E9">
            <w:pPr>
              <w:spacing w:line="278" w:lineRule="auto"/>
              <w:rPr>
                <w:rFonts w:ascii="Arial"/>
                <w:sz w:val="21"/>
              </w:rPr>
            </w:pPr>
          </w:p>
          <w:p w14:paraId="68473A89">
            <w:pPr>
              <w:spacing w:line="278" w:lineRule="auto"/>
              <w:rPr>
                <w:rFonts w:ascii="Arial"/>
                <w:sz w:val="21"/>
              </w:rPr>
            </w:pPr>
          </w:p>
          <w:p w14:paraId="5C1E5D99">
            <w:pPr>
              <w:pStyle w:val="6"/>
              <w:spacing w:before="71" w:line="241" w:lineRule="auto"/>
              <w:ind w:left="211" w:right="200" w:firstLine="8"/>
              <w:jc w:val="both"/>
              <w:rPr>
                <w:sz w:val="22"/>
                <w:szCs w:val="22"/>
              </w:rPr>
            </w:pPr>
            <w:r>
              <w:rPr>
                <w:spacing w:val="-9"/>
                <w:sz w:val="22"/>
                <w:szCs w:val="22"/>
              </w:rPr>
              <w:t>资源</w:t>
            </w:r>
            <w:r>
              <w:rPr>
                <w:spacing w:val="-4"/>
                <w:sz w:val="22"/>
                <w:szCs w:val="22"/>
              </w:rPr>
              <w:t>利用效率</w:t>
            </w:r>
          </w:p>
        </w:tc>
        <w:tc>
          <w:tcPr>
            <w:tcW w:w="7586" w:type="dxa"/>
            <w:vAlign w:val="top"/>
          </w:tcPr>
          <w:p w14:paraId="1A6CDBF7">
            <w:pPr>
              <w:pStyle w:val="6"/>
              <w:spacing w:before="34" w:line="219" w:lineRule="auto"/>
              <w:ind w:left="129"/>
              <w:rPr>
                <w:sz w:val="22"/>
                <w:szCs w:val="22"/>
              </w:rPr>
            </w:pPr>
            <w:r>
              <w:rPr>
                <w:rFonts w:ascii="Times New Roman" w:hAnsi="Times New Roman" w:eastAsia="Times New Roman" w:cs="Times New Roman"/>
                <w:spacing w:val="-4"/>
                <w:sz w:val="22"/>
                <w:szCs w:val="22"/>
              </w:rPr>
              <w:t>18</w:t>
            </w:r>
            <w:r>
              <w:rPr>
                <w:spacing w:val="-4"/>
                <w:sz w:val="22"/>
                <w:szCs w:val="22"/>
              </w:rPr>
              <w:t>、实施能源领域碳达峰碳中和行动，科学有序推动能源生产消费方式绿色低</w:t>
            </w:r>
          </w:p>
          <w:p w14:paraId="1A1B8160">
            <w:pPr>
              <w:pStyle w:val="6"/>
              <w:spacing w:before="24" w:line="219" w:lineRule="auto"/>
              <w:ind w:left="119"/>
              <w:rPr>
                <w:sz w:val="22"/>
                <w:szCs w:val="22"/>
              </w:rPr>
            </w:pPr>
            <w:r>
              <w:rPr>
                <w:sz w:val="22"/>
                <w:szCs w:val="22"/>
              </w:rPr>
              <w:t>碳变革。实施可再生能源替代，减少化石能源消费。加强产</w:t>
            </w:r>
            <w:r>
              <w:rPr>
                <w:spacing w:val="-1"/>
                <w:sz w:val="22"/>
                <w:szCs w:val="22"/>
              </w:rPr>
              <w:t>业布局和能耗</w:t>
            </w:r>
            <w:r>
              <w:rPr>
                <w:rFonts w:ascii="Times New Roman" w:hAnsi="Times New Roman" w:eastAsia="Times New Roman" w:cs="Times New Roman"/>
                <w:spacing w:val="-1"/>
                <w:sz w:val="22"/>
                <w:szCs w:val="22"/>
              </w:rPr>
              <w:t>“</w:t>
            </w:r>
            <w:r>
              <w:rPr>
                <w:spacing w:val="-1"/>
                <w:sz w:val="22"/>
                <w:szCs w:val="22"/>
              </w:rPr>
              <w:t>双</w:t>
            </w:r>
          </w:p>
          <w:p w14:paraId="5C430E56">
            <w:pPr>
              <w:pStyle w:val="6"/>
              <w:spacing w:before="24" w:line="206" w:lineRule="auto"/>
              <w:ind w:left="999"/>
              <w:rPr>
                <w:sz w:val="22"/>
                <w:szCs w:val="22"/>
              </w:rPr>
            </w:pPr>
            <w:r>
              <w:rPr>
                <w:spacing w:val="-1"/>
                <w:sz w:val="22"/>
                <w:szCs w:val="22"/>
              </w:rPr>
              <w:t>控</w:t>
            </w:r>
            <w:r>
              <w:rPr>
                <w:rFonts w:ascii="Times New Roman" w:hAnsi="Times New Roman" w:eastAsia="Times New Roman" w:cs="Times New Roman"/>
                <w:spacing w:val="-1"/>
                <w:sz w:val="22"/>
                <w:szCs w:val="22"/>
              </w:rPr>
              <w:t>”</w:t>
            </w:r>
            <w:r>
              <w:rPr>
                <w:spacing w:val="-1"/>
                <w:sz w:val="22"/>
                <w:szCs w:val="22"/>
              </w:rPr>
              <w:t>政策衔接，促进重点用能领域用能结构优化和能效提升</w:t>
            </w:r>
          </w:p>
        </w:tc>
        <w:tc>
          <w:tcPr>
            <w:tcW w:w="3306" w:type="dxa"/>
            <w:vAlign w:val="top"/>
          </w:tcPr>
          <w:p w14:paraId="539D16CC">
            <w:pPr>
              <w:spacing w:line="247" w:lineRule="auto"/>
              <w:rPr>
                <w:rFonts w:ascii="Arial"/>
                <w:sz w:val="21"/>
              </w:rPr>
            </w:pPr>
          </w:p>
          <w:p w14:paraId="52F65CE6">
            <w:pPr>
              <w:pStyle w:val="6"/>
              <w:spacing w:before="71" w:line="219" w:lineRule="auto"/>
              <w:ind w:left="1001"/>
              <w:rPr>
                <w:sz w:val="22"/>
                <w:szCs w:val="22"/>
              </w:rPr>
            </w:pPr>
            <w:r>
              <w:rPr>
                <w:spacing w:val="-2"/>
                <w:sz w:val="22"/>
                <w:szCs w:val="22"/>
              </w:rPr>
              <w:t>本项目不涉及</w:t>
            </w:r>
          </w:p>
        </w:tc>
        <w:tc>
          <w:tcPr>
            <w:tcW w:w="820" w:type="dxa"/>
            <w:vAlign w:val="top"/>
          </w:tcPr>
          <w:p w14:paraId="5787A79D">
            <w:pPr>
              <w:spacing w:line="246" w:lineRule="auto"/>
              <w:rPr>
                <w:rFonts w:ascii="Arial"/>
                <w:sz w:val="21"/>
              </w:rPr>
            </w:pPr>
          </w:p>
          <w:p w14:paraId="6054240A">
            <w:pPr>
              <w:pStyle w:val="6"/>
              <w:spacing w:before="72" w:line="220" w:lineRule="auto"/>
              <w:ind w:left="202"/>
              <w:rPr>
                <w:sz w:val="22"/>
                <w:szCs w:val="22"/>
              </w:rPr>
            </w:pPr>
            <w:r>
              <w:rPr>
                <w:spacing w:val="-5"/>
                <w:sz w:val="22"/>
                <w:szCs w:val="22"/>
              </w:rPr>
              <w:t>符合</w:t>
            </w:r>
          </w:p>
        </w:tc>
        <w:tc>
          <w:tcPr>
            <w:tcW w:w="113" w:type="dxa"/>
            <w:tcBorders>
              <w:top w:val="nil"/>
              <w:bottom w:val="nil"/>
            </w:tcBorders>
            <w:vAlign w:val="top"/>
          </w:tcPr>
          <w:p w14:paraId="66ADF407">
            <w:pPr>
              <w:rPr>
                <w:rFonts w:ascii="Arial"/>
                <w:sz w:val="21"/>
              </w:rPr>
            </w:pPr>
          </w:p>
        </w:tc>
      </w:tr>
      <w:tr w14:paraId="775B8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982" w:type="dxa"/>
            <w:vMerge w:val="continue"/>
            <w:tcBorders>
              <w:top w:val="nil"/>
              <w:bottom w:val="nil"/>
            </w:tcBorders>
            <w:vAlign w:val="top"/>
          </w:tcPr>
          <w:p w14:paraId="3B43983B">
            <w:pPr>
              <w:rPr>
                <w:rFonts w:ascii="Arial"/>
                <w:sz w:val="21"/>
              </w:rPr>
            </w:pPr>
          </w:p>
        </w:tc>
        <w:tc>
          <w:tcPr>
            <w:tcW w:w="849" w:type="dxa"/>
            <w:vMerge w:val="continue"/>
            <w:tcBorders>
              <w:top w:val="nil"/>
              <w:bottom w:val="nil"/>
            </w:tcBorders>
            <w:vAlign w:val="top"/>
          </w:tcPr>
          <w:p w14:paraId="453FE605">
            <w:pPr>
              <w:rPr>
                <w:rFonts w:ascii="Arial"/>
                <w:sz w:val="21"/>
              </w:rPr>
            </w:pPr>
          </w:p>
        </w:tc>
        <w:tc>
          <w:tcPr>
            <w:tcW w:w="7586" w:type="dxa"/>
            <w:vAlign w:val="top"/>
          </w:tcPr>
          <w:p w14:paraId="1E9D7CD8">
            <w:pPr>
              <w:pStyle w:val="6"/>
              <w:spacing w:line="291" w:lineRule="exact"/>
              <w:ind w:left="129"/>
              <w:rPr>
                <w:sz w:val="22"/>
                <w:szCs w:val="22"/>
              </w:rPr>
            </w:pPr>
            <w:r>
              <w:rPr>
                <w:rFonts w:ascii="Times New Roman" w:hAnsi="Times New Roman" w:eastAsia="Times New Roman" w:cs="Times New Roman"/>
                <w:spacing w:val="-2"/>
                <w:position w:val="1"/>
                <w:sz w:val="22"/>
                <w:szCs w:val="22"/>
              </w:rPr>
              <w:t>19</w:t>
            </w:r>
            <w:r>
              <w:rPr>
                <w:rFonts w:ascii="Times New Roman" w:hAnsi="Times New Roman" w:eastAsia="Times New Roman" w:cs="Times New Roman"/>
                <w:spacing w:val="-21"/>
                <w:position w:val="1"/>
                <w:sz w:val="22"/>
                <w:szCs w:val="22"/>
              </w:rPr>
              <w:t xml:space="preserve"> </w:t>
            </w:r>
            <w:r>
              <w:rPr>
                <w:spacing w:val="-2"/>
                <w:position w:val="1"/>
                <w:sz w:val="22"/>
                <w:szCs w:val="22"/>
              </w:rPr>
              <w:t>、鼓励企业对标能耗限额标准先进值或国际先进水平，加</w:t>
            </w:r>
            <w:r>
              <w:rPr>
                <w:rFonts w:ascii="Times New Roman" w:hAnsi="Times New Roman" w:eastAsia="Times New Roman" w:cs="Times New Roman"/>
                <w:spacing w:val="-2"/>
                <w:position w:val="1"/>
                <w:sz w:val="22"/>
                <w:szCs w:val="22"/>
              </w:rPr>
              <w:t>=</w:t>
            </w:r>
            <w:r>
              <w:rPr>
                <w:spacing w:val="-2"/>
                <w:position w:val="1"/>
                <w:sz w:val="22"/>
                <w:szCs w:val="22"/>
              </w:rPr>
              <w:t>快主要产品工艺</w:t>
            </w:r>
          </w:p>
          <w:p w14:paraId="21BD8E36">
            <w:pPr>
              <w:pStyle w:val="6"/>
              <w:spacing w:before="28" w:line="219" w:lineRule="auto"/>
              <w:ind w:left="114"/>
              <w:rPr>
                <w:sz w:val="22"/>
                <w:szCs w:val="22"/>
              </w:rPr>
            </w:pPr>
            <w:r>
              <w:rPr>
                <w:spacing w:val="-3"/>
                <w:sz w:val="22"/>
                <w:szCs w:val="22"/>
              </w:rPr>
              <w:t>升级与绿色化改造，推动工业窑炉、锅炉、</w:t>
            </w:r>
            <w:r>
              <w:rPr>
                <w:spacing w:val="-4"/>
                <w:sz w:val="22"/>
                <w:szCs w:val="22"/>
              </w:rPr>
              <w:t>电机、压缩机、泵、变压器等重点</w:t>
            </w:r>
          </w:p>
          <w:p w14:paraId="0C819C1A">
            <w:pPr>
              <w:pStyle w:val="6"/>
              <w:spacing w:before="24" w:line="219" w:lineRule="auto"/>
              <w:ind w:left="114"/>
              <w:rPr>
                <w:sz w:val="22"/>
                <w:szCs w:val="22"/>
              </w:rPr>
            </w:pPr>
            <w:r>
              <w:rPr>
                <w:spacing w:val="-3"/>
                <w:sz w:val="22"/>
                <w:szCs w:val="22"/>
              </w:rPr>
              <w:t>用能设备系统节能改造。推动现有企业、园</w:t>
            </w:r>
            <w:r>
              <w:rPr>
                <w:spacing w:val="-4"/>
                <w:sz w:val="22"/>
                <w:szCs w:val="22"/>
              </w:rPr>
              <w:t>区生产过程清洁化转型，精准提升</w:t>
            </w:r>
          </w:p>
          <w:p w14:paraId="29FD4197">
            <w:pPr>
              <w:pStyle w:val="6"/>
              <w:spacing w:before="23" w:line="205" w:lineRule="auto"/>
              <w:ind w:left="1495"/>
              <w:rPr>
                <w:sz w:val="22"/>
                <w:szCs w:val="22"/>
              </w:rPr>
            </w:pPr>
            <w:r>
              <w:rPr>
                <w:spacing w:val="-1"/>
                <w:sz w:val="22"/>
                <w:szCs w:val="22"/>
              </w:rPr>
              <w:t>市场主体绿色低碳水平，引导绿色园区低碳发展</w:t>
            </w:r>
          </w:p>
        </w:tc>
        <w:tc>
          <w:tcPr>
            <w:tcW w:w="3306" w:type="dxa"/>
            <w:vAlign w:val="top"/>
          </w:tcPr>
          <w:p w14:paraId="346E886B">
            <w:pPr>
              <w:spacing w:line="388" w:lineRule="auto"/>
              <w:rPr>
                <w:rFonts w:ascii="Arial"/>
                <w:sz w:val="21"/>
              </w:rPr>
            </w:pPr>
          </w:p>
          <w:p w14:paraId="0EF914B5">
            <w:pPr>
              <w:pStyle w:val="6"/>
              <w:spacing w:before="71" w:line="219" w:lineRule="auto"/>
              <w:ind w:left="1001"/>
              <w:rPr>
                <w:sz w:val="22"/>
                <w:szCs w:val="22"/>
              </w:rPr>
            </w:pPr>
            <w:r>
              <w:rPr>
                <w:spacing w:val="-2"/>
                <w:sz w:val="22"/>
                <w:szCs w:val="22"/>
              </w:rPr>
              <w:t>本项目不涉及</w:t>
            </w:r>
          </w:p>
        </w:tc>
        <w:tc>
          <w:tcPr>
            <w:tcW w:w="820" w:type="dxa"/>
            <w:vAlign w:val="top"/>
          </w:tcPr>
          <w:p w14:paraId="0EF22235">
            <w:pPr>
              <w:spacing w:line="387" w:lineRule="auto"/>
              <w:rPr>
                <w:rFonts w:ascii="Arial"/>
                <w:sz w:val="21"/>
              </w:rPr>
            </w:pPr>
          </w:p>
          <w:p w14:paraId="34224C6D">
            <w:pPr>
              <w:pStyle w:val="6"/>
              <w:spacing w:before="72" w:line="220" w:lineRule="auto"/>
              <w:ind w:left="202"/>
              <w:rPr>
                <w:sz w:val="22"/>
                <w:szCs w:val="22"/>
              </w:rPr>
            </w:pPr>
            <w:r>
              <w:rPr>
                <w:spacing w:val="-5"/>
                <w:sz w:val="22"/>
                <w:szCs w:val="22"/>
              </w:rPr>
              <w:t>符合</w:t>
            </w:r>
          </w:p>
        </w:tc>
        <w:tc>
          <w:tcPr>
            <w:tcW w:w="113" w:type="dxa"/>
            <w:tcBorders>
              <w:top w:val="nil"/>
              <w:bottom w:val="nil"/>
            </w:tcBorders>
            <w:vAlign w:val="top"/>
          </w:tcPr>
          <w:p w14:paraId="0DDC65E4">
            <w:pPr>
              <w:rPr>
                <w:rFonts w:ascii="Arial"/>
                <w:sz w:val="21"/>
              </w:rPr>
            </w:pPr>
          </w:p>
        </w:tc>
      </w:tr>
      <w:tr w14:paraId="3B8BB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82" w:type="dxa"/>
            <w:vMerge w:val="continue"/>
            <w:tcBorders>
              <w:top w:val="nil"/>
              <w:bottom w:val="nil"/>
            </w:tcBorders>
            <w:vAlign w:val="top"/>
          </w:tcPr>
          <w:p w14:paraId="490CD271">
            <w:pPr>
              <w:rPr>
                <w:rFonts w:ascii="Arial"/>
                <w:sz w:val="21"/>
              </w:rPr>
            </w:pPr>
          </w:p>
        </w:tc>
        <w:tc>
          <w:tcPr>
            <w:tcW w:w="849" w:type="dxa"/>
            <w:vMerge w:val="continue"/>
            <w:tcBorders>
              <w:top w:val="nil"/>
              <w:bottom w:val="nil"/>
            </w:tcBorders>
            <w:vAlign w:val="top"/>
          </w:tcPr>
          <w:p w14:paraId="69C84646">
            <w:pPr>
              <w:rPr>
                <w:rFonts w:ascii="Arial"/>
                <w:sz w:val="21"/>
              </w:rPr>
            </w:pPr>
          </w:p>
        </w:tc>
        <w:tc>
          <w:tcPr>
            <w:tcW w:w="7586" w:type="dxa"/>
            <w:vAlign w:val="top"/>
          </w:tcPr>
          <w:p w14:paraId="4E46A8ED">
            <w:pPr>
              <w:pStyle w:val="6"/>
              <w:spacing w:before="36" w:line="219" w:lineRule="auto"/>
              <w:jc w:val="right"/>
              <w:rPr>
                <w:sz w:val="22"/>
                <w:szCs w:val="22"/>
              </w:rPr>
            </w:pPr>
            <w:r>
              <w:rPr>
                <w:rFonts w:ascii="Times New Roman" w:hAnsi="Times New Roman" w:eastAsia="Times New Roman" w:cs="Times New Roman"/>
                <w:spacing w:val="-6"/>
                <w:sz w:val="22"/>
                <w:szCs w:val="22"/>
              </w:rPr>
              <w:t>20</w:t>
            </w:r>
            <w:r>
              <w:rPr>
                <w:spacing w:val="-6"/>
                <w:sz w:val="22"/>
                <w:szCs w:val="22"/>
              </w:rPr>
              <w:t>、新建、扩建</w:t>
            </w:r>
            <w:r>
              <w:rPr>
                <w:rFonts w:ascii="Times New Roman" w:hAnsi="Times New Roman" w:eastAsia="Times New Roman" w:cs="Times New Roman"/>
                <w:spacing w:val="-6"/>
                <w:sz w:val="22"/>
                <w:szCs w:val="22"/>
              </w:rPr>
              <w:t>“</w:t>
            </w:r>
            <w:r>
              <w:rPr>
                <w:spacing w:val="-6"/>
                <w:sz w:val="22"/>
                <w:szCs w:val="22"/>
              </w:rPr>
              <w:t>两高</w:t>
            </w:r>
            <w:r>
              <w:rPr>
                <w:rFonts w:ascii="Times New Roman" w:hAnsi="Times New Roman" w:eastAsia="Times New Roman" w:cs="Times New Roman"/>
                <w:spacing w:val="-6"/>
                <w:sz w:val="22"/>
                <w:szCs w:val="22"/>
              </w:rPr>
              <w:t>”</w:t>
            </w:r>
            <w:r>
              <w:rPr>
                <w:spacing w:val="-6"/>
                <w:sz w:val="22"/>
                <w:szCs w:val="22"/>
              </w:rPr>
              <w:t>项目应采用先进适用的工艺技术和装备，单</w:t>
            </w:r>
            <w:r>
              <w:rPr>
                <w:spacing w:val="-7"/>
                <w:sz w:val="22"/>
                <w:szCs w:val="22"/>
              </w:rPr>
              <w:t>位产品物耗、</w:t>
            </w:r>
          </w:p>
          <w:p w14:paraId="0BBA803A">
            <w:pPr>
              <w:pStyle w:val="6"/>
              <w:spacing w:before="23" w:line="205" w:lineRule="auto"/>
              <w:ind w:left="2048"/>
              <w:rPr>
                <w:sz w:val="22"/>
                <w:szCs w:val="22"/>
              </w:rPr>
            </w:pPr>
            <w:r>
              <w:rPr>
                <w:spacing w:val="-2"/>
                <w:sz w:val="22"/>
                <w:szCs w:val="22"/>
              </w:rPr>
              <w:t>能耗、水耗等达到清洁生产先进水平</w:t>
            </w:r>
          </w:p>
        </w:tc>
        <w:tc>
          <w:tcPr>
            <w:tcW w:w="3306" w:type="dxa"/>
            <w:vAlign w:val="top"/>
          </w:tcPr>
          <w:p w14:paraId="377ACD1E">
            <w:pPr>
              <w:pStyle w:val="6"/>
              <w:spacing w:before="178" w:line="219" w:lineRule="auto"/>
              <w:ind w:left="562"/>
              <w:rPr>
                <w:sz w:val="22"/>
                <w:szCs w:val="22"/>
              </w:rPr>
            </w:pPr>
            <w:r>
              <w:rPr>
                <w:spacing w:val="-1"/>
                <w:sz w:val="22"/>
                <w:szCs w:val="22"/>
              </w:rPr>
              <w:t>本项目不属于两高项目</w:t>
            </w:r>
          </w:p>
        </w:tc>
        <w:tc>
          <w:tcPr>
            <w:tcW w:w="820" w:type="dxa"/>
            <w:vAlign w:val="top"/>
          </w:tcPr>
          <w:p w14:paraId="5E242388">
            <w:pPr>
              <w:pStyle w:val="6"/>
              <w:spacing w:before="178" w:line="220" w:lineRule="auto"/>
              <w:ind w:left="202"/>
              <w:rPr>
                <w:sz w:val="22"/>
                <w:szCs w:val="22"/>
              </w:rPr>
            </w:pPr>
            <w:r>
              <w:rPr>
                <w:spacing w:val="-5"/>
                <w:sz w:val="22"/>
                <w:szCs w:val="22"/>
              </w:rPr>
              <w:t>符合</w:t>
            </w:r>
          </w:p>
        </w:tc>
        <w:tc>
          <w:tcPr>
            <w:tcW w:w="113" w:type="dxa"/>
            <w:tcBorders>
              <w:top w:val="nil"/>
              <w:bottom w:val="nil"/>
            </w:tcBorders>
            <w:vAlign w:val="top"/>
          </w:tcPr>
          <w:p w14:paraId="3903BA21">
            <w:pPr>
              <w:rPr>
                <w:rFonts w:ascii="Arial"/>
                <w:sz w:val="21"/>
              </w:rPr>
            </w:pPr>
          </w:p>
        </w:tc>
      </w:tr>
      <w:tr w14:paraId="35978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982" w:type="dxa"/>
            <w:vMerge w:val="continue"/>
            <w:tcBorders>
              <w:top w:val="nil"/>
            </w:tcBorders>
            <w:vAlign w:val="top"/>
          </w:tcPr>
          <w:p w14:paraId="5A59162B">
            <w:pPr>
              <w:rPr>
                <w:rFonts w:ascii="Arial"/>
                <w:sz w:val="21"/>
              </w:rPr>
            </w:pPr>
          </w:p>
        </w:tc>
        <w:tc>
          <w:tcPr>
            <w:tcW w:w="849" w:type="dxa"/>
            <w:vMerge w:val="continue"/>
            <w:tcBorders>
              <w:top w:val="nil"/>
            </w:tcBorders>
            <w:vAlign w:val="top"/>
          </w:tcPr>
          <w:p w14:paraId="36697F77">
            <w:pPr>
              <w:rPr>
                <w:rFonts w:ascii="Arial"/>
                <w:sz w:val="21"/>
              </w:rPr>
            </w:pPr>
          </w:p>
        </w:tc>
        <w:tc>
          <w:tcPr>
            <w:tcW w:w="7586" w:type="dxa"/>
            <w:vAlign w:val="top"/>
          </w:tcPr>
          <w:p w14:paraId="43064622">
            <w:pPr>
              <w:pStyle w:val="6"/>
              <w:spacing w:before="35" w:line="227" w:lineRule="auto"/>
              <w:ind w:left="113" w:right="101" w:hanging="5"/>
              <w:rPr>
                <w:sz w:val="22"/>
                <w:szCs w:val="22"/>
              </w:rPr>
            </w:pPr>
            <w:r>
              <w:rPr>
                <w:rFonts w:ascii="Times New Roman" w:hAnsi="Times New Roman" w:eastAsia="Times New Roman" w:cs="Times New Roman"/>
                <w:spacing w:val="-3"/>
                <w:sz w:val="22"/>
                <w:szCs w:val="22"/>
              </w:rPr>
              <w:t>21</w:t>
            </w:r>
            <w:r>
              <w:rPr>
                <w:spacing w:val="-3"/>
                <w:sz w:val="22"/>
                <w:szCs w:val="22"/>
              </w:rPr>
              <w:t>、推进企业内部工业用水循环利用、园区内企业间用水系统集</w:t>
            </w:r>
            <w:r>
              <w:rPr>
                <w:spacing w:val="-4"/>
                <w:sz w:val="22"/>
                <w:szCs w:val="22"/>
              </w:rPr>
              <w:t>成优化。开展</w:t>
            </w:r>
            <w:r>
              <w:rPr>
                <w:spacing w:val="-3"/>
                <w:sz w:val="22"/>
                <w:szCs w:val="22"/>
              </w:rPr>
              <w:t>火电、石化、有色金属、造纸、印染等高耗水</w:t>
            </w:r>
            <w:r>
              <w:rPr>
                <w:spacing w:val="-4"/>
                <w:sz w:val="22"/>
                <w:szCs w:val="22"/>
              </w:rPr>
              <w:t>行业工业废水循环利用示范。根</w:t>
            </w:r>
          </w:p>
        </w:tc>
        <w:tc>
          <w:tcPr>
            <w:tcW w:w="3306" w:type="dxa"/>
            <w:vAlign w:val="top"/>
          </w:tcPr>
          <w:p w14:paraId="011C8D8B">
            <w:pPr>
              <w:pStyle w:val="6"/>
              <w:spacing w:before="178" w:line="219" w:lineRule="auto"/>
              <w:ind w:left="1001"/>
              <w:rPr>
                <w:sz w:val="22"/>
                <w:szCs w:val="22"/>
              </w:rPr>
            </w:pPr>
            <w:r>
              <w:rPr>
                <w:spacing w:val="-2"/>
                <w:sz w:val="22"/>
                <w:szCs w:val="22"/>
              </w:rPr>
              <w:t>本项目不涉及</w:t>
            </w:r>
          </w:p>
        </w:tc>
        <w:tc>
          <w:tcPr>
            <w:tcW w:w="820" w:type="dxa"/>
            <w:vAlign w:val="top"/>
          </w:tcPr>
          <w:p w14:paraId="2C17CDC7">
            <w:pPr>
              <w:pStyle w:val="6"/>
              <w:spacing w:before="177" w:line="220" w:lineRule="auto"/>
              <w:ind w:left="202"/>
              <w:rPr>
                <w:sz w:val="22"/>
                <w:szCs w:val="22"/>
              </w:rPr>
            </w:pPr>
            <w:r>
              <w:rPr>
                <w:spacing w:val="-5"/>
                <w:sz w:val="22"/>
                <w:szCs w:val="22"/>
              </w:rPr>
              <w:t>符合</w:t>
            </w:r>
          </w:p>
        </w:tc>
        <w:tc>
          <w:tcPr>
            <w:tcW w:w="113" w:type="dxa"/>
            <w:tcBorders>
              <w:top w:val="nil"/>
            </w:tcBorders>
            <w:vAlign w:val="top"/>
          </w:tcPr>
          <w:p w14:paraId="5AD2C968">
            <w:pPr>
              <w:rPr>
                <w:rFonts w:ascii="Arial"/>
                <w:sz w:val="21"/>
              </w:rPr>
            </w:pPr>
          </w:p>
        </w:tc>
      </w:tr>
    </w:tbl>
    <w:p w14:paraId="69490E64">
      <w:pPr>
        <w:pStyle w:val="2"/>
        <w:rPr>
          <w:sz w:val="21"/>
        </w:rPr>
      </w:pPr>
    </w:p>
    <w:p w14:paraId="4687B1C7">
      <w:pPr>
        <w:rPr>
          <w:sz w:val="21"/>
          <w:szCs w:val="21"/>
        </w:rPr>
        <w:sectPr>
          <w:footerReference r:id="rId25" w:type="default"/>
          <w:pgSz w:w="16839" w:h="11906"/>
          <w:pgMar w:top="400" w:right="1588" w:bottom="1006" w:left="1588" w:header="0" w:footer="768" w:gutter="0"/>
          <w:cols w:space="720" w:num="1"/>
        </w:sectPr>
      </w:pPr>
    </w:p>
    <w:p w14:paraId="45D5C707">
      <w:pPr>
        <w:spacing w:before="42"/>
      </w:pPr>
    </w:p>
    <w:p w14:paraId="2FD24AA4">
      <w:pPr>
        <w:spacing w:before="41"/>
      </w:pPr>
    </w:p>
    <w:p w14:paraId="184C5416">
      <w:pPr>
        <w:spacing w:before="41"/>
      </w:pPr>
    </w:p>
    <w:p w14:paraId="25464CAF">
      <w:pPr>
        <w:spacing w:before="41"/>
      </w:pPr>
    </w:p>
    <w:tbl>
      <w:tblPr>
        <w:tblStyle w:val="5"/>
        <w:tblW w:w="13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2"/>
        <w:gridCol w:w="849"/>
        <w:gridCol w:w="7586"/>
        <w:gridCol w:w="3306"/>
        <w:gridCol w:w="820"/>
        <w:gridCol w:w="113"/>
      </w:tblGrid>
      <w:tr w14:paraId="4ECC1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82" w:type="dxa"/>
            <w:vMerge w:val="restart"/>
            <w:tcBorders>
              <w:bottom w:val="nil"/>
            </w:tcBorders>
            <w:vAlign w:val="top"/>
          </w:tcPr>
          <w:p w14:paraId="33BFBD67">
            <w:pPr>
              <w:rPr>
                <w:rFonts w:ascii="Arial"/>
                <w:sz w:val="21"/>
              </w:rPr>
            </w:pPr>
          </w:p>
        </w:tc>
        <w:tc>
          <w:tcPr>
            <w:tcW w:w="849" w:type="dxa"/>
            <w:vMerge w:val="restart"/>
            <w:tcBorders>
              <w:bottom w:val="nil"/>
            </w:tcBorders>
            <w:vAlign w:val="top"/>
          </w:tcPr>
          <w:p w14:paraId="53374FA7">
            <w:pPr>
              <w:rPr>
                <w:rFonts w:ascii="Arial"/>
                <w:sz w:val="21"/>
              </w:rPr>
            </w:pPr>
          </w:p>
        </w:tc>
        <w:tc>
          <w:tcPr>
            <w:tcW w:w="7586" w:type="dxa"/>
            <w:vAlign w:val="top"/>
          </w:tcPr>
          <w:p w14:paraId="597F467A">
            <w:pPr>
              <w:pStyle w:val="6"/>
              <w:spacing w:before="46" w:line="224" w:lineRule="auto"/>
              <w:ind w:left="279" w:right="104" w:hanging="168"/>
              <w:rPr>
                <w:sz w:val="22"/>
                <w:szCs w:val="22"/>
              </w:rPr>
            </w:pPr>
            <w:r>
              <w:rPr>
                <w:spacing w:val="-3"/>
                <w:sz w:val="22"/>
                <w:szCs w:val="22"/>
              </w:rPr>
              <w:t>据区域水资源禀赋和行业特点，结合用水总量</w:t>
            </w:r>
            <w:r>
              <w:rPr>
                <w:spacing w:val="-4"/>
                <w:sz w:val="22"/>
                <w:szCs w:val="22"/>
              </w:rPr>
              <w:t>控制措施，引导区域工业布局和</w:t>
            </w:r>
            <w:r>
              <w:rPr>
                <w:sz w:val="22"/>
                <w:szCs w:val="22"/>
              </w:rPr>
              <w:t>产业结构调整，大力推广工业水循环利用，加快淘汰落</w:t>
            </w:r>
            <w:r>
              <w:rPr>
                <w:spacing w:val="-1"/>
                <w:sz w:val="22"/>
                <w:szCs w:val="22"/>
              </w:rPr>
              <w:t>后用水工艺和技术</w:t>
            </w:r>
          </w:p>
        </w:tc>
        <w:tc>
          <w:tcPr>
            <w:tcW w:w="3306" w:type="dxa"/>
            <w:vAlign w:val="top"/>
          </w:tcPr>
          <w:p w14:paraId="5301ACEC">
            <w:pPr>
              <w:rPr>
                <w:rFonts w:ascii="Arial"/>
                <w:sz w:val="21"/>
              </w:rPr>
            </w:pPr>
          </w:p>
        </w:tc>
        <w:tc>
          <w:tcPr>
            <w:tcW w:w="820" w:type="dxa"/>
            <w:vAlign w:val="top"/>
          </w:tcPr>
          <w:p w14:paraId="299A2C4E">
            <w:pPr>
              <w:rPr>
                <w:rFonts w:ascii="Arial"/>
                <w:sz w:val="21"/>
              </w:rPr>
            </w:pPr>
          </w:p>
        </w:tc>
        <w:tc>
          <w:tcPr>
            <w:tcW w:w="113" w:type="dxa"/>
            <w:tcBorders>
              <w:bottom w:val="nil"/>
            </w:tcBorders>
            <w:vAlign w:val="top"/>
          </w:tcPr>
          <w:p w14:paraId="1CB1657D">
            <w:pPr>
              <w:rPr>
                <w:rFonts w:ascii="Arial"/>
                <w:sz w:val="21"/>
              </w:rPr>
            </w:pPr>
          </w:p>
        </w:tc>
      </w:tr>
      <w:tr w14:paraId="1130E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982" w:type="dxa"/>
            <w:vMerge w:val="continue"/>
            <w:tcBorders>
              <w:top w:val="nil"/>
            </w:tcBorders>
            <w:vAlign w:val="top"/>
          </w:tcPr>
          <w:p w14:paraId="11F2080A">
            <w:pPr>
              <w:rPr>
                <w:rFonts w:ascii="Arial"/>
                <w:sz w:val="21"/>
              </w:rPr>
            </w:pPr>
          </w:p>
        </w:tc>
        <w:tc>
          <w:tcPr>
            <w:tcW w:w="849" w:type="dxa"/>
            <w:vMerge w:val="continue"/>
            <w:tcBorders>
              <w:top w:val="nil"/>
            </w:tcBorders>
            <w:vAlign w:val="top"/>
          </w:tcPr>
          <w:p w14:paraId="713CA204">
            <w:pPr>
              <w:rPr>
                <w:rFonts w:ascii="Arial"/>
                <w:sz w:val="21"/>
              </w:rPr>
            </w:pPr>
          </w:p>
        </w:tc>
        <w:tc>
          <w:tcPr>
            <w:tcW w:w="7586" w:type="dxa"/>
            <w:vAlign w:val="top"/>
          </w:tcPr>
          <w:p w14:paraId="719A61B6">
            <w:pPr>
              <w:pStyle w:val="6"/>
              <w:spacing w:before="32" w:line="220" w:lineRule="auto"/>
              <w:ind w:left="108"/>
              <w:rPr>
                <w:sz w:val="22"/>
                <w:szCs w:val="22"/>
              </w:rPr>
            </w:pPr>
            <w:r>
              <w:rPr>
                <w:rFonts w:ascii="Times New Roman" w:hAnsi="Times New Roman" w:eastAsia="Times New Roman" w:cs="Times New Roman"/>
                <w:spacing w:val="-3"/>
                <w:sz w:val="22"/>
                <w:szCs w:val="22"/>
              </w:rPr>
              <w:t>22</w:t>
            </w:r>
            <w:r>
              <w:rPr>
                <w:spacing w:val="-3"/>
                <w:sz w:val="22"/>
                <w:szCs w:val="22"/>
              </w:rPr>
              <w:t>、加快推进节水配套设施建设，加强再生水、雨水等非常规</w:t>
            </w:r>
            <w:r>
              <w:rPr>
                <w:spacing w:val="-4"/>
                <w:sz w:val="22"/>
                <w:szCs w:val="22"/>
              </w:rPr>
              <w:t>水多元、梯级和</w:t>
            </w:r>
          </w:p>
          <w:p w14:paraId="165AA841">
            <w:pPr>
              <w:pStyle w:val="6"/>
              <w:spacing w:before="23" w:line="220" w:lineRule="auto"/>
              <w:ind w:left="116"/>
              <w:rPr>
                <w:sz w:val="22"/>
                <w:szCs w:val="22"/>
              </w:rPr>
            </w:pPr>
            <w:r>
              <w:rPr>
                <w:spacing w:val="-4"/>
                <w:sz w:val="22"/>
                <w:szCs w:val="22"/>
              </w:rPr>
              <w:t>安全利用，逐年提高非常规水利用比例。结合现有污水处理设施提标升级扩能</w:t>
            </w:r>
          </w:p>
          <w:p w14:paraId="678F1B7C">
            <w:pPr>
              <w:pStyle w:val="6"/>
              <w:spacing w:before="20" w:line="210" w:lineRule="auto"/>
              <w:ind w:left="1936"/>
              <w:rPr>
                <w:sz w:val="22"/>
                <w:szCs w:val="22"/>
              </w:rPr>
            </w:pPr>
            <w:r>
              <w:rPr>
                <w:spacing w:val="-1"/>
                <w:sz w:val="22"/>
                <w:szCs w:val="22"/>
              </w:rPr>
              <w:t>改造，系统规划城镇污水再生利用设施</w:t>
            </w:r>
          </w:p>
        </w:tc>
        <w:tc>
          <w:tcPr>
            <w:tcW w:w="3306" w:type="dxa"/>
            <w:vAlign w:val="top"/>
          </w:tcPr>
          <w:p w14:paraId="532E402E">
            <w:pPr>
              <w:spacing w:line="242" w:lineRule="auto"/>
              <w:rPr>
                <w:rFonts w:ascii="Arial"/>
                <w:sz w:val="21"/>
              </w:rPr>
            </w:pPr>
          </w:p>
          <w:p w14:paraId="209D9BE7">
            <w:pPr>
              <w:pStyle w:val="6"/>
              <w:spacing w:before="72" w:line="219" w:lineRule="auto"/>
              <w:ind w:left="1001"/>
              <w:rPr>
                <w:sz w:val="22"/>
                <w:szCs w:val="22"/>
              </w:rPr>
            </w:pPr>
            <w:r>
              <w:rPr>
                <w:spacing w:val="-2"/>
                <w:sz w:val="22"/>
                <w:szCs w:val="22"/>
              </w:rPr>
              <w:t>本项目不涉及</w:t>
            </w:r>
          </w:p>
        </w:tc>
        <w:tc>
          <w:tcPr>
            <w:tcW w:w="820" w:type="dxa"/>
            <w:vAlign w:val="top"/>
          </w:tcPr>
          <w:p w14:paraId="0865FA33">
            <w:pPr>
              <w:spacing w:line="242" w:lineRule="auto"/>
              <w:rPr>
                <w:rFonts w:ascii="Arial"/>
                <w:sz w:val="21"/>
              </w:rPr>
            </w:pPr>
          </w:p>
          <w:p w14:paraId="354E7C20">
            <w:pPr>
              <w:pStyle w:val="6"/>
              <w:spacing w:before="72" w:line="220" w:lineRule="auto"/>
              <w:ind w:left="202"/>
              <w:rPr>
                <w:sz w:val="22"/>
                <w:szCs w:val="22"/>
              </w:rPr>
            </w:pPr>
            <w:r>
              <w:rPr>
                <w:spacing w:val="-5"/>
                <w:sz w:val="22"/>
                <w:szCs w:val="22"/>
              </w:rPr>
              <w:t>符合</w:t>
            </w:r>
          </w:p>
        </w:tc>
        <w:tc>
          <w:tcPr>
            <w:tcW w:w="113" w:type="dxa"/>
            <w:tcBorders>
              <w:top w:val="nil"/>
              <w:bottom w:val="nil"/>
            </w:tcBorders>
            <w:vAlign w:val="top"/>
          </w:tcPr>
          <w:p w14:paraId="269BB0B9">
            <w:pPr>
              <w:rPr>
                <w:rFonts w:ascii="Arial"/>
                <w:sz w:val="21"/>
              </w:rPr>
            </w:pPr>
          </w:p>
        </w:tc>
      </w:tr>
      <w:tr w14:paraId="5CB36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982" w:type="dxa"/>
            <w:vMerge w:val="restart"/>
            <w:tcBorders>
              <w:bottom w:val="nil"/>
            </w:tcBorders>
            <w:vAlign w:val="top"/>
          </w:tcPr>
          <w:p w14:paraId="7D2F19EB">
            <w:pPr>
              <w:spacing w:line="255" w:lineRule="auto"/>
              <w:rPr>
                <w:rFonts w:ascii="Arial"/>
                <w:sz w:val="21"/>
              </w:rPr>
            </w:pPr>
          </w:p>
          <w:p w14:paraId="63C2D76F">
            <w:pPr>
              <w:spacing w:line="255" w:lineRule="auto"/>
              <w:rPr>
                <w:rFonts w:ascii="Arial"/>
                <w:sz w:val="21"/>
              </w:rPr>
            </w:pPr>
          </w:p>
          <w:p w14:paraId="4E0D55C5">
            <w:pPr>
              <w:spacing w:line="255" w:lineRule="auto"/>
              <w:rPr>
                <w:rFonts w:ascii="Arial"/>
                <w:sz w:val="21"/>
              </w:rPr>
            </w:pPr>
          </w:p>
          <w:p w14:paraId="7DC99F9E">
            <w:pPr>
              <w:spacing w:line="255" w:lineRule="auto"/>
              <w:rPr>
                <w:rFonts w:ascii="Arial"/>
                <w:sz w:val="21"/>
              </w:rPr>
            </w:pPr>
          </w:p>
          <w:p w14:paraId="06203993">
            <w:pPr>
              <w:spacing w:line="255" w:lineRule="auto"/>
              <w:rPr>
                <w:rFonts w:ascii="Arial"/>
                <w:sz w:val="21"/>
              </w:rPr>
            </w:pPr>
          </w:p>
          <w:p w14:paraId="500F0E6C">
            <w:pPr>
              <w:spacing w:line="255" w:lineRule="auto"/>
              <w:rPr>
                <w:rFonts w:ascii="Arial"/>
                <w:sz w:val="21"/>
              </w:rPr>
            </w:pPr>
          </w:p>
          <w:p w14:paraId="0E4C85B3">
            <w:pPr>
              <w:spacing w:line="255" w:lineRule="auto"/>
              <w:rPr>
                <w:rFonts w:ascii="Arial"/>
                <w:sz w:val="21"/>
              </w:rPr>
            </w:pPr>
          </w:p>
          <w:p w14:paraId="7F857EB3">
            <w:pPr>
              <w:spacing w:line="255" w:lineRule="auto"/>
              <w:rPr>
                <w:rFonts w:ascii="Arial"/>
                <w:sz w:val="21"/>
              </w:rPr>
            </w:pPr>
          </w:p>
          <w:p w14:paraId="340516A3">
            <w:pPr>
              <w:spacing w:line="255" w:lineRule="auto"/>
              <w:rPr>
                <w:rFonts w:ascii="Arial"/>
                <w:sz w:val="21"/>
              </w:rPr>
            </w:pPr>
          </w:p>
          <w:p w14:paraId="54EBD7C7">
            <w:pPr>
              <w:spacing w:line="256" w:lineRule="auto"/>
              <w:rPr>
                <w:rFonts w:ascii="Arial"/>
                <w:sz w:val="21"/>
              </w:rPr>
            </w:pPr>
          </w:p>
          <w:p w14:paraId="36014F75">
            <w:pPr>
              <w:spacing w:line="256" w:lineRule="auto"/>
              <w:rPr>
                <w:rFonts w:ascii="Arial"/>
                <w:sz w:val="21"/>
              </w:rPr>
            </w:pPr>
          </w:p>
          <w:p w14:paraId="79FC1F0E">
            <w:pPr>
              <w:pStyle w:val="6"/>
              <w:spacing w:before="72" w:line="241" w:lineRule="auto"/>
              <w:ind w:left="330" w:right="213" w:firstLine="5"/>
              <w:jc w:val="both"/>
              <w:rPr>
                <w:sz w:val="22"/>
                <w:szCs w:val="22"/>
              </w:rPr>
            </w:pPr>
            <w:r>
              <w:rPr>
                <w:spacing w:val="-7"/>
                <w:sz w:val="22"/>
                <w:szCs w:val="22"/>
              </w:rPr>
              <w:t>九龙</w:t>
            </w:r>
            <w:r>
              <w:rPr>
                <w:spacing w:val="-4"/>
                <w:sz w:val="22"/>
                <w:szCs w:val="22"/>
              </w:rPr>
              <w:t>坡区总体管控要求</w:t>
            </w:r>
          </w:p>
        </w:tc>
        <w:tc>
          <w:tcPr>
            <w:tcW w:w="849" w:type="dxa"/>
            <w:vMerge w:val="restart"/>
            <w:tcBorders>
              <w:bottom w:val="nil"/>
            </w:tcBorders>
            <w:vAlign w:val="top"/>
          </w:tcPr>
          <w:p w14:paraId="15060194">
            <w:pPr>
              <w:spacing w:line="319" w:lineRule="auto"/>
              <w:rPr>
                <w:rFonts w:ascii="Arial"/>
                <w:sz w:val="21"/>
              </w:rPr>
            </w:pPr>
          </w:p>
          <w:p w14:paraId="3A066E89">
            <w:pPr>
              <w:spacing w:line="319" w:lineRule="auto"/>
              <w:rPr>
                <w:rFonts w:ascii="Arial"/>
                <w:sz w:val="21"/>
              </w:rPr>
            </w:pPr>
          </w:p>
          <w:p w14:paraId="76897562">
            <w:pPr>
              <w:spacing w:line="320" w:lineRule="auto"/>
              <w:rPr>
                <w:rFonts w:ascii="Arial"/>
                <w:sz w:val="21"/>
              </w:rPr>
            </w:pPr>
          </w:p>
          <w:p w14:paraId="17B170EF">
            <w:pPr>
              <w:pStyle w:val="6"/>
              <w:spacing w:before="71"/>
              <w:ind w:left="210" w:right="200" w:firstLine="6"/>
              <w:jc w:val="both"/>
              <w:rPr>
                <w:sz w:val="22"/>
                <w:szCs w:val="22"/>
              </w:rPr>
            </w:pPr>
            <w:r>
              <w:rPr>
                <w:spacing w:val="-7"/>
                <w:sz w:val="22"/>
                <w:szCs w:val="22"/>
              </w:rPr>
              <w:t>空间</w:t>
            </w:r>
            <w:r>
              <w:rPr>
                <w:spacing w:val="-4"/>
                <w:sz w:val="22"/>
                <w:szCs w:val="22"/>
              </w:rPr>
              <w:t>布局约束</w:t>
            </w:r>
          </w:p>
        </w:tc>
        <w:tc>
          <w:tcPr>
            <w:tcW w:w="7586" w:type="dxa"/>
            <w:vAlign w:val="top"/>
          </w:tcPr>
          <w:p w14:paraId="77FBE122">
            <w:pPr>
              <w:spacing w:line="245" w:lineRule="auto"/>
              <w:rPr>
                <w:rFonts w:ascii="Arial"/>
                <w:sz w:val="21"/>
              </w:rPr>
            </w:pPr>
          </w:p>
          <w:p w14:paraId="1042D53C">
            <w:pPr>
              <w:pStyle w:val="6"/>
              <w:spacing w:before="71" w:line="220" w:lineRule="auto"/>
              <w:jc w:val="right"/>
              <w:rPr>
                <w:sz w:val="22"/>
                <w:szCs w:val="22"/>
              </w:rPr>
            </w:pPr>
            <w:r>
              <w:rPr>
                <w:spacing w:val="-1"/>
                <w:sz w:val="22"/>
                <w:szCs w:val="22"/>
              </w:rPr>
              <w:t>第一条  执行重点管控单元市级总体要求第一条、第二条、第</w:t>
            </w:r>
            <w:r>
              <w:rPr>
                <w:spacing w:val="-2"/>
                <w:sz w:val="22"/>
                <w:szCs w:val="22"/>
              </w:rPr>
              <w:t>三条、第四条、</w:t>
            </w:r>
          </w:p>
          <w:p w14:paraId="340054A4">
            <w:pPr>
              <w:pStyle w:val="6"/>
              <w:spacing w:before="21" w:line="220" w:lineRule="auto"/>
              <w:ind w:left="3028"/>
              <w:rPr>
                <w:sz w:val="22"/>
                <w:szCs w:val="22"/>
              </w:rPr>
            </w:pPr>
            <w:r>
              <w:rPr>
                <w:spacing w:val="-2"/>
                <w:sz w:val="22"/>
                <w:szCs w:val="22"/>
              </w:rPr>
              <w:t>第五条和第七条</w:t>
            </w:r>
          </w:p>
        </w:tc>
        <w:tc>
          <w:tcPr>
            <w:tcW w:w="3306" w:type="dxa"/>
            <w:vAlign w:val="top"/>
          </w:tcPr>
          <w:p w14:paraId="0C5EBCDA">
            <w:pPr>
              <w:pStyle w:val="6"/>
              <w:spacing w:before="33" w:line="219" w:lineRule="auto"/>
              <w:ind w:left="122"/>
              <w:rPr>
                <w:sz w:val="22"/>
                <w:szCs w:val="22"/>
              </w:rPr>
            </w:pPr>
            <w:r>
              <w:rPr>
                <w:spacing w:val="-1"/>
                <w:sz w:val="22"/>
                <w:szCs w:val="22"/>
              </w:rPr>
              <w:t>根据前述分析，本项目符合市级</w:t>
            </w:r>
          </w:p>
          <w:p w14:paraId="00226B2A">
            <w:pPr>
              <w:pStyle w:val="6"/>
              <w:spacing w:before="24" w:line="220" w:lineRule="auto"/>
              <w:ind w:left="128"/>
              <w:rPr>
                <w:sz w:val="22"/>
                <w:szCs w:val="22"/>
              </w:rPr>
            </w:pPr>
            <w:r>
              <w:rPr>
                <w:spacing w:val="-2"/>
                <w:sz w:val="22"/>
                <w:szCs w:val="22"/>
              </w:rPr>
              <w:t>总体要求第一条、第二条、第三</w:t>
            </w:r>
          </w:p>
          <w:p w14:paraId="4704EA69">
            <w:pPr>
              <w:pStyle w:val="6"/>
              <w:spacing w:before="21" w:line="220" w:lineRule="auto"/>
              <w:ind w:left="124"/>
              <w:rPr>
                <w:sz w:val="22"/>
                <w:szCs w:val="22"/>
              </w:rPr>
            </w:pPr>
            <w:r>
              <w:rPr>
                <w:spacing w:val="-1"/>
                <w:sz w:val="22"/>
                <w:szCs w:val="22"/>
              </w:rPr>
              <w:t>条、第四条、第五条和第七条相</w:t>
            </w:r>
          </w:p>
          <w:p w14:paraId="086EBA8C">
            <w:pPr>
              <w:pStyle w:val="6"/>
              <w:spacing w:before="23" w:line="208" w:lineRule="auto"/>
              <w:ind w:left="1335"/>
              <w:rPr>
                <w:sz w:val="22"/>
                <w:szCs w:val="22"/>
              </w:rPr>
            </w:pPr>
            <w:r>
              <w:rPr>
                <w:spacing w:val="-4"/>
                <w:sz w:val="22"/>
                <w:szCs w:val="22"/>
              </w:rPr>
              <w:t>关内容</w:t>
            </w:r>
          </w:p>
        </w:tc>
        <w:tc>
          <w:tcPr>
            <w:tcW w:w="820" w:type="dxa"/>
            <w:vAlign w:val="top"/>
          </w:tcPr>
          <w:p w14:paraId="00348A43">
            <w:pPr>
              <w:spacing w:line="386" w:lineRule="auto"/>
              <w:rPr>
                <w:rFonts w:ascii="Arial"/>
                <w:sz w:val="21"/>
              </w:rPr>
            </w:pPr>
          </w:p>
          <w:p w14:paraId="530ACA9C">
            <w:pPr>
              <w:pStyle w:val="6"/>
              <w:spacing w:before="71" w:line="220" w:lineRule="auto"/>
              <w:ind w:left="202"/>
              <w:rPr>
                <w:sz w:val="22"/>
                <w:szCs w:val="22"/>
              </w:rPr>
            </w:pPr>
            <w:r>
              <w:rPr>
                <w:spacing w:val="-5"/>
                <w:sz w:val="22"/>
                <w:szCs w:val="22"/>
              </w:rPr>
              <w:t>符合</w:t>
            </w:r>
          </w:p>
        </w:tc>
        <w:tc>
          <w:tcPr>
            <w:tcW w:w="113" w:type="dxa"/>
            <w:tcBorders>
              <w:top w:val="nil"/>
              <w:bottom w:val="nil"/>
            </w:tcBorders>
            <w:vAlign w:val="top"/>
          </w:tcPr>
          <w:p w14:paraId="121A0209">
            <w:pPr>
              <w:rPr>
                <w:rFonts w:ascii="Arial"/>
                <w:sz w:val="21"/>
              </w:rPr>
            </w:pPr>
          </w:p>
        </w:tc>
      </w:tr>
      <w:tr w14:paraId="2F0F9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6" w:hRule="atLeast"/>
        </w:trPr>
        <w:tc>
          <w:tcPr>
            <w:tcW w:w="982" w:type="dxa"/>
            <w:vMerge w:val="continue"/>
            <w:tcBorders>
              <w:top w:val="nil"/>
              <w:bottom w:val="nil"/>
            </w:tcBorders>
            <w:vAlign w:val="top"/>
          </w:tcPr>
          <w:p w14:paraId="653F8DFD">
            <w:pPr>
              <w:rPr>
                <w:rFonts w:ascii="Arial"/>
                <w:sz w:val="21"/>
              </w:rPr>
            </w:pPr>
          </w:p>
        </w:tc>
        <w:tc>
          <w:tcPr>
            <w:tcW w:w="849" w:type="dxa"/>
            <w:vMerge w:val="continue"/>
            <w:tcBorders>
              <w:top w:val="nil"/>
            </w:tcBorders>
            <w:vAlign w:val="top"/>
          </w:tcPr>
          <w:p w14:paraId="26FCC53C">
            <w:pPr>
              <w:rPr>
                <w:rFonts w:ascii="Arial"/>
                <w:sz w:val="21"/>
              </w:rPr>
            </w:pPr>
          </w:p>
        </w:tc>
        <w:tc>
          <w:tcPr>
            <w:tcW w:w="7586" w:type="dxa"/>
            <w:vAlign w:val="top"/>
          </w:tcPr>
          <w:p w14:paraId="23F61A01">
            <w:pPr>
              <w:pStyle w:val="6"/>
              <w:spacing w:before="32" w:line="219" w:lineRule="auto"/>
              <w:jc w:val="right"/>
              <w:rPr>
                <w:sz w:val="22"/>
                <w:szCs w:val="22"/>
              </w:rPr>
            </w:pPr>
            <w:r>
              <w:rPr>
                <w:spacing w:val="-2"/>
                <w:sz w:val="22"/>
                <w:szCs w:val="22"/>
              </w:rPr>
              <w:t>第二条  以完善优势产业链发展作为方向，科学合理优化工业用地空间布局，</w:t>
            </w:r>
          </w:p>
          <w:p w14:paraId="4DD9EF7E">
            <w:pPr>
              <w:pStyle w:val="6"/>
              <w:spacing w:before="24" w:line="220" w:lineRule="auto"/>
              <w:jc w:val="right"/>
              <w:rPr>
                <w:sz w:val="22"/>
                <w:szCs w:val="22"/>
              </w:rPr>
            </w:pPr>
            <w:r>
              <w:rPr>
                <w:spacing w:val="-7"/>
                <w:sz w:val="22"/>
                <w:szCs w:val="22"/>
              </w:rPr>
              <w:t>推进产城融合高质量发展。有序推动九龙新城园区东部片区（原九龙工业园区）</w:t>
            </w:r>
          </w:p>
          <w:p w14:paraId="35AFDEED">
            <w:pPr>
              <w:pStyle w:val="6"/>
              <w:spacing w:before="23" w:line="220" w:lineRule="auto"/>
              <w:ind w:left="62"/>
              <w:rPr>
                <w:sz w:val="22"/>
                <w:szCs w:val="22"/>
              </w:rPr>
            </w:pPr>
            <w:r>
              <w:rPr>
                <w:rFonts w:ascii="Times New Roman" w:hAnsi="Times New Roman" w:eastAsia="Times New Roman" w:cs="Times New Roman"/>
                <w:spacing w:val="-2"/>
                <w:sz w:val="22"/>
                <w:szCs w:val="22"/>
              </w:rPr>
              <w:t>“</w:t>
            </w:r>
            <w:r>
              <w:rPr>
                <w:rFonts w:ascii="Times New Roman" w:hAnsi="Times New Roman" w:eastAsia="Times New Roman" w:cs="Times New Roman"/>
                <w:spacing w:val="-26"/>
                <w:sz w:val="22"/>
                <w:szCs w:val="22"/>
              </w:rPr>
              <w:t xml:space="preserve"> </w:t>
            </w:r>
            <w:r>
              <w:rPr>
                <w:spacing w:val="-2"/>
                <w:sz w:val="22"/>
                <w:szCs w:val="22"/>
              </w:rPr>
              <w:t>东三街</w:t>
            </w:r>
            <w:r>
              <w:rPr>
                <w:rFonts w:ascii="Times New Roman" w:hAnsi="Times New Roman" w:eastAsia="Times New Roman" w:cs="Times New Roman"/>
                <w:spacing w:val="-2"/>
                <w:sz w:val="22"/>
                <w:szCs w:val="22"/>
              </w:rPr>
              <w:t>”</w:t>
            </w:r>
            <w:r>
              <w:rPr>
                <w:spacing w:val="-2"/>
                <w:sz w:val="22"/>
                <w:szCs w:val="22"/>
              </w:rPr>
              <w:t>和九龙街道工业用地转型升级，重点发展制造服务业；推动九龙西城</w:t>
            </w:r>
          </w:p>
          <w:p w14:paraId="014776C8">
            <w:pPr>
              <w:pStyle w:val="6"/>
              <w:spacing w:before="23" w:line="219" w:lineRule="auto"/>
              <w:ind w:left="113"/>
              <w:rPr>
                <w:sz w:val="22"/>
                <w:szCs w:val="22"/>
              </w:rPr>
            </w:pPr>
            <w:r>
              <w:rPr>
                <w:spacing w:val="-3"/>
                <w:sz w:val="22"/>
                <w:szCs w:val="22"/>
              </w:rPr>
              <w:t>新能源、装备制造、新材料等产业往下游延伸</w:t>
            </w:r>
            <w:r>
              <w:rPr>
                <w:spacing w:val="-4"/>
                <w:sz w:val="22"/>
                <w:szCs w:val="22"/>
              </w:rPr>
              <w:t>。九龙新城园区西部片区（原西</w:t>
            </w:r>
          </w:p>
          <w:p w14:paraId="347DEEA2">
            <w:pPr>
              <w:pStyle w:val="6"/>
              <w:spacing w:before="24" w:line="220" w:lineRule="auto"/>
              <w:ind w:left="113"/>
              <w:rPr>
                <w:sz w:val="22"/>
                <w:szCs w:val="22"/>
              </w:rPr>
            </w:pPr>
            <w:r>
              <w:rPr>
                <w:spacing w:val="-3"/>
                <w:sz w:val="22"/>
                <w:szCs w:val="22"/>
              </w:rPr>
              <w:t>彭工业园区）内紧邻居住用地、中小学用地等</w:t>
            </w:r>
            <w:r>
              <w:rPr>
                <w:spacing w:val="-4"/>
                <w:sz w:val="22"/>
                <w:szCs w:val="22"/>
              </w:rPr>
              <w:t>的工业用地后续应严格控制高噪</w:t>
            </w:r>
          </w:p>
          <w:p w14:paraId="2EE63F36">
            <w:pPr>
              <w:pStyle w:val="6"/>
              <w:spacing w:before="24" w:line="206" w:lineRule="auto"/>
              <w:ind w:left="834"/>
              <w:rPr>
                <w:sz w:val="22"/>
                <w:szCs w:val="22"/>
              </w:rPr>
            </w:pPr>
            <w:r>
              <w:rPr>
                <w:spacing w:val="-1"/>
                <w:sz w:val="22"/>
                <w:szCs w:val="22"/>
              </w:rPr>
              <w:t>声、异味明显的项目入驻，并根据实际情况设置一定防护距离</w:t>
            </w:r>
          </w:p>
        </w:tc>
        <w:tc>
          <w:tcPr>
            <w:tcW w:w="3306" w:type="dxa"/>
            <w:vAlign w:val="top"/>
          </w:tcPr>
          <w:p w14:paraId="56DD3FB2">
            <w:pPr>
              <w:spacing w:line="245" w:lineRule="auto"/>
              <w:rPr>
                <w:rFonts w:ascii="Arial"/>
                <w:sz w:val="21"/>
              </w:rPr>
            </w:pPr>
          </w:p>
          <w:p w14:paraId="33B1735D">
            <w:pPr>
              <w:pStyle w:val="6"/>
              <w:spacing w:before="71" w:line="219" w:lineRule="auto"/>
              <w:ind w:left="123"/>
              <w:rPr>
                <w:sz w:val="22"/>
                <w:szCs w:val="22"/>
              </w:rPr>
            </w:pPr>
            <w:r>
              <w:rPr>
                <w:spacing w:val="-1"/>
                <w:sz w:val="22"/>
                <w:szCs w:val="22"/>
              </w:rPr>
              <w:t>本项目位于九龙坡区石堰村八社</w:t>
            </w:r>
          </w:p>
          <w:p w14:paraId="59D522C6">
            <w:pPr>
              <w:pStyle w:val="6"/>
              <w:spacing w:before="21" w:line="213" w:lineRule="auto"/>
              <w:ind w:left="158"/>
              <w:rPr>
                <w:sz w:val="22"/>
                <w:szCs w:val="22"/>
              </w:rPr>
            </w:pPr>
            <w:r>
              <w:rPr>
                <w:rFonts w:ascii="Times New Roman" w:hAnsi="Times New Roman" w:eastAsia="Times New Roman" w:cs="Times New Roman"/>
                <w:spacing w:val="-3"/>
                <w:sz w:val="22"/>
                <w:szCs w:val="22"/>
              </w:rPr>
              <w:t>(</w:t>
            </w:r>
            <w:r>
              <w:rPr>
                <w:spacing w:val="-3"/>
                <w:sz w:val="22"/>
                <w:szCs w:val="22"/>
              </w:rPr>
              <w:t>乔鹤佳苑小区旁</w:t>
            </w:r>
            <w:r>
              <w:rPr>
                <w:rFonts w:ascii="Times New Roman" w:hAnsi="Times New Roman" w:eastAsia="Times New Roman" w:cs="Times New Roman"/>
                <w:spacing w:val="-3"/>
                <w:sz w:val="22"/>
                <w:szCs w:val="22"/>
              </w:rPr>
              <w:t>)</w:t>
            </w:r>
            <w:r>
              <w:rPr>
                <w:rFonts w:ascii="Times New Roman" w:hAnsi="Times New Roman" w:eastAsia="Times New Roman" w:cs="Times New Roman"/>
                <w:spacing w:val="-20"/>
                <w:sz w:val="22"/>
                <w:szCs w:val="22"/>
              </w:rPr>
              <w:t xml:space="preserve"> </w:t>
            </w:r>
            <w:r>
              <w:rPr>
                <w:spacing w:val="-3"/>
                <w:sz w:val="22"/>
                <w:szCs w:val="22"/>
              </w:rPr>
              <w:t>，不属于九龙</w:t>
            </w:r>
          </w:p>
          <w:p w14:paraId="2174C55E">
            <w:pPr>
              <w:pStyle w:val="6"/>
              <w:spacing w:before="31" w:line="220" w:lineRule="auto"/>
              <w:ind w:left="123"/>
              <w:rPr>
                <w:sz w:val="22"/>
                <w:szCs w:val="22"/>
              </w:rPr>
            </w:pPr>
            <w:r>
              <w:rPr>
                <w:spacing w:val="-1"/>
                <w:sz w:val="22"/>
                <w:szCs w:val="22"/>
              </w:rPr>
              <w:t>新城园区内，项目无需设置防护</w:t>
            </w:r>
          </w:p>
          <w:p w14:paraId="5450D92F">
            <w:pPr>
              <w:pStyle w:val="6"/>
              <w:spacing w:before="23" w:line="221" w:lineRule="auto"/>
              <w:ind w:left="1441"/>
              <w:rPr>
                <w:sz w:val="22"/>
                <w:szCs w:val="22"/>
              </w:rPr>
            </w:pPr>
            <w:r>
              <w:rPr>
                <w:spacing w:val="-3"/>
                <w:sz w:val="22"/>
                <w:szCs w:val="22"/>
              </w:rPr>
              <w:t>距离</w:t>
            </w:r>
          </w:p>
        </w:tc>
        <w:tc>
          <w:tcPr>
            <w:tcW w:w="820" w:type="dxa"/>
            <w:vAlign w:val="top"/>
          </w:tcPr>
          <w:p w14:paraId="29DDAF13">
            <w:pPr>
              <w:spacing w:line="334" w:lineRule="auto"/>
              <w:rPr>
                <w:rFonts w:ascii="Arial"/>
                <w:sz w:val="21"/>
              </w:rPr>
            </w:pPr>
          </w:p>
          <w:p w14:paraId="61372FCA">
            <w:pPr>
              <w:spacing w:line="335" w:lineRule="auto"/>
              <w:rPr>
                <w:rFonts w:ascii="Arial"/>
                <w:sz w:val="21"/>
              </w:rPr>
            </w:pPr>
          </w:p>
          <w:p w14:paraId="146D63D2">
            <w:pPr>
              <w:pStyle w:val="6"/>
              <w:spacing w:before="72" w:line="220" w:lineRule="auto"/>
              <w:ind w:left="202"/>
              <w:rPr>
                <w:sz w:val="22"/>
                <w:szCs w:val="22"/>
              </w:rPr>
            </w:pPr>
            <w:r>
              <w:rPr>
                <w:spacing w:val="-5"/>
                <w:sz w:val="22"/>
                <w:szCs w:val="22"/>
              </w:rPr>
              <w:t>符合</w:t>
            </w:r>
          </w:p>
        </w:tc>
        <w:tc>
          <w:tcPr>
            <w:tcW w:w="113" w:type="dxa"/>
            <w:tcBorders>
              <w:top w:val="nil"/>
              <w:bottom w:val="nil"/>
            </w:tcBorders>
            <w:vAlign w:val="top"/>
          </w:tcPr>
          <w:p w14:paraId="2653EDEE">
            <w:pPr>
              <w:rPr>
                <w:rFonts w:ascii="Arial"/>
                <w:sz w:val="21"/>
              </w:rPr>
            </w:pPr>
          </w:p>
        </w:tc>
      </w:tr>
      <w:tr w14:paraId="1509C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982" w:type="dxa"/>
            <w:vMerge w:val="continue"/>
            <w:tcBorders>
              <w:top w:val="nil"/>
              <w:bottom w:val="nil"/>
            </w:tcBorders>
            <w:vAlign w:val="top"/>
          </w:tcPr>
          <w:p w14:paraId="199A6A67">
            <w:pPr>
              <w:rPr>
                <w:rFonts w:ascii="Arial"/>
                <w:sz w:val="21"/>
              </w:rPr>
            </w:pPr>
          </w:p>
        </w:tc>
        <w:tc>
          <w:tcPr>
            <w:tcW w:w="849" w:type="dxa"/>
            <w:vMerge w:val="restart"/>
            <w:tcBorders>
              <w:bottom w:val="nil"/>
            </w:tcBorders>
            <w:vAlign w:val="top"/>
          </w:tcPr>
          <w:p w14:paraId="59C08151">
            <w:pPr>
              <w:spacing w:line="254" w:lineRule="auto"/>
              <w:rPr>
                <w:rFonts w:ascii="Arial"/>
                <w:sz w:val="21"/>
              </w:rPr>
            </w:pPr>
          </w:p>
          <w:p w14:paraId="04DB632D">
            <w:pPr>
              <w:spacing w:line="254" w:lineRule="auto"/>
              <w:rPr>
                <w:rFonts w:ascii="Arial"/>
                <w:sz w:val="21"/>
              </w:rPr>
            </w:pPr>
          </w:p>
          <w:p w14:paraId="3FE6E42D">
            <w:pPr>
              <w:spacing w:line="254" w:lineRule="auto"/>
              <w:rPr>
                <w:rFonts w:ascii="Arial"/>
                <w:sz w:val="21"/>
              </w:rPr>
            </w:pPr>
          </w:p>
          <w:p w14:paraId="2C098D25">
            <w:pPr>
              <w:spacing w:line="254" w:lineRule="auto"/>
              <w:rPr>
                <w:rFonts w:ascii="Arial"/>
                <w:sz w:val="21"/>
              </w:rPr>
            </w:pPr>
          </w:p>
          <w:p w14:paraId="7C0EC953">
            <w:pPr>
              <w:spacing w:line="254" w:lineRule="auto"/>
              <w:rPr>
                <w:rFonts w:ascii="Arial"/>
                <w:sz w:val="21"/>
              </w:rPr>
            </w:pPr>
          </w:p>
          <w:p w14:paraId="3A6D2203">
            <w:pPr>
              <w:spacing w:line="254" w:lineRule="auto"/>
              <w:rPr>
                <w:rFonts w:ascii="Arial"/>
                <w:sz w:val="21"/>
              </w:rPr>
            </w:pPr>
          </w:p>
          <w:p w14:paraId="23C3EE26">
            <w:pPr>
              <w:pStyle w:val="6"/>
              <w:spacing w:before="72" w:line="241" w:lineRule="auto"/>
              <w:ind w:left="210" w:right="200" w:firstLine="1"/>
              <w:jc w:val="both"/>
              <w:rPr>
                <w:sz w:val="22"/>
                <w:szCs w:val="22"/>
              </w:rPr>
            </w:pPr>
            <w:r>
              <w:rPr>
                <w:spacing w:val="-5"/>
                <w:sz w:val="22"/>
                <w:szCs w:val="22"/>
              </w:rPr>
              <w:t>污染</w:t>
            </w:r>
            <w:r>
              <w:rPr>
                <w:spacing w:val="-4"/>
                <w:sz w:val="22"/>
                <w:szCs w:val="22"/>
              </w:rPr>
              <w:t>物排放管</w:t>
            </w:r>
            <w:r>
              <w:rPr>
                <w:spacing w:val="32"/>
                <w:w w:val="131"/>
                <w:sz w:val="22"/>
                <w:szCs w:val="22"/>
              </w:rPr>
              <w:t>控</w:t>
            </w:r>
          </w:p>
        </w:tc>
        <w:tc>
          <w:tcPr>
            <w:tcW w:w="7586" w:type="dxa"/>
            <w:vAlign w:val="top"/>
          </w:tcPr>
          <w:p w14:paraId="6A1BFD7B">
            <w:pPr>
              <w:spacing w:line="247" w:lineRule="auto"/>
              <w:rPr>
                <w:rFonts w:ascii="Arial"/>
                <w:sz w:val="21"/>
              </w:rPr>
            </w:pPr>
          </w:p>
          <w:p w14:paraId="20BF7C45">
            <w:pPr>
              <w:pStyle w:val="6"/>
              <w:spacing w:before="71" w:line="220" w:lineRule="auto"/>
              <w:ind w:left="112"/>
              <w:rPr>
                <w:sz w:val="22"/>
                <w:szCs w:val="22"/>
              </w:rPr>
            </w:pPr>
            <w:r>
              <w:rPr>
                <w:spacing w:val="-3"/>
                <w:sz w:val="22"/>
                <w:szCs w:val="22"/>
              </w:rPr>
              <w:t>第三条  执行重点管控单元市级总体要求第八条、第</w:t>
            </w:r>
            <w:r>
              <w:rPr>
                <w:spacing w:val="-4"/>
                <w:sz w:val="22"/>
                <w:szCs w:val="22"/>
              </w:rPr>
              <w:t>九条、第十一条、第十二</w:t>
            </w:r>
          </w:p>
          <w:p w14:paraId="01D1EE3E">
            <w:pPr>
              <w:pStyle w:val="6"/>
              <w:spacing w:before="21" w:line="220" w:lineRule="auto"/>
              <w:ind w:left="2590"/>
              <w:rPr>
                <w:sz w:val="22"/>
                <w:szCs w:val="22"/>
              </w:rPr>
            </w:pPr>
            <w:r>
              <w:rPr>
                <w:spacing w:val="-1"/>
                <w:sz w:val="22"/>
                <w:szCs w:val="22"/>
              </w:rPr>
              <w:t>条、第十四条和第十五条</w:t>
            </w:r>
          </w:p>
        </w:tc>
        <w:tc>
          <w:tcPr>
            <w:tcW w:w="3306" w:type="dxa"/>
            <w:vAlign w:val="top"/>
          </w:tcPr>
          <w:p w14:paraId="7542601A">
            <w:pPr>
              <w:pStyle w:val="6"/>
              <w:spacing w:before="34" w:line="219" w:lineRule="auto"/>
              <w:ind w:left="122"/>
              <w:rPr>
                <w:sz w:val="22"/>
                <w:szCs w:val="22"/>
              </w:rPr>
            </w:pPr>
            <w:r>
              <w:rPr>
                <w:spacing w:val="-1"/>
                <w:sz w:val="22"/>
                <w:szCs w:val="22"/>
              </w:rPr>
              <w:t>根据前述分析，本项目符合市级</w:t>
            </w:r>
          </w:p>
          <w:p w14:paraId="224595F6">
            <w:pPr>
              <w:pStyle w:val="6"/>
              <w:spacing w:before="24" w:line="220" w:lineRule="auto"/>
              <w:ind w:left="128"/>
              <w:rPr>
                <w:sz w:val="22"/>
                <w:szCs w:val="22"/>
              </w:rPr>
            </w:pPr>
            <w:r>
              <w:rPr>
                <w:spacing w:val="-2"/>
                <w:sz w:val="22"/>
                <w:szCs w:val="22"/>
              </w:rPr>
              <w:t>总体要求第八条、第九条、第十</w:t>
            </w:r>
          </w:p>
          <w:p w14:paraId="417B5E16">
            <w:pPr>
              <w:pStyle w:val="6"/>
              <w:spacing w:before="21" w:line="220" w:lineRule="auto"/>
              <w:ind w:left="125"/>
              <w:rPr>
                <w:sz w:val="22"/>
                <w:szCs w:val="22"/>
              </w:rPr>
            </w:pPr>
            <w:r>
              <w:rPr>
                <w:spacing w:val="-1"/>
                <w:sz w:val="22"/>
                <w:szCs w:val="22"/>
              </w:rPr>
              <w:t>一条、第十二条、第十四条和第</w:t>
            </w:r>
          </w:p>
          <w:p w14:paraId="0B655376">
            <w:pPr>
              <w:pStyle w:val="6"/>
              <w:spacing w:before="22" w:line="207" w:lineRule="auto"/>
              <w:ind w:left="891"/>
              <w:rPr>
                <w:sz w:val="22"/>
                <w:szCs w:val="22"/>
              </w:rPr>
            </w:pPr>
            <w:r>
              <w:rPr>
                <w:spacing w:val="-2"/>
                <w:sz w:val="22"/>
                <w:szCs w:val="22"/>
              </w:rPr>
              <w:t>十五条相关内容</w:t>
            </w:r>
          </w:p>
        </w:tc>
        <w:tc>
          <w:tcPr>
            <w:tcW w:w="820" w:type="dxa"/>
            <w:vAlign w:val="top"/>
          </w:tcPr>
          <w:p w14:paraId="5717C2CD">
            <w:pPr>
              <w:spacing w:line="387" w:lineRule="auto"/>
              <w:rPr>
                <w:rFonts w:ascii="Arial"/>
                <w:sz w:val="21"/>
              </w:rPr>
            </w:pPr>
          </w:p>
          <w:p w14:paraId="7A53FED6">
            <w:pPr>
              <w:pStyle w:val="6"/>
              <w:spacing w:before="72" w:line="220" w:lineRule="auto"/>
              <w:ind w:left="202"/>
              <w:rPr>
                <w:sz w:val="22"/>
                <w:szCs w:val="22"/>
              </w:rPr>
            </w:pPr>
            <w:r>
              <w:rPr>
                <w:spacing w:val="-5"/>
                <w:sz w:val="22"/>
                <w:szCs w:val="22"/>
              </w:rPr>
              <w:t>符合</w:t>
            </w:r>
          </w:p>
        </w:tc>
        <w:tc>
          <w:tcPr>
            <w:tcW w:w="113" w:type="dxa"/>
            <w:tcBorders>
              <w:top w:val="nil"/>
              <w:bottom w:val="nil"/>
            </w:tcBorders>
            <w:vAlign w:val="top"/>
          </w:tcPr>
          <w:p w14:paraId="744310FF">
            <w:pPr>
              <w:rPr>
                <w:rFonts w:ascii="Arial"/>
                <w:sz w:val="21"/>
              </w:rPr>
            </w:pPr>
          </w:p>
        </w:tc>
      </w:tr>
      <w:tr w14:paraId="77567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4" w:hRule="atLeast"/>
        </w:trPr>
        <w:tc>
          <w:tcPr>
            <w:tcW w:w="982" w:type="dxa"/>
            <w:vMerge w:val="continue"/>
            <w:tcBorders>
              <w:top w:val="nil"/>
            </w:tcBorders>
            <w:vAlign w:val="top"/>
          </w:tcPr>
          <w:p w14:paraId="422AC2FA">
            <w:pPr>
              <w:rPr>
                <w:rFonts w:ascii="Arial"/>
                <w:sz w:val="21"/>
              </w:rPr>
            </w:pPr>
          </w:p>
        </w:tc>
        <w:tc>
          <w:tcPr>
            <w:tcW w:w="849" w:type="dxa"/>
            <w:vMerge w:val="continue"/>
            <w:tcBorders>
              <w:top w:val="nil"/>
            </w:tcBorders>
            <w:vAlign w:val="top"/>
          </w:tcPr>
          <w:p w14:paraId="4C965DBA">
            <w:pPr>
              <w:rPr>
                <w:rFonts w:ascii="Arial"/>
                <w:sz w:val="21"/>
              </w:rPr>
            </w:pPr>
          </w:p>
        </w:tc>
        <w:tc>
          <w:tcPr>
            <w:tcW w:w="7586" w:type="dxa"/>
            <w:vAlign w:val="top"/>
          </w:tcPr>
          <w:p w14:paraId="282C3CA9">
            <w:pPr>
              <w:spacing w:line="271" w:lineRule="auto"/>
              <w:rPr>
                <w:rFonts w:ascii="Arial"/>
                <w:sz w:val="21"/>
              </w:rPr>
            </w:pPr>
          </w:p>
          <w:p w14:paraId="782A3E07">
            <w:pPr>
              <w:spacing w:line="271" w:lineRule="auto"/>
              <w:rPr>
                <w:rFonts w:ascii="Arial"/>
                <w:sz w:val="21"/>
              </w:rPr>
            </w:pPr>
          </w:p>
          <w:p w14:paraId="0893126E">
            <w:pPr>
              <w:spacing w:line="272" w:lineRule="auto"/>
              <w:rPr>
                <w:rFonts w:ascii="Arial"/>
                <w:sz w:val="21"/>
              </w:rPr>
            </w:pPr>
          </w:p>
          <w:p w14:paraId="1771C0CB">
            <w:pPr>
              <w:pStyle w:val="6"/>
              <w:spacing w:before="72" w:line="219" w:lineRule="auto"/>
              <w:ind w:left="112"/>
              <w:rPr>
                <w:sz w:val="22"/>
                <w:szCs w:val="22"/>
              </w:rPr>
            </w:pPr>
            <w:r>
              <w:rPr>
                <w:spacing w:val="-2"/>
                <w:sz w:val="22"/>
                <w:szCs w:val="22"/>
              </w:rPr>
              <w:t>第四条  以重点行业为抓手，深化挥发性有机物治</w:t>
            </w:r>
            <w:r>
              <w:rPr>
                <w:spacing w:val="-3"/>
                <w:sz w:val="22"/>
                <w:szCs w:val="22"/>
              </w:rPr>
              <w:t>理，减缓工居混杂矛盾。以</w:t>
            </w:r>
          </w:p>
          <w:p w14:paraId="1FC785E6">
            <w:pPr>
              <w:pStyle w:val="6"/>
              <w:spacing w:before="21" w:line="220" w:lineRule="auto"/>
              <w:jc w:val="right"/>
              <w:rPr>
                <w:sz w:val="22"/>
                <w:szCs w:val="22"/>
              </w:rPr>
            </w:pPr>
            <w:r>
              <w:rPr>
                <w:spacing w:val="-13"/>
                <w:sz w:val="22"/>
                <w:szCs w:val="22"/>
              </w:rPr>
              <w:t>工业涂装、汽车维修、油品储运销等行业为重点，推动重点行业持续提升低（无）</w:t>
            </w:r>
          </w:p>
          <w:p w14:paraId="1E195877">
            <w:pPr>
              <w:pStyle w:val="6"/>
              <w:spacing w:before="23" w:line="219" w:lineRule="auto"/>
              <w:ind w:left="105"/>
              <w:rPr>
                <w:sz w:val="22"/>
                <w:szCs w:val="22"/>
              </w:rPr>
            </w:pPr>
            <w:r>
              <w:rPr>
                <w:rFonts w:ascii="Times New Roman" w:hAnsi="Times New Roman" w:eastAsia="Times New Roman" w:cs="Times New Roman"/>
                <w:spacing w:val="-1"/>
                <w:sz w:val="22"/>
                <w:szCs w:val="22"/>
              </w:rPr>
              <w:t xml:space="preserve">VOCs </w:t>
            </w:r>
            <w:r>
              <w:rPr>
                <w:spacing w:val="-1"/>
                <w:sz w:val="22"/>
                <w:szCs w:val="22"/>
              </w:rPr>
              <w:t>含量、低反应活性的原辅材料替代比</w:t>
            </w:r>
            <w:r>
              <w:rPr>
                <w:spacing w:val="-2"/>
                <w:sz w:val="22"/>
                <w:szCs w:val="22"/>
              </w:rPr>
              <w:t>例，推进重点监管企业</w:t>
            </w:r>
            <w:r>
              <w:rPr>
                <w:spacing w:val="-53"/>
                <w:sz w:val="22"/>
                <w:szCs w:val="22"/>
              </w:rPr>
              <w:t xml:space="preserve"> </w:t>
            </w:r>
            <w:r>
              <w:rPr>
                <w:rFonts w:ascii="Times New Roman" w:hAnsi="Times New Roman" w:eastAsia="Times New Roman" w:cs="Times New Roman"/>
                <w:spacing w:val="-2"/>
                <w:sz w:val="22"/>
                <w:szCs w:val="22"/>
              </w:rPr>
              <w:t xml:space="preserve">VOCs </w:t>
            </w:r>
            <w:r>
              <w:rPr>
                <w:spacing w:val="-2"/>
                <w:sz w:val="22"/>
                <w:szCs w:val="22"/>
              </w:rPr>
              <w:t>综合</w:t>
            </w:r>
          </w:p>
          <w:p w14:paraId="0A336A3A">
            <w:pPr>
              <w:pStyle w:val="6"/>
              <w:spacing w:before="24" w:line="220" w:lineRule="auto"/>
              <w:ind w:left="113"/>
              <w:rPr>
                <w:sz w:val="22"/>
                <w:szCs w:val="22"/>
              </w:rPr>
            </w:pPr>
            <w:r>
              <w:rPr>
                <w:spacing w:val="-3"/>
                <w:sz w:val="22"/>
                <w:szCs w:val="22"/>
              </w:rPr>
              <w:t>整治。加强投诉较为集中的重点区域废气排放</w:t>
            </w:r>
            <w:r>
              <w:rPr>
                <w:spacing w:val="-4"/>
                <w:sz w:val="22"/>
                <w:szCs w:val="22"/>
              </w:rPr>
              <w:t>企业监督检查，加强重点排污企</w:t>
            </w:r>
          </w:p>
          <w:p w14:paraId="581FAB9E">
            <w:pPr>
              <w:pStyle w:val="6"/>
              <w:spacing w:before="23" w:line="221" w:lineRule="auto"/>
              <w:ind w:left="1928"/>
              <w:rPr>
                <w:sz w:val="22"/>
                <w:szCs w:val="22"/>
              </w:rPr>
            </w:pPr>
            <w:r>
              <w:rPr>
                <w:spacing w:val="-1"/>
                <w:sz w:val="22"/>
                <w:szCs w:val="22"/>
              </w:rPr>
              <w:t>业污染治理设施和在线监控建设和运维</w:t>
            </w:r>
          </w:p>
        </w:tc>
        <w:tc>
          <w:tcPr>
            <w:tcW w:w="3306" w:type="dxa"/>
            <w:vAlign w:val="top"/>
          </w:tcPr>
          <w:p w14:paraId="1A1C0ABF">
            <w:pPr>
              <w:pStyle w:val="6"/>
              <w:spacing w:before="34" w:line="219" w:lineRule="auto"/>
              <w:ind w:left="123"/>
              <w:rPr>
                <w:sz w:val="22"/>
                <w:szCs w:val="22"/>
              </w:rPr>
            </w:pPr>
            <w:r>
              <w:rPr>
                <w:sz w:val="22"/>
                <w:szCs w:val="22"/>
              </w:rPr>
              <w:t>本项目属于油品储运销行业，主</w:t>
            </w:r>
          </w:p>
          <w:p w14:paraId="39F00116">
            <w:pPr>
              <w:pStyle w:val="6"/>
              <w:spacing w:before="24" w:line="220" w:lineRule="auto"/>
              <w:ind w:left="123"/>
              <w:rPr>
                <w:sz w:val="22"/>
                <w:szCs w:val="22"/>
              </w:rPr>
            </w:pPr>
            <w:r>
              <w:rPr>
                <w:spacing w:val="-1"/>
                <w:sz w:val="22"/>
                <w:szCs w:val="22"/>
              </w:rPr>
              <w:t>要原料为汽油，储油罐储油罐保</w:t>
            </w:r>
          </w:p>
          <w:p w14:paraId="25C1B94A">
            <w:pPr>
              <w:pStyle w:val="6"/>
              <w:spacing w:before="23" w:line="220" w:lineRule="auto"/>
              <w:ind w:left="125"/>
              <w:rPr>
                <w:sz w:val="22"/>
                <w:szCs w:val="22"/>
              </w:rPr>
            </w:pPr>
            <w:r>
              <w:rPr>
                <w:spacing w:val="-1"/>
                <w:sz w:val="22"/>
                <w:szCs w:val="22"/>
              </w:rPr>
              <w:t>持完好，无缝隙；储油罐阀门仅</w:t>
            </w:r>
          </w:p>
          <w:p w14:paraId="2C16474C">
            <w:pPr>
              <w:pStyle w:val="6"/>
              <w:spacing w:before="23" w:line="219" w:lineRule="auto"/>
              <w:ind w:left="121"/>
              <w:rPr>
                <w:sz w:val="22"/>
                <w:szCs w:val="22"/>
              </w:rPr>
            </w:pPr>
            <w:r>
              <w:rPr>
                <w:spacing w:val="-1"/>
                <w:sz w:val="22"/>
                <w:szCs w:val="22"/>
              </w:rPr>
              <w:t>在采样、计量、检查、维护等情</w:t>
            </w:r>
          </w:p>
          <w:p w14:paraId="6693A575">
            <w:pPr>
              <w:pStyle w:val="6"/>
              <w:spacing w:before="24" w:line="220" w:lineRule="auto"/>
              <w:ind w:left="124"/>
              <w:rPr>
                <w:sz w:val="22"/>
                <w:szCs w:val="22"/>
              </w:rPr>
            </w:pPr>
            <w:r>
              <w:rPr>
                <w:spacing w:val="-4"/>
                <w:sz w:val="22"/>
                <w:szCs w:val="22"/>
              </w:rPr>
              <w:t>况下打开，</w:t>
            </w:r>
            <w:r>
              <w:rPr>
                <w:spacing w:val="-53"/>
                <w:sz w:val="22"/>
                <w:szCs w:val="22"/>
              </w:rPr>
              <w:t xml:space="preserve"> </w:t>
            </w:r>
            <w:r>
              <w:rPr>
                <w:spacing w:val="-4"/>
                <w:sz w:val="22"/>
                <w:szCs w:val="22"/>
              </w:rPr>
              <w:t>日常状态下关闭；项</w:t>
            </w:r>
          </w:p>
          <w:p w14:paraId="78EBC70A">
            <w:pPr>
              <w:pStyle w:val="6"/>
              <w:spacing w:before="23" w:line="220" w:lineRule="auto"/>
              <w:ind w:left="164"/>
              <w:rPr>
                <w:sz w:val="22"/>
                <w:szCs w:val="22"/>
              </w:rPr>
            </w:pPr>
            <w:r>
              <w:rPr>
                <w:spacing w:val="-4"/>
                <w:sz w:val="22"/>
                <w:szCs w:val="22"/>
              </w:rPr>
              <w:t>目设置一次卸油油气回收系统、</w:t>
            </w:r>
          </w:p>
          <w:p w14:paraId="3FA34309">
            <w:pPr>
              <w:pStyle w:val="6"/>
              <w:spacing w:before="21" w:line="220" w:lineRule="auto"/>
              <w:ind w:left="125"/>
              <w:rPr>
                <w:sz w:val="22"/>
                <w:szCs w:val="22"/>
              </w:rPr>
            </w:pPr>
            <w:r>
              <w:rPr>
                <w:spacing w:val="-1"/>
                <w:sz w:val="22"/>
                <w:szCs w:val="22"/>
              </w:rPr>
              <w:t>二次加油油气回收系统和三次储</w:t>
            </w:r>
          </w:p>
          <w:p w14:paraId="6F71A0AA">
            <w:pPr>
              <w:pStyle w:val="6"/>
              <w:spacing w:before="26" w:line="220" w:lineRule="auto"/>
              <w:ind w:left="125"/>
              <w:rPr>
                <w:sz w:val="22"/>
                <w:szCs w:val="22"/>
              </w:rPr>
            </w:pPr>
            <w:r>
              <w:rPr>
                <w:spacing w:val="-1"/>
                <w:sz w:val="22"/>
                <w:szCs w:val="22"/>
              </w:rPr>
              <w:t>油油罐油气回收系统，对卸车、</w:t>
            </w:r>
          </w:p>
          <w:p w14:paraId="2F820E2A">
            <w:pPr>
              <w:pStyle w:val="6"/>
              <w:spacing w:before="21" w:line="220" w:lineRule="auto"/>
              <w:ind w:left="230"/>
              <w:rPr>
                <w:sz w:val="22"/>
                <w:szCs w:val="22"/>
              </w:rPr>
            </w:pPr>
            <w:r>
              <w:rPr>
                <w:spacing w:val="-1"/>
                <w:sz w:val="22"/>
                <w:szCs w:val="22"/>
              </w:rPr>
              <w:t>加油、储油过程中产生的油气</w:t>
            </w:r>
          </w:p>
          <w:p w14:paraId="6697A412">
            <w:pPr>
              <w:pStyle w:val="6"/>
              <w:spacing w:before="24" w:line="220" w:lineRule="auto"/>
              <w:ind w:left="121"/>
              <w:rPr>
                <w:sz w:val="22"/>
                <w:szCs w:val="22"/>
              </w:rPr>
            </w:pPr>
            <w:r>
              <w:rPr>
                <w:spacing w:val="-8"/>
                <w:sz w:val="22"/>
                <w:szCs w:val="22"/>
              </w:rPr>
              <w:t>（</w:t>
            </w:r>
            <w:r>
              <w:rPr>
                <w:rFonts w:ascii="Times New Roman" w:hAnsi="Times New Roman" w:eastAsia="Times New Roman" w:cs="Times New Roman"/>
                <w:spacing w:val="-8"/>
                <w:sz w:val="22"/>
                <w:szCs w:val="22"/>
              </w:rPr>
              <w:t>VOCs</w:t>
            </w:r>
            <w:r>
              <w:rPr>
                <w:spacing w:val="-8"/>
                <w:sz w:val="22"/>
                <w:szCs w:val="22"/>
              </w:rPr>
              <w:t>）进行回收利用且每年定</w:t>
            </w:r>
          </w:p>
          <w:p w14:paraId="3975506F">
            <w:pPr>
              <w:pStyle w:val="6"/>
              <w:spacing w:before="23" w:line="215" w:lineRule="auto"/>
              <w:ind w:left="674"/>
              <w:rPr>
                <w:sz w:val="22"/>
                <w:szCs w:val="22"/>
              </w:rPr>
            </w:pPr>
            <w:r>
              <w:rPr>
                <w:spacing w:val="-2"/>
                <w:sz w:val="22"/>
                <w:szCs w:val="22"/>
              </w:rPr>
              <w:t>期检查油气回收系统</w:t>
            </w:r>
          </w:p>
        </w:tc>
        <w:tc>
          <w:tcPr>
            <w:tcW w:w="820" w:type="dxa"/>
            <w:vAlign w:val="top"/>
          </w:tcPr>
          <w:p w14:paraId="109BEC8D">
            <w:pPr>
              <w:spacing w:line="276" w:lineRule="auto"/>
              <w:rPr>
                <w:rFonts w:ascii="Arial"/>
                <w:sz w:val="21"/>
              </w:rPr>
            </w:pPr>
          </w:p>
          <w:p w14:paraId="0260C9D7">
            <w:pPr>
              <w:spacing w:line="276" w:lineRule="auto"/>
              <w:rPr>
                <w:rFonts w:ascii="Arial"/>
                <w:sz w:val="21"/>
              </w:rPr>
            </w:pPr>
          </w:p>
          <w:p w14:paraId="2ACB7A43">
            <w:pPr>
              <w:spacing w:line="276" w:lineRule="auto"/>
              <w:rPr>
                <w:rFonts w:ascii="Arial"/>
                <w:sz w:val="21"/>
              </w:rPr>
            </w:pPr>
          </w:p>
          <w:p w14:paraId="01A3EDF2">
            <w:pPr>
              <w:spacing w:line="277" w:lineRule="auto"/>
              <w:rPr>
                <w:rFonts w:ascii="Arial"/>
                <w:sz w:val="21"/>
              </w:rPr>
            </w:pPr>
          </w:p>
          <w:p w14:paraId="188C0D98">
            <w:pPr>
              <w:spacing w:line="277" w:lineRule="auto"/>
              <w:rPr>
                <w:rFonts w:ascii="Arial"/>
                <w:sz w:val="21"/>
              </w:rPr>
            </w:pPr>
          </w:p>
          <w:p w14:paraId="685A6498">
            <w:pPr>
              <w:pStyle w:val="6"/>
              <w:spacing w:before="71" w:line="220" w:lineRule="auto"/>
              <w:ind w:left="202"/>
              <w:rPr>
                <w:sz w:val="22"/>
                <w:szCs w:val="22"/>
              </w:rPr>
            </w:pPr>
            <w:r>
              <w:rPr>
                <w:spacing w:val="-5"/>
                <w:sz w:val="22"/>
                <w:szCs w:val="22"/>
              </w:rPr>
              <w:t>符合</w:t>
            </w:r>
          </w:p>
        </w:tc>
        <w:tc>
          <w:tcPr>
            <w:tcW w:w="113" w:type="dxa"/>
            <w:tcBorders>
              <w:top w:val="nil"/>
            </w:tcBorders>
            <w:vAlign w:val="top"/>
          </w:tcPr>
          <w:p w14:paraId="3FBA2989">
            <w:pPr>
              <w:rPr>
                <w:rFonts w:ascii="Arial"/>
                <w:sz w:val="21"/>
              </w:rPr>
            </w:pPr>
          </w:p>
        </w:tc>
      </w:tr>
    </w:tbl>
    <w:p w14:paraId="4DF286D7">
      <w:pPr>
        <w:pStyle w:val="2"/>
        <w:rPr>
          <w:sz w:val="21"/>
        </w:rPr>
      </w:pPr>
    </w:p>
    <w:p w14:paraId="7EA938AF">
      <w:pPr>
        <w:rPr>
          <w:sz w:val="21"/>
          <w:szCs w:val="21"/>
        </w:rPr>
        <w:sectPr>
          <w:footerReference r:id="rId26" w:type="default"/>
          <w:pgSz w:w="16839" w:h="11906"/>
          <w:pgMar w:top="400" w:right="1588" w:bottom="1006" w:left="1588" w:header="0" w:footer="768" w:gutter="0"/>
          <w:cols w:space="720" w:num="1"/>
        </w:sectPr>
      </w:pPr>
    </w:p>
    <w:p w14:paraId="56FF8A6D">
      <w:pPr>
        <w:spacing w:before="42"/>
      </w:pPr>
    </w:p>
    <w:p w14:paraId="0188D099">
      <w:pPr>
        <w:spacing w:before="41"/>
      </w:pPr>
    </w:p>
    <w:p w14:paraId="4337E9C8">
      <w:pPr>
        <w:spacing w:before="41"/>
      </w:pPr>
    </w:p>
    <w:p w14:paraId="5F0493E7">
      <w:pPr>
        <w:spacing w:before="41"/>
      </w:pPr>
    </w:p>
    <w:tbl>
      <w:tblPr>
        <w:tblStyle w:val="5"/>
        <w:tblW w:w="13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2"/>
        <w:gridCol w:w="849"/>
        <w:gridCol w:w="5320"/>
        <w:gridCol w:w="1099"/>
        <w:gridCol w:w="1167"/>
        <w:gridCol w:w="3306"/>
        <w:gridCol w:w="820"/>
        <w:gridCol w:w="113"/>
      </w:tblGrid>
      <w:tr w14:paraId="0022B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982" w:type="dxa"/>
            <w:vMerge w:val="restart"/>
            <w:tcBorders>
              <w:bottom w:val="nil"/>
            </w:tcBorders>
            <w:vAlign w:val="top"/>
          </w:tcPr>
          <w:p w14:paraId="0F5A2C2A">
            <w:pPr>
              <w:rPr>
                <w:rFonts w:ascii="Arial"/>
                <w:sz w:val="21"/>
              </w:rPr>
            </w:pPr>
          </w:p>
        </w:tc>
        <w:tc>
          <w:tcPr>
            <w:tcW w:w="849" w:type="dxa"/>
            <w:vMerge w:val="restart"/>
            <w:tcBorders>
              <w:bottom w:val="nil"/>
            </w:tcBorders>
            <w:vAlign w:val="top"/>
          </w:tcPr>
          <w:p w14:paraId="2152042F">
            <w:pPr>
              <w:rPr>
                <w:rFonts w:ascii="Arial"/>
                <w:sz w:val="21"/>
              </w:rPr>
            </w:pPr>
          </w:p>
        </w:tc>
        <w:tc>
          <w:tcPr>
            <w:tcW w:w="7586" w:type="dxa"/>
            <w:gridSpan w:val="3"/>
            <w:vAlign w:val="top"/>
          </w:tcPr>
          <w:p w14:paraId="51299F25">
            <w:pPr>
              <w:pStyle w:val="6"/>
              <w:spacing w:before="46" w:line="220" w:lineRule="auto"/>
              <w:jc w:val="right"/>
              <w:rPr>
                <w:sz w:val="22"/>
                <w:szCs w:val="22"/>
              </w:rPr>
            </w:pPr>
            <w:r>
              <w:rPr>
                <w:spacing w:val="-8"/>
                <w:sz w:val="22"/>
                <w:szCs w:val="22"/>
              </w:rPr>
              <w:t>第五条  以餐饮油烟为重点，强化生活污染防治。加大居民生活油烟排放治理，</w:t>
            </w:r>
          </w:p>
          <w:p w14:paraId="2E107E9A">
            <w:pPr>
              <w:pStyle w:val="6"/>
              <w:spacing w:before="23" w:line="220" w:lineRule="auto"/>
              <w:ind w:left="112"/>
              <w:rPr>
                <w:sz w:val="22"/>
                <w:szCs w:val="22"/>
              </w:rPr>
            </w:pPr>
            <w:r>
              <w:rPr>
                <w:spacing w:val="-3"/>
                <w:sz w:val="22"/>
                <w:szCs w:val="22"/>
              </w:rPr>
              <w:t>推动具备条件的餐饮单位安装餐饮油烟在线监控</w:t>
            </w:r>
            <w:r>
              <w:rPr>
                <w:spacing w:val="-4"/>
                <w:sz w:val="22"/>
                <w:szCs w:val="22"/>
              </w:rPr>
              <w:t>设施，加强对重点区域无油烟</w:t>
            </w:r>
          </w:p>
          <w:p w14:paraId="7AB8703A">
            <w:pPr>
              <w:pStyle w:val="6"/>
              <w:spacing w:before="22" w:line="208" w:lineRule="auto"/>
              <w:ind w:left="2591"/>
              <w:rPr>
                <w:sz w:val="22"/>
                <w:szCs w:val="22"/>
              </w:rPr>
            </w:pPr>
            <w:r>
              <w:rPr>
                <w:spacing w:val="-1"/>
                <w:sz w:val="22"/>
                <w:szCs w:val="22"/>
              </w:rPr>
              <w:t>净化设施露天摊位的管理</w:t>
            </w:r>
          </w:p>
        </w:tc>
        <w:tc>
          <w:tcPr>
            <w:tcW w:w="3306" w:type="dxa"/>
            <w:vAlign w:val="top"/>
          </w:tcPr>
          <w:p w14:paraId="0326FDFE">
            <w:pPr>
              <w:spacing w:line="259" w:lineRule="auto"/>
              <w:rPr>
                <w:rFonts w:ascii="Arial"/>
                <w:sz w:val="21"/>
              </w:rPr>
            </w:pPr>
          </w:p>
          <w:p w14:paraId="15DC4BBC">
            <w:pPr>
              <w:pStyle w:val="6"/>
              <w:spacing w:before="71" w:line="219" w:lineRule="auto"/>
              <w:ind w:left="562"/>
              <w:rPr>
                <w:sz w:val="22"/>
                <w:szCs w:val="22"/>
              </w:rPr>
            </w:pPr>
            <w:r>
              <w:rPr>
                <w:spacing w:val="-1"/>
                <w:sz w:val="22"/>
                <w:szCs w:val="22"/>
              </w:rPr>
              <w:t>本项目不涉及前述内容</w:t>
            </w:r>
          </w:p>
        </w:tc>
        <w:tc>
          <w:tcPr>
            <w:tcW w:w="820" w:type="dxa"/>
            <w:vAlign w:val="top"/>
          </w:tcPr>
          <w:p w14:paraId="7780A615">
            <w:pPr>
              <w:spacing w:line="259" w:lineRule="auto"/>
              <w:rPr>
                <w:rFonts w:ascii="Arial"/>
                <w:sz w:val="21"/>
              </w:rPr>
            </w:pPr>
          </w:p>
          <w:p w14:paraId="3E830979">
            <w:pPr>
              <w:pStyle w:val="6"/>
              <w:spacing w:before="71" w:line="220" w:lineRule="auto"/>
              <w:ind w:left="202"/>
              <w:rPr>
                <w:sz w:val="22"/>
                <w:szCs w:val="22"/>
              </w:rPr>
            </w:pPr>
            <w:r>
              <w:rPr>
                <w:spacing w:val="-5"/>
                <w:sz w:val="22"/>
                <w:szCs w:val="22"/>
              </w:rPr>
              <w:t>符合</w:t>
            </w:r>
          </w:p>
        </w:tc>
        <w:tc>
          <w:tcPr>
            <w:tcW w:w="113" w:type="dxa"/>
            <w:tcBorders>
              <w:bottom w:val="nil"/>
            </w:tcBorders>
            <w:vAlign w:val="top"/>
          </w:tcPr>
          <w:p w14:paraId="47482284">
            <w:pPr>
              <w:rPr>
                <w:rFonts w:ascii="Arial"/>
                <w:sz w:val="21"/>
              </w:rPr>
            </w:pPr>
          </w:p>
        </w:tc>
      </w:tr>
      <w:tr w14:paraId="26A93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6" w:hRule="atLeast"/>
        </w:trPr>
        <w:tc>
          <w:tcPr>
            <w:tcW w:w="982" w:type="dxa"/>
            <w:vMerge w:val="continue"/>
            <w:tcBorders>
              <w:top w:val="nil"/>
              <w:bottom w:val="nil"/>
            </w:tcBorders>
            <w:vAlign w:val="top"/>
          </w:tcPr>
          <w:p w14:paraId="68E989E6">
            <w:pPr>
              <w:rPr>
                <w:rFonts w:ascii="Arial"/>
                <w:sz w:val="21"/>
              </w:rPr>
            </w:pPr>
          </w:p>
        </w:tc>
        <w:tc>
          <w:tcPr>
            <w:tcW w:w="849" w:type="dxa"/>
            <w:vMerge w:val="continue"/>
            <w:tcBorders>
              <w:top w:val="nil"/>
              <w:bottom w:val="nil"/>
            </w:tcBorders>
            <w:vAlign w:val="top"/>
          </w:tcPr>
          <w:p w14:paraId="6101D9F1">
            <w:pPr>
              <w:rPr>
                <w:rFonts w:ascii="Arial"/>
                <w:sz w:val="21"/>
              </w:rPr>
            </w:pPr>
          </w:p>
        </w:tc>
        <w:tc>
          <w:tcPr>
            <w:tcW w:w="7586" w:type="dxa"/>
            <w:gridSpan w:val="3"/>
            <w:vAlign w:val="top"/>
          </w:tcPr>
          <w:p w14:paraId="7DDEEF2F">
            <w:pPr>
              <w:pStyle w:val="6"/>
              <w:spacing w:before="32" w:line="220" w:lineRule="auto"/>
              <w:ind w:left="112"/>
              <w:rPr>
                <w:sz w:val="22"/>
                <w:szCs w:val="22"/>
              </w:rPr>
            </w:pPr>
            <w:r>
              <w:rPr>
                <w:spacing w:val="-3"/>
                <w:sz w:val="22"/>
                <w:szCs w:val="22"/>
              </w:rPr>
              <w:t>第六条  以交通和扬尘污染治理为关键，提升环境空气</w:t>
            </w:r>
            <w:r>
              <w:rPr>
                <w:spacing w:val="-4"/>
                <w:sz w:val="22"/>
                <w:szCs w:val="22"/>
              </w:rPr>
              <w:t>质量。加快淘汰国三及</w:t>
            </w:r>
          </w:p>
          <w:p w14:paraId="758DEC70">
            <w:pPr>
              <w:pStyle w:val="6"/>
              <w:spacing w:before="21" w:line="220" w:lineRule="auto"/>
              <w:ind w:left="137"/>
              <w:rPr>
                <w:sz w:val="22"/>
                <w:szCs w:val="22"/>
              </w:rPr>
            </w:pPr>
            <w:r>
              <w:rPr>
                <w:spacing w:val="-4"/>
                <w:sz w:val="22"/>
                <w:szCs w:val="22"/>
              </w:rPr>
              <w:t>以下排放标准柴油车、汽油车，以运输企业和用车大户为重点，建</w:t>
            </w:r>
            <w:r>
              <w:rPr>
                <w:spacing w:val="-5"/>
                <w:sz w:val="22"/>
                <w:szCs w:val="22"/>
              </w:rPr>
              <w:t>立车辆档案</w:t>
            </w:r>
          </w:p>
          <w:p w14:paraId="03CEECB9">
            <w:pPr>
              <w:pStyle w:val="6"/>
              <w:spacing w:before="23" w:line="220" w:lineRule="auto"/>
              <w:jc w:val="right"/>
              <w:rPr>
                <w:sz w:val="22"/>
                <w:szCs w:val="22"/>
              </w:rPr>
            </w:pPr>
            <w:r>
              <w:rPr>
                <w:spacing w:val="-8"/>
                <w:sz w:val="22"/>
                <w:szCs w:val="22"/>
              </w:rPr>
              <w:t>并制定淘汰计划；严格落实中心城区高排放车辆限行措施；大力推广新能源</w:t>
            </w:r>
            <w:r>
              <w:rPr>
                <w:spacing w:val="-9"/>
                <w:sz w:val="22"/>
                <w:szCs w:val="22"/>
              </w:rPr>
              <w:t>车；</w:t>
            </w:r>
          </w:p>
          <w:p w14:paraId="5D634A8E">
            <w:pPr>
              <w:pStyle w:val="6"/>
              <w:spacing w:before="23" w:line="220" w:lineRule="auto"/>
              <w:ind w:left="112"/>
              <w:rPr>
                <w:sz w:val="22"/>
                <w:szCs w:val="22"/>
              </w:rPr>
            </w:pPr>
            <w:r>
              <w:rPr>
                <w:spacing w:val="-3"/>
                <w:sz w:val="22"/>
                <w:szCs w:val="22"/>
              </w:rPr>
              <w:t>加快发展城市轨道交通、智能交通和慢行交通，</w:t>
            </w:r>
            <w:r>
              <w:rPr>
                <w:spacing w:val="-4"/>
                <w:sz w:val="22"/>
                <w:szCs w:val="22"/>
              </w:rPr>
              <w:t>加快建设滨江步道，鼓励绿色</w:t>
            </w:r>
          </w:p>
          <w:p w14:paraId="44BDEC27">
            <w:pPr>
              <w:pStyle w:val="6"/>
              <w:spacing w:before="23" w:line="220" w:lineRule="auto"/>
              <w:ind w:left="131"/>
              <w:rPr>
                <w:sz w:val="22"/>
                <w:szCs w:val="22"/>
              </w:rPr>
            </w:pPr>
            <w:r>
              <w:rPr>
                <w:spacing w:val="-4"/>
                <w:sz w:val="22"/>
                <w:szCs w:val="22"/>
              </w:rPr>
              <w:t>出行；以九龙半岛、西部片区等区域为重点，加强施工扬尘监管，逐步推进建</w:t>
            </w:r>
          </w:p>
          <w:p w14:paraId="2405D04D">
            <w:pPr>
              <w:pStyle w:val="6"/>
              <w:spacing w:before="23" w:line="208" w:lineRule="auto"/>
              <w:ind w:left="1491"/>
              <w:rPr>
                <w:sz w:val="22"/>
                <w:szCs w:val="22"/>
              </w:rPr>
            </w:pPr>
            <w:r>
              <w:rPr>
                <w:spacing w:val="-1"/>
                <w:sz w:val="22"/>
                <w:szCs w:val="22"/>
              </w:rPr>
              <w:t>筑面积</w:t>
            </w:r>
            <w:r>
              <w:rPr>
                <w:spacing w:val="-45"/>
                <w:sz w:val="22"/>
                <w:szCs w:val="22"/>
              </w:rPr>
              <w:t xml:space="preserve"> </w:t>
            </w:r>
            <w:r>
              <w:rPr>
                <w:rFonts w:ascii="Times New Roman" w:hAnsi="Times New Roman" w:eastAsia="Times New Roman" w:cs="Times New Roman"/>
                <w:spacing w:val="-1"/>
                <w:sz w:val="22"/>
                <w:szCs w:val="22"/>
              </w:rPr>
              <w:t xml:space="preserve">2 </w:t>
            </w:r>
            <w:r>
              <w:rPr>
                <w:spacing w:val="-1"/>
                <w:sz w:val="22"/>
                <w:szCs w:val="22"/>
              </w:rPr>
              <w:t>万平方米以上的工地安装在线监控系统</w:t>
            </w:r>
          </w:p>
        </w:tc>
        <w:tc>
          <w:tcPr>
            <w:tcW w:w="3306" w:type="dxa"/>
            <w:vAlign w:val="top"/>
          </w:tcPr>
          <w:p w14:paraId="5BF302A3">
            <w:pPr>
              <w:spacing w:line="334" w:lineRule="auto"/>
              <w:rPr>
                <w:rFonts w:ascii="Arial"/>
                <w:sz w:val="21"/>
              </w:rPr>
            </w:pPr>
          </w:p>
          <w:p w14:paraId="42301F1B">
            <w:pPr>
              <w:spacing w:line="334" w:lineRule="auto"/>
              <w:rPr>
                <w:rFonts w:ascii="Arial"/>
                <w:sz w:val="21"/>
              </w:rPr>
            </w:pPr>
          </w:p>
          <w:p w14:paraId="3C3C1EE6">
            <w:pPr>
              <w:pStyle w:val="6"/>
              <w:spacing w:before="71" w:line="219" w:lineRule="auto"/>
              <w:ind w:left="562"/>
              <w:rPr>
                <w:sz w:val="22"/>
                <w:szCs w:val="22"/>
              </w:rPr>
            </w:pPr>
            <w:r>
              <w:rPr>
                <w:spacing w:val="-1"/>
                <w:sz w:val="22"/>
                <w:szCs w:val="22"/>
              </w:rPr>
              <w:t>本项目不涉及前述内容</w:t>
            </w:r>
          </w:p>
        </w:tc>
        <w:tc>
          <w:tcPr>
            <w:tcW w:w="820" w:type="dxa"/>
            <w:vAlign w:val="top"/>
          </w:tcPr>
          <w:p w14:paraId="1CC604AA">
            <w:pPr>
              <w:spacing w:line="333" w:lineRule="auto"/>
              <w:rPr>
                <w:rFonts w:ascii="Arial"/>
                <w:sz w:val="21"/>
              </w:rPr>
            </w:pPr>
          </w:p>
          <w:p w14:paraId="6B18CEB1">
            <w:pPr>
              <w:spacing w:line="334" w:lineRule="auto"/>
              <w:rPr>
                <w:rFonts w:ascii="Arial"/>
                <w:sz w:val="21"/>
              </w:rPr>
            </w:pPr>
          </w:p>
          <w:p w14:paraId="5E01A10C">
            <w:pPr>
              <w:pStyle w:val="6"/>
              <w:spacing w:before="72" w:line="220" w:lineRule="auto"/>
              <w:ind w:left="202"/>
              <w:rPr>
                <w:sz w:val="22"/>
                <w:szCs w:val="22"/>
              </w:rPr>
            </w:pPr>
            <w:r>
              <w:rPr>
                <w:spacing w:val="-5"/>
                <w:sz w:val="22"/>
                <w:szCs w:val="22"/>
              </w:rPr>
              <w:t>符合</w:t>
            </w:r>
          </w:p>
        </w:tc>
        <w:tc>
          <w:tcPr>
            <w:tcW w:w="113" w:type="dxa"/>
            <w:tcBorders>
              <w:top w:val="nil"/>
              <w:bottom w:val="nil"/>
            </w:tcBorders>
            <w:vAlign w:val="top"/>
          </w:tcPr>
          <w:p w14:paraId="24A83104">
            <w:pPr>
              <w:rPr>
                <w:rFonts w:ascii="Arial"/>
                <w:sz w:val="21"/>
              </w:rPr>
            </w:pPr>
          </w:p>
        </w:tc>
      </w:tr>
      <w:tr w14:paraId="2FB73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0" w:hRule="atLeast"/>
        </w:trPr>
        <w:tc>
          <w:tcPr>
            <w:tcW w:w="982" w:type="dxa"/>
            <w:vMerge w:val="continue"/>
            <w:tcBorders>
              <w:top w:val="nil"/>
              <w:bottom w:val="nil"/>
            </w:tcBorders>
            <w:vAlign w:val="top"/>
          </w:tcPr>
          <w:p w14:paraId="0F5281BD">
            <w:pPr>
              <w:rPr>
                <w:rFonts w:ascii="Arial"/>
                <w:sz w:val="21"/>
              </w:rPr>
            </w:pPr>
          </w:p>
        </w:tc>
        <w:tc>
          <w:tcPr>
            <w:tcW w:w="849" w:type="dxa"/>
            <w:vMerge w:val="continue"/>
            <w:tcBorders>
              <w:top w:val="nil"/>
              <w:bottom w:val="nil"/>
            </w:tcBorders>
            <w:vAlign w:val="top"/>
          </w:tcPr>
          <w:p w14:paraId="026A490E">
            <w:pPr>
              <w:rPr>
                <w:rFonts w:ascii="Arial"/>
                <w:sz w:val="21"/>
              </w:rPr>
            </w:pPr>
          </w:p>
        </w:tc>
        <w:tc>
          <w:tcPr>
            <w:tcW w:w="7586" w:type="dxa"/>
            <w:gridSpan w:val="3"/>
            <w:vAlign w:val="top"/>
          </w:tcPr>
          <w:p w14:paraId="07B6437F">
            <w:pPr>
              <w:pStyle w:val="6"/>
              <w:spacing w:before="31" w:line="233" w:lineRule="auto"/>
              <w:ind w:left="111" w:right="41"/>
              <w:jc w:val="both"/>
              <w:rPr>
                <w:sz w:val="22"/>
                <w:szCs w:val="22"/>
              </w:rPr>
            </w:pPr>
            <w:r>
              <w:rPr>
                <w:spacing w:val="-5"/>
                <w:sz w:val="22"/>
                <w:szCs w:val="22"/>
              </w:rPr>
              <w:t>第七条  以</w:t>
            </w:r>
            <w:r>
              <w:rPr>
                <w:rFonts w:ascii="Times New Roman" w:hAnsi="Times New Roman" w:eastAsia="Times New Roman" w:cs="Times New Roman"/>
                <w:spacing w:val="-5"/>
                <w:sz w:val="22"/>
                <w:szCs w:val="22"/>
              </w:rPr>
              <w:t>“</w:t>
            </w:r>
            <w:r>
              <w:rPr>
                <w:spacing w:val="-5"/>
                <w:sz w:val="22"/>
                <w:szCs w:val="22"/>
              </w:rPr>
              <w:t>三河六溪</w:t>
            </w:r>
            <w:r>
              <w:rPr>
                <w:rFonts w:ascii="Times New Roman" w:hAnsi="Times New Roman" w:eastAsia="Times New Roman" w:cs="Times New Roman"/>
                <w:spacing w:val="-5"/>
                <w:sz w:val="22"/>
                <w:szCs w:val="22"/>
              </w:rPr>
              <w:t>”</w:t>
            </w:r>
            <w:r>
              <w:rPr>
                <w:spacing w:val="-5"/>
                <w:sz w:val="22"/>
                <w:szCs w:val="22"/>
              </w:rPr>
              <w:t>污染综合治理为核心，改善次级河流水质。持续推</w:t>
            </w:r>
            <w:r>
              <w:rPr>
                <w:spacing w:val="-6"/>
                <w:sz w:val="22"/>
                <w:szCs w:val="22"/>
              </w:rPr>
              <w:t>进</w:t>
            </w:r>
            <w:r>
              <w:rPr>
                <w:rFonts w:ascii="Times New Roman" w:hAnsi="Times New Roman" w:eastAsia="Times New Roman" w:cs="Times New Roman"/>
                <w:spacing w:val="-6"/>
                <w:sz w:val="22"/>
                <w:szCs w:val="22"/>
              </w:rPr>
              <w:t>“</w:t>
            </w:r>
            <w:r>
              <w:rPr>
                <w:spacing w:val="-6"/>
                <w:sz w:val="22"/>
                <w:szCs w:val="22"/>
              </w:rPr>
              <w:t>三</w:t>
            </w:r>
            <w:r>
              <w:rPr>
                <w:spacing w:val="-4"/>
                <w:sz w:val="22"/>
                <w:szCs w:val="22"/>
              </w:rPr>
              <w:t>河六溪</w:t>
            </w:r>
            <w:r>
              <w:rPr>
                <w:rFonts w:ascii="Times New Roman" w:hAnsi="Times New Roman" w:eastAsia="Times New Roman" w:cs="Times New Roman"/>
                <w:spacing w:val="-4"/>
                <w:sz w:val="22"/>
                <w:szCs w:val="22"/>
              </w:rPr>
              <w:t>”</w:t>
            </w:r>
            <w:r>
              <w:rPr>
                <w:spacing w:val="-4"/>
                <w:sz w:val="22"/>
                <w:szCs w:val="22"/>
              </w:rPr>
              <w:t>污染综合治理。实施跳磴河水质提升攻坚行动</w:t>
            </w:r>
            <w:r>
              <w:rPr>
                <w:spacing w:val="-5"/>
                <w:sz w:val="22"/>
                <w:szCs w:val="22"/>
              </w:rPr>
              <w:t>，整治突出水环境问题，</w:t>
            </w:r>
            <w:r>
              <w:rPr>
                <w:spacing w:val="-3"/>
                <w:sz w:val="22"/>
                <w:szCs w:val="22"/>
              </w:rPr>
              <w:t>完成重点流域雨污分流整治、河道清淤疏浚等措施</w:t>
            </w:r>
            <w:r>
              <w:rPr>
                <w:spacing w:val="-4"/>
                <w:sz w:val="22"/>
                <w:szCs w:val="22"/>
              </w:rPr>
              <w:t>；推进桃花溪流域雨污分流</w:t>
            </w:r>
            <w:r>
              <w:rPr>
                <w:spacing w:val="-3"/>
                <w:sz w:val="22"/>
                <w:szCs w:val="22"/>
              </w:rPr>
              <w:t>整治；实施大溪河流域整治，强化流域跨界协同治</w:t>
            </w:r>
            <w:r>
              <w:rPr>
                <w:spacing w:val="-4"/>
                <w:sz w:val="22"/>
                <w:szCs w:val="22"/>
              </w:rPr>
              <w:t>理机制；深化六条滨河污染</w:t>
            </w:r>
            <w:r>
              <w:rPr>
                <w:spacing w:val="1"/>
                <w:sz w:val="22"/>
                <w:szCs w:val="22"/>
              </w:rPr>
              <w:t>治理，因地制宜开展水体内源污染治理和生态修复，增强河湖水体自净功能</w:t>
            </w:r>
          </w:p>
        </w:tc>
        <w:tc>
          <w:tcPr>
            <w:tcW w:w="3306" w:type="dxa"/>
            <w:vAlign w:val="top"/>
          </w:tcPr>
          <w:p w14:paraId="50D99991">
            <w:pPr>
              <w:spacing w:line="264" w:lineRule="auto"/>
              <w:rPr>
                <w:rFonts w:ascii="Arial"/>
                <w:sz w:val="21"/>
              </w:rPr>
            </w:pPr>
          </w:p>
          <w:p w14:paraId="66A45730">
            <w:pPr>
              <w:spacing w:line="265" w:lineRule="auto"/>
              <w:rPr>
                <w:rFonts w:ascii="Arial"/>
                <w:sz w:val="21"/>
              </w:rPr>
            </w:pPr>
          </w:p>
          <w:p w14:paraId="617AAB70">
            <w:pPr>
              <w:pStyle w:val="6"/>
              <w:spacing w:before="72" w:line="219" w:lineRule="auto"/>
              <w:ind w:left="562"/>
              <w:rPr>
                <w:sz w:val="22"/>
                <w:szCs w:val="22"/>
              </w:rPr>
            </w:pPr>
            <w:r>
              <w:rPr>
                <w:spacing w:val="-1"/>
                <w:sz w:val="22"/>
                <w:szCs w:val="22"/>
              </w:rPr>
              <w:t>本项目不涉及前述内容</w:t>
            </w:r>
          </w:p>
        </w:tc>
        <w:tc>
          <w:tcPr>
            <w:tcW w:w="820" w:type="dxa"/>
            <w:vAlign w:val="top"/>
          </w:tcPr>
          <w:p w14:paraId="216EA504">
            <w:pPr>
              <w:spacing w:line="264" w:lineRule="auto"/>
              <w:rPr>
                <w:rFonts w:ascii="Arial"/>
                <w:sz w:val="21"/>
              </w:rPr>
            </w:pPr>
          </w:p>
          <w:p w14:paraId="18992BE0">
            <w:pPr>
              <w:spacing w:line="265" w:lineRule="auto"/>
              <w:rPr>
                <w:rFonts w:ascii="Arial"/>
                <w:sz w:val="21"/>
              </w:rPr>
            </w:pPr>
          </w:p>
          <w:p w14:paraId="06CF61EE">
            <w:pPr>
              <w:pStyle w:val="6"/>
              <w:spacing w:before="71" w:line="220" w:lineRule="auto"/>
              <w:ind w:left="202"/>
              <w:rPr>
                <w:sz w:val="22"/>
                <w:szCs w:val="22"/>
              </w:rPr>
            </w:pPr>
            <w:r>
              <w:rPr>
                <w:spacing w:val="-5"/>
                <w:sz w:val="22"/>
                <w:szCs w:val="22"/>
              </w:rPr>
              <w:t>符合</w:t>
            </w:r>
          </w:p>
        </w:tc>
        <w:tc>
          <w:tcPr>
            <w:tcW w:w="113" w:type="dxa"/>
            <w:tcBorders>
              <w:top w:val="nil"/>
              <w:bottom w:val="nil"/>
            </w:tcBorders>
            <w:vAlign w:val="top"/>
          </w:tcPr>
          <w:p w14:paraId="49785B17">
            <w:pPr>
              <w:rPr>
                <w:rFonts w:ascii="Arial"/>
                <w:sz w:val="21"/>
              </w:rPr>
            </w:pPr>
          </w:p>
        </w:tc>
      </w:tr>
      <w:tr w14:paraId="32D2A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6" w:hRule="atLeast"/>
        </w:trPr>
        <w:tc>
          <w:tcPr>
            <w:tcW w:w="982" w:type="dxa"/>
            <w:vMerge w:val="continue"/>
            <w:tcBorders>
              <w:top w:val="nil"/>
              <w:bottom w:val="nil"/>
            </w:tcBorders>
            <w:vAlign w:val="top"/>
          </w:tcPr>
          <w:p w14:paraId="15966917">
            <w:pPr>
              <w:rPr>
                <w:rFonts w:ascii="Arial"/>
                <w:sz w:val="21"/>
              </w:rPr>
            </w:pPr>
          </w:p>
        </w:tc>
        <w:tc>
          <w:tcPr>
            <w:tcW w:w="849" w:type="dxa"/>
            <w:vMerge w:val="continue"/>
            <w:tcBorders>
              <w:top w:val="nil"/>
            </w:tcBorders>
            <w:vAlign w:val="top"/>
          </w:tcPr>
          <w:p w14:paraId="11FC41B7">
            <w:pPr>
              <w:rPr>
                <w:rFonts w:ascii="Arial"/>
                <w:sz w:val="21"/>
              </w:rPr>
            </w:pPr>
          </w:p>
        </w:tc>
        <w:tc>
          <w:tcPr>
            <w:tcW w:w="7586" w:type="dxa"/>
            <w:gridSpan w:val="3"/>
            <w:vAlign w:val="top"/>
          </w:tcPr>
          <w:p w14:paraId="47186331">
            <w:pPr>
              <w:pStyle w:val="6"/>
              <w:spacing w:before="35" w:line="219" w:lineRule="auto"/>
              <w:ind w:left="112"/>
              <w:rPr>
                <w:sz w:val="22"/>
                <w:szCs w:val="22"/>
              </w:rPr>
            </w:pPr>
            <w:r>
              <w:rPr>
                <w:spacing w:val="-3"/>
                <w:sz w:val="22"/>
                <w:szCs w:val="22"/>
              </w:rPr>
              <w:t>第八条  以农业种植和水产养殖为重点，强化面源污染</w:t>
            </w:r>
            <w:r>
              <w:rPr>
                <w:spacing w:val="-4"/>
                <w:sz w:val="22"/>
                <w:szCs w:val="22"/>
              </w:rPr>
              <w:t>防治。严格控制化肥农</w:t>
            </w:r>
          </w:p>
          <w:p w14:paraId="447497AB">
            <w:pPr>
              <w:pStyle w:val="6"/>
              <w:spacing w:before="24" w:line="219" w:lineRule="auto"/>
              <w:jc w:val="right"/>
              <w:rPr>
                <w:sz w:val="22"/>
                <w:szCs w:val="22"/>
              </w:rPr>
            </w:pPr>
            <w:r>
              <w:rPr>
                <w:spacing w:val="-8"/>
                <w:sz w:val="22"/>
                <w:szCs w:val="22"/>
              </w:rPr>
              <w:t>药使用量，推进化肥农药减量增效；加强九龙西城西彭镇高标准农田管护运营；</w:t>
            </w:r>
          </w:p>
          <w:p w14:paraId="02118209">
            <w:pPr>
              <w:pStyle w:val="6"/>
              <w:spacing w:before="21" w:line="220" w:lineRule="auto"/>
              <w:ind w:left="137"/>
              <w:rPr>
                <w:sz w:val="22"/>
                <w:szCs w:val="22"/>
              </w:rPr>
            </w:pPr>
            <w:r>
              <w:rPr>
                <w:spacing w:val="-4"/>
                <w:sz w:val="22"/>
                <w:szCs w:val="22"/>
              </w:rPr>
              <w:t>以九龙西城水产养殖污染防治为重点，全面推进池塘水产养殖综合治</w:t>
            </w:r>
            <w:r>
              <w:rPr>
                <w:spacing w:val="-5"/>
                <w:sz w:val="22"/>
                <w:szCs w:val="22"/>
              </w:rPr>
              <w:t>理，提高</w:t>
            </w:r>
          </w:p>
          <w:p w14:paraId="6293DCB4">
            <w:pPr>
              <w:pStyle w:val="6"/>
              <w:spacing w:before="23" w:line="207" w:lineRule="auto"/>
              <w:ind w:left="2590"/>
              <w:rPr>
                <w:sz w:val="22"/>
                <w:szCs w:val="22"/>
              </w:rPr>
            </w:pPr>
            <w:r>
              <w:rPr>
                <w:spacing w:val="-1"/>
                <w:sz w:val="22"/>
                <w:szCs w:val="22"/>
              </w:rPr>
              <w:t>养殖尾水治理设施覆盖率</w:t>
            </w:r>
          </w:p>
        </w:tc>
        <w:tc>
          <w:tcPr>
            <w:tcW w:w="3306" w:type="dxa"/>
            <w:vAlign w:val="top"/>
          </w:tcPr>
          <w:p w14:paraId="1F87981E">
            <w:pPr>
              <w:spacing w:line="388" w:lineRule="auto"/>
              <w:rPr>
                <w:rFonts w:ascii="Arial"/>
                <w:sz w:val="21"/>
              </w:rPr>
            </w:pPr>
          </w:p>
          <w:p w14:paraId="3090CD11">
            <w:pPr>
              <w:pStyle w:val="6"/>
              <w:spacing w:before="72" w:line="219" w:lineRule="auto"/>
              <w:ind w:left="562"/>
              <w:rPr>
                <w:sz w:val="22"/>
                <w:szCs w:val="22"/>
              </w:rPr>
            </w:pPr>
            <w:r>
              <w:rPr>
                <w:spacing w:val="-1"/>
                <w:sz w:val="22"/>
                <w:szCs w:val="22"/>
              </w:rPr>
              <w:t>本项目不涉及前述内容</w:t>
            </w:r>
          </w:p>
        </w:tc>
        <w:tc>
          <w:tcPr>
            <w:tcW w:w="820" w:type="dxa"/>
            <w:vAlign w:val="top"/>
          </w:tcPr>
          <w:p w14:paraId="3BA9CD7B">
            <w:pPr>
              <w:spacing w:line="388" w:lineRule="auto"/>
              <w:rPr>
                <w:rFonts w:ascii="Arial"/>
                <w:sz w:val="21"/>
              </w:rPr>
            </w:pPr>
          </w:p>
          <w:p w14:paraId="7C8F1B8F">
            <w:pPr>
              <w:pStyle w:val="6"/>
              <w:spacing w:before="72" w:line="220" w:lineRule="auto"/>
              <w:ind w:left="202"/>
              <w:rPr>
                <w:sz w:val="22"/>
                <w:szCs w:val="22"/>
              </w:rPr>
            </w:pPr>
            <w:r>
              <w:rPr>
                <w:spacing w:val="-5"/>
                <w:sz w:val="22"/>
                <w:szCs w:val="22"/>
              </w:rPr>
              <w:t>符合</w:t>
            </w:r>
          </w:p>
        </w:tc>
        <w:tc>
          <w:tcPr>
            <w:tcW w:w="113" w:type="dxa"/>
            <w:tcBorders>
              <w:top w:val="nil"/>
              <w:bottom w:val="nil"/>
            </w:tcBorders>
            <w:vAlign w:val="top"/>
          </w:tcPr>
          <w:p w14:paraId="0DFA89FC">
            <w:pPr>
              <w:rPr>
                <w:rFonts w:ascii="Arial"/>
                <w:sz w:val="21"/>
              </w:rPr>
            </w:pPr>
          </w:p>
        </w:tc>
      </w:tr>
      <w:tr w14:paraId="31A74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82" w:type="dxa"/>
            <w:vMerge w:val="continue"/>
            <w:tcBorders>
              <w:top w:val="nil"/>
              <w:bottom w:val="nil"/>
            </w:tcBorders>
            <w:vAlign w:val="top"/>
          </w:tcPr>
          <w:p w14:paraId="1099C8D6">
            <w:pPr>
              <w:rPr>
                <w:rFonts w:ascii="Arial"/>
                <w:sz w:val="21"/>
              </w:rPr>
            </w:pPr>
          </w:p>
        </w:tc>
        <w:tc>
          <w:tcPr>
            <w:tcW w:w="849" w:type="dxa"/>
            <w:vMerge w:val="restart"/>
            <w:tcBorders>
              <w:bottom w:val="nil"/>
            </w:tcBorders>
            <w:vAlign w:val="top"/>
          </w:tcPr>
          <w:p w14:paraId="6CD1D6AF">
            <w:pPr>
              <w:spacing w:line="277" w:lineRule="auto"/>
              <w:rPr>
                <w:rFonts w:ascii="Arial"/>
                <w:sz w:val="21"/>
              </w:rPr>
            </w:pPr>
          </w:p>
          <w:p w14:paraId="764C0010">
            <w:pPr>
              <w:spacing w:line="277" w:lineRule="auto"/>
              <w:rPr>
                <w:rFonts w:ascii="Arial"/>
                <w:sz w:val="21"/>
              </w:rPr>
            </w:pPr>
          </w:p>
          <w:p w14:paraId="02C97AB1">
            <w:pPr>
              <w:spacing w:line="277" w:lineRule="auto"/>
              <w:rPr>
                <w:rFonts w:ascii="Arial"/>
                <w:sz w:val="21"/>
              </w:rPr>
            </w:pPr>
          </w:p>
          <w:p w14:paraId="5C8F9668">
            <w:pPr>
              <w:spacing w:line="277" w:lineRule="auto"/>
              <w:rPr>
                <w:rFonts w:ascii="Arial"/>
                <w:sz w:val="21"/>
              </w:rPr>
            </w:pPr>
          </w:p>
          <w:p w14:paraId="1036EF39">
            <w:pPr>
              <w:pStyle w:val="6"/>
              <w:spacing w:before="71" w:line="241" w:lineRule="auto"/>
              <w:ind w:left="210" w:right="200"/>
              <w:jc w:val="both"/>
              <w:rPr>
                <w:sz w:val="22"/>
                <w:szCs w:val="22"/>
              </w:rPr>
            </w:pPr>
            <w:r>
              <w:rPr>
                <w:spacing w:val="-4"/>
                <w:sz w:val="22"/>
                <w:szCs w:val="22"/>
              </w:rPr>
              <w:t>环境风险防控</w:t>
            </w:r>
          </w:p>
        </w:tc>
        <w:tc>
          <w:tcPr>
            <w:tcW w:w="7586" w:type="dxa"/>
            <w:gridSpan w:val="3"/>
            <w:vAlign w:val="top"/>
          </w:tcPr>
          <w:p w14:paraId="007BB625">
            <w:pPr>
              <w:pStyle w:val="6"/>
              <w:spacing w:before="177" w:line="220" w:lineRule="auto"/>
              <w:ind w:left="1379"/>
              <w:rPr>
                <w:sz w:val="22"/>
                <w:szCs w:val="22"/>
              </w:rPr>
            </w:pPr>
            <w:r>
              <w:rPr>
                <w:spacing w:val="-1"/>
                <w:sz w:val="22"/>
                <w:szCs w:val="22"/>
              </w:rPr>
              <w:t>第九条  执行重点管控单元市级总体要求第十六条</w:t>
            </w:r>
          </w:p>
        </w:tc>
        <w:tc>
          <w:tcPr>
            <w:tcW w:w="3306" w:type="dxa"/>
            <w:vAlign w:val="top"/>
          </w:tcPr>
          <w:p w14:paraId="47951730">
            <w:pPr>
              <w:pStyle w:val="6"/>
              <w:spacing w:before="35" w:line="222" w:lineRule="auto"/>
              <w:ind w:left="346" w:right="105" w:hanging="224"/>
              <w:rPr>
                <w:sz w:val="22"/>
                <w:szCs w:val="22"/>
              </w:rPr>
            </w:pPr>
            <w:r>
              <w:rPr>
                <w:spacing w:val="-1"/>
                <w:sz w:val="22"/>
                <w:szCs w:val="22"/>
              </w:rPr>
              <w:t>根据前述分析，本项目符合市级</w:t>
            </w:r>
            <w:r>
              <w:rPr>
                <w:spacing w:val="-2"/>
                <w:sz w:val="22"/>
                <w:szCs w:val="22"/>
              </w:rPr>
              <w:t>总体要求第十六条相关内容</w:t>
            </w:r>
          </w:p>
        </w:tc>
        <w:tc>
          <w:tcPr>
            <w:tcW w:w="820" w:type="dxa"/>
            <w:vAlign w:val="top"/>
          </w:tcPr>
          <w:p w14:paraId="3AC4E3B3">
            <w:pPr>
              <w:pStyle w:val="6"/>
              <w:spacing w:before="177" w:line="220" w:lineRule="auto"/>
              <w:ind w:left="202"/>
              <w:rPr>
                <w:sz w:val="22"/>
                <w:szCs w:val="22"/>
              </w:rPr>
            </w:pPr>
            <w:r>
              <w:rPr>
                <w:spacing w:val="-5"/>
                <w:sz w:val="22"/>
                <w:szCs w:val="22"/>
              </w:rPr>
              <w:t>符合</w:t>
            </w:r>
          </w:p>
        </w:tc>
        <w:tc>
          <w:tcPr>
            <w:tcW w:w="113" w:type="dxa"/>
            <w:tcBorders>
              <w:top w:val="nil"/>
              <w:bottom w:val="nil"/>
            </w:tcBorders>
            <w:vAlign w:val="top"/>
          </w:tcPr>
          <w:p w14:paraId="69FAE4A3">
            <w:pPr>
              <w:rPr>
                <w:rFonts w:ascii="Arial"/>
                <w:sz w:val="21"/>
              </w:rPr>
            </w:pPr>
          </w:p>
        </w:tc>
      </w:tr>
      <w:tr w14:paraId="50A00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1" w:hRule="atLeast"/>
        </w:trPr>
        <w:tc>
          <w:tcPr>
            <w:tcW w:w="982" w:type="dxa"/>
            <w:vMerge w:val="continue"/>
            <w:tcBorders>
              <w:top w:val="nil"/>
              <w:bottom w:val="nil"/>
            </w:tcBorders>
            <w:vAlign w:val="top"/>
          </w:tcPr>
          <w:p w14:paraId="290B4CD3">
            <w:pPr>
              <w:rPr>
                <w:rFonts w:ascii="Arial"/>
                <w:sz w:val="21"/>
              </w:rPr>
            </w:pPr>
          </w:p>
        </w:tc>
        <w:tc>
          <w:tcPr>
            <w:tcW w:w="849" w:type="dxa"/>
            <w:vMerge w:val="continue"/>
            <w:tcBorders>
              <w:top w:val="nil"/>
              <w:bottom w:val="nil"/>
            </w:tcBorders>
            <w:vAlign w:val="top"/>
          </w:tcPr>
          <w:p w14:paraId="5C322474">
            <w:pPr>
              <w:rPr>
                <w:rFonts w:ascii="Arial"/>
                <w:sz w:val="21"/>
              </w:rPr>
            </w:pPr>
          </w:p>
        </w:tc>
        <w:tc>
          <w:tcPr>
            <w:tcW w:w="7586" w:type="dxa"/>
            <w:gridSpan w:val="3"/>
            <w:vAlign w:val="top"/>
          </w:tcPr>
          <w:p w14:paraId="1193E3EA">
            <w:pPr>
              <w:pStyle w:val="6"/>
              <w:spacing w:before="37" w:line="220" w:lineRule="auto"/>
              <w:ind w:left="112"/>
              <w:rPr>
                <w:sz w:val="22"/>
                <w:szCs w:val="22"/>
              </w:rPr>
            </w:pPr>
            <w:r>
              <w:rPr>
                <w:spacing w:val="-3"/>
                <w:sz w:val="22"/>
                <w:szCs w:val="22"/>
              </w:rPr>
              <w:t>第十条  以保障饮用水源安全为目标，完善区域环境风</w:t>
            </w:r>
            <w:r>
              <w:rPr>
                <w:spacing w:val="-4"/>
                <w:sz w:val="22"/>
                <w:szCs w:val="22"/>
              </w:rPr>
              <w:t>险措施。加强长江沿江</w:t>
            </w:r>
          </w:p>
          <w:p w14:paraId="4F472848">
            <w:pPr>
              <w:pStyle w:val="6"/>
              <w:spacing w:before="21" w:line="220" w:lineRule="auto"/>
              <w:ind w:left="129"/>
              <w:rPr>
                <w:sz w:val="22"/>
                <w:szCs w:val="22"/>
              </w:rPr>
            </w:pPr>
            <w:r>
              <w:rPr>
                <w:rFonts w:ascii="Times New Roman" w:hAnsi="Times New Roman" w:eastAsia="Times New Roman" w:cs="Times New Roman"/>
                <w:spacing w:val="-3"/>
                <w:sz w:val="22"/>
                <w:szCs w:val="22"/>
              </w:rPr>
              <w:t>1</w:t>
            </w:r>
            <w:r>
              <w:rPr>
                <w:rFonts w:ascii="Times New Roman" w:hAnsi="Times New Roman" w:eastAsia="Times New Roman" w:cs="Times New Roman"/>
                <w:spacing w:val="25"/>
                <w:sz w:val="22"/>
                <w:szCs w:val="22"/>
              </w:rPr>
              <w:t xml:space="preserve"> </w:t>
            </w:r>
            <w:r>
              <w:rPr>
                <w:spacing w:val="-3"/>
                <w:sz w:val="22"/>
                <w:szCs w:val="22"/>
              </w:rPr>
              <w:t>公里范围内化工企业及危化品仓库环境风险监管，进一步完善九龙新城园区</w:t>
            </w:r>
          </w:p>
          <w:p w14:paraId="6AF6B1EB">
            <w:pPr>
              <w:pStyle w:val="6"/>
              <w:spacing w:before="23" w:line="220" w:lineRule="auto"/>
              <w:ind w:left="117"/>
              <w:rPr>
                <w:sz w:val="22"/>
                <w:szCs w:val="22"/>
              </w:rPr>
            </w:pPr>
            <w:r>
              <w:rPr>
                <w:spacing w:val="-4"/>
                <w:sz w:val="22"/>
                <w:szCs w:val="22"/>
              </w:rPr>
              <w:t>西部片区（原西彭工业园区）铜罐驿组团流域级环境风险防范措施；九龙新城</w:t>
            </w:r>
          </w:p>
          <w:p w14:paraId="126ECA3C">
            <w:pPr>
              <w:pStyle w:val="6"/>
              <w:spacing w:before="23" w:line="220" w:lineRule="auto"/>
              <w:ind w:left="130"/>
              <w:rPr>
                <w:sz w:val="22"/>
                <w:szCs w:val="22"/>
              </w:rPr>
            </w:pPr>
            <w:r>
              <w:rPr>
                <w:spacing w:val="-4"/>
                <w:sz w:val="22"/>
                <w:szCs w:val="22"/>
              </w:rPr>
              <w:t>园区西部片区（原西彭工业园区）应与下游饮用水水源取水口运营单位建立水</w:t>
            </w:r>
          </w:p>
          <w:p w14:paraId="6D783C40">
            <w:pPr>
              <w:pStyle w:val="6"/>
              <w:spacing w:before="22" w:line="205" w:lineRule="auto"/>
              <w:ind w:left="2259"/>
              <w:rPr>
                <w:sz w:val="22"/>
                <w:szCs w:val="22"/>
              </w:rPr>
            </w:pPr>
            <w:r>
              <w:rPr>
                <w:spacing w:val="-1"/>
                <w:sz w:val="22"/>
                <w:szCs w:val="22"/>
              </w:rPr>
              <w:t>源地突发环境事件应急联动机制</w:t>
            </w:r>
          </w:p>
        </w:tc>
        <w:tc>
          <w:tcPr>
            <w:tcW w:w="3306" w:type="dxa"/>
            <w:vAlign w:val="top"/>
          </w:tcPr>
          <w:p w14:paraId="19D1F3B1">
            <w:pPr>
              <w:pStyle w:val="6"/>
              <w:spacing w:before="179" w:line="219" w:lineRule="auto"/>
              <w:ind w:left="123"/>
              <w:rPr>
                <w:sz w:val="22"/>
                <w:szCs w:val="22"/>
              </w:rPr>
            </w:pPr>
            <w:r>
              <w:rPr>
                <w:spacing w:val="-1"/>
                <w:sz w:val="22"/>
                <w:szCs w:val="22"/>
              </w:rPr>
              <w:t>本项目危废贮存点已按照《危险</w:t>
            </w:r>
          </w:p>
          <w:p w14:paraId="61698929">
            <w:pPr>
              <w:pStyle w:val="6"/>
              <w:spacing w:before="24" w:line="220" w:lineRule="auto"/>
              <w:ind w:left="450"/>
              <w:rPr>
                <w:sz w:val="22"/>
                <w:szCs w:val="22"/>
              </w:rPr>
            </w:pPr>
            <w:r>
              <w:rPr>
                <w:spacing w:val="-1"/>
                <w:sz w:val="22"/>
                <w:szCs w:val="22"/>
              </w:rPr>
              <w:t>废物贮存污染控制标准》</w:t>
            </w:r>
          </w:p>
          <w:p w14:paraId="39D85FD5">
            <w:pPr>
              <w:pStyle w:val="6"/>
              <w:spacing w:before="20" w:line="221" w:lineRule="auto"/>
              <w:ind w:left="121"/>
              <w:rPr>
                <w:sz w:val="22"/>
                <w:szCs w:val="22"/>
              </w:rPr>
            </w:pPr>
            <w:r>
              <w:rPr>
                <w:spacing w:val="-3"/>
                <w:sz w:val="22"/>
                <w:szCs w:val="22"/>
              </w:rPr>
              <w:t>（</w:t>
            </w:r>
            <w:r>
              <w:rPr>
                <w:rFonts w:ascii="Times New Roman" w:hAnsi="Times New Roman" w:eastAsia="Times New Roman" w:cs="Times New Roman"/>
                <w:spacing w:val="-3"/>
                <w:sz w:val="22"/>
                <w:szCs w:val="22"/>
              </w:rPr>
              <w:t>GB18597-2023</w:t>
            </w:r>
            <w:r>
              <w:rPr>
                <w:spacing w:val="-3"/>
                <w:sz w:val="22"/>
                <w:szCs w:val="22"/>
              </w:rPr>
              <w:t>）相关要求进行</w:t>
            </w:r>
          </w:p>
          <w:p w14:paraId="3D2C8046">
            <w:pPr>
              <w:pStyle w:val="6"/>
              <w:spacing w:before="22" w:line="219" w:lineRule="auto"/>
              <w:ind w:left="564"/>
              <w:rPr>
                <w:sz w:val="22"/>
                <w:szCs w:val="22"/>
              </w:rPr>
            </w:pPr>
            <w:r>
              <w:rPr>
                <w:spacing w:val="-2"/>
                <w:sz w:val="22"/>
                <w:szCs w:val="22"/>
              </w:rPr>
              <w:t>建设，可直接依托利用</w:t>
            </w:r>
          </w:p>
        </w:tc>
        <w:tc>
          <w:tcPr>
            <w:tcW w:w="820" w:type="dxa"/>
            <w:vAlign w:val="top"/>
          </w:tcPr>
          <w:p w14:paraId="309E6358">
            <w:pPr>
              <w:spacing w:line="265" w:lineRule="auto"/>
              <w:rPr>
                <w:rFonts w:ascii="Arial"/>
                <w:sz w:val="21"/>
              </w:rPr>
            </w:pPr>
          </w:p>
          <w:p w14:paraId="2D64CDE8">
            <w:pPr>
              <w:spacing w:line="266" w:lineRule="auto"/>
              <w:rPr>
                <w:rFonts w:ascii="Arial"/>
                <w:sz w:val="21"/>
              </w:rPr>
            </w:pPr>
          </w:p>
          <w:p w14:paraId="428E4320">
            <w:pPr>
              <w:pStyle w:val="6"/>
              <w:spacing w:before="71" w:line="220" w:lineRule="auto"/>
              <w:ind w:left="202"/>
              <w:rPr>
                <w:sz w:val="22"/>
                <w:szCs w:val="22"/>
              </w:rPr>
            </w:pPr>
            <w:r>
              <w:rPr>
                <w:spacing w:val="-5"/>
                <w:sz w:val="22"/>
                <w:szCs w:val="22"/>
              </w:rPr>
              <w:t>符合</w:t>
            </w:r>
          </w:p>
        </w:tc>
        <w:tc>
          <w:tcPr>
            <w:tcW w:w="113" w:type="dxa"/>
            <w:tcBorders>
              <w:top w:val="nil"/>
              <w:bottom w:val="nil"/>
            </w:tcBorders>
            <w:vAlign w:val="top"/>
          </w:tcPr>
          <w:p w14:paraId="0195CCA7">
            <w:pPr>
              <w:rPr>
                <w:rFonts w:ascii="Arial"/>
                <w:sz w:val="21"/>
              </w:rPr>
            </w:pPr>
          </w:p>
        </w:tc>
      </w:tr>
      <w:tr w14:paraId="5F656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982" w:type="dxa"/>
            <w:vMerge w:val="continue"/>
            <w:tcBorders>
              <w:top w:val="nil"/>
              <w:bottom w:val="nil"/>
            </w:tcBorders>
            <w:vAlign w:val="top"/>
          </w:tcPr>
          <w:p w14:paraId="494EF97B">
            <w:pPr>
              <w:rPr>
                <w:rFonts w:ascii="Arial"/>
                <w:sz w:val="21"/>
              </w:rPr>
            </w:pPr>
          </w:p>
        </w:tc>
        <w:tc>
          <w:tcPr>
            <w:tcW w:w="849" w:type="dxa"/>
            <w:vMerge w:val="continue"/>
            <w:tcBorders>
              <w:top w:val="nil"/>
            </w:tcBorders>
            <w:vAlign w:val="top"/>
          </w:tcPr>
          <w:p w14:paraId="540C1A6F">
            <w:pPr>
              <w:rPr>
                <w:rFonts w:ascii="Arial"/>
                <w:sz w:val="21"/>
              </w:rPr>
            </w:pPr>
          </w:p>
        </w:tc>
        <w:tc>
          <w:tcPr>
            <w:tcW w:w="7586" w:type="dxa"/>
            <w:gridSpan w:val="3"/>
            <w:vAlign w:val="top"/>
          </w:tcPr>
          <w:p w14:paraId="3684EEFF">
            <w:pPr>
              <w:pStyle w:val="6"/>
              <w:spacing w:before="36" w:line="220" w:lineRule="auto"/>
              <w:ind w:left="112"/>
              <w:rPr>
                <w:sz w:val="22"/>
                <w:szCs w:val="22"/>
              </w:rPr>
            </w:pPr>
            <w:r>
              <w:rPr>
                <w:spacing w:val="-3"/>
                <w:sz w:val="22"/>
                <w:szCs w:val="22"/>
              </w:rPr>
              <w:t>第十一条  以保障</w:t>
            </w:r>
            <w:r>
              <w:rPr>
                <w:rFonts w:ascii="Times New Roman" w:hAnsi="Times New Roman" w:eastAsia="Times New Roman" w:cs="Times New Roman"/>
                <w:spacing w:val="-3"/>
                <w:sz w:val="22"/>
                <w:szCs w:val="22"/>
              </w:rPr>
              <w:t>“</w:t>
            </w:r>
            <w:r>
              <w:rPr>
                <w:spacing w:val="-3"/>
                <w:sz w:val="22"/>
                <w:szCs w:val="22"/>
              </w:rPr>
              <w:t>一住两公</w:t>
            </w:r>
            <w:r>
              <w:rPr>
                <w:rFonts w:ascii="Times New Roman" w:hAnsi="Times New Roman" w:eastAsia="Times New Roman" w:cs="Times New Roman"/>
                <w:spacing w:val="-3"/>
                <w:sz w:val="22"/>
                <w:szCs w:val="22"/>
              </w:rPr>
              <w:t>”</w:t>
            </w:r>
            <w:r>
              <w:rPr>
                <w:spacing w:val="-3"/>
                <w:sz w:val="22"/>
                <w:szCs w:val="22"/>
              </w:rPr>
              <w:t>重点建设用地安全为目标，持续推进污染土壤治</w:t>
            </w:r>
          </w:p>
          <w:p w14:paraId="05464DE7">
            <w:pPr>
              <w:pStyle w:val="6"/>
              <w:spacing w:before="23" w:line="220" w:lineRule="auto"/>
              <w:ind w:left="115"/>
              <w:rPr>
                <w:sz w:val="22"/>
                <w:szCs w:val="22"/>
              </w:rPr>
            </w:pPr>
            <w:r>
              <w:rPr>
                <w:spacing w:val="-4"/>
                <w:sz w:val="22"/>
                <w:szCs w:val="22"/>
              </w:rPr>
              <w:t>理，守牢土地安全利用底线。根据土壤污染状况合理确定土地用途，推进工业</w:t>
            </w:r>
          </w:p>
          <w:p w14:paraId="0753AFD0">
            <w:pPr>
              <w:pStyle w:val="6"/>
              <w:spacing w:before="20" w:line="219" w:lineRule="auto"/>
              <w:ind w:left="115"/>
              <w:rPr>
                <w:sz w:val="22"/>
                <w:szCs w:val="22"/>
              </w:rPr>
            </w:pPr>
            <w:r>
              <w:rPr>
                <w:spacing w:val="-4"/>
                <w:sz w:val="22"/>
                <w:szCs w:val="22"/>
              </w:rPr>
              <w:t>企业腾退地块土壤污染状况调查评估及治理修复。未依法完成土壤污染状况调</w:t>
            </w:r>
          </w:p>
          <w:p w14:paraId="3CE5B93E">
            <w:pPr>
              <w:pStyle w:val="6"/>
              <w:spacing w:before="25" w:line="205" w:lineRule="auto"/>
              <w:ind w:left="611"/>
              <w:rPr>
                <w:sz w:val="22"/>
                <w:szCs w:val="22"/>
              </w:rPr>
            </w:pPr>
            <w:r>
              <w:rPr>
                <w:spacing w:val="-1"/>
                <w:sz w:val="22"/>
                <w:szCs w:val="22"/>
              </w:rPr>
              <w:t>查和风险评估的地块，不得开工建设与风险管控和修复无关的项目</w:t>
            </w:r>
          </w:p>
        </w:tc>
        <w:tc>
          <w:tcPr>
            <w:tcW w:w="3306" w:type="dxa"/>
            <w:vAlign w:val="top"/>
          </w:tcPr>
          <w:p w14:paraId="5B6442F9">
            <w:pPr>
              <w:spacing w:line="247" w:lineRule="auto"/>
              <w:rPr>
                <w:rFonts w:ascii="Arial"/>
                <w:sz w:val="21"/>
              </w:rPr>
            </w:pPr>
          </w:p>
          <w:p w14:paraId="3DF4A8EF">
            <w:pPr>
              <w:pStyle w:val="6"/>
              <w:spacing w:before="72"/>
              <w:ind w:left="569" w:right="105" w:hanging="446"/>
              <w:rPr>
                <w:sz w:val="22"/>
                <w:szCs w:val="22"/>
              </w:rPr>
            </w:pPr>
            <w:r>
              <w:rPr>
                <w:spacing w:val="-1"/>
                <w:sz w:val="22"/>
                <w:szCs w:val="22"/>
              </w:rPr>
              <w:t>本项目在现有加油站基础上进行</w:t>
            </w:r>
            <w:r>
              <w:rPr>
                <w:spacing w:val="-2"/>
                <w:sz w:val="22"/>
                <w:szCs w:val="22"/>
              </w:rPr>
              <w:t>改造，不涉及污染地块</w:t>
            </w:r>
          </w:p>
        </w:tc>
        <w:tc>
          <w:tcPr>
            <w:tcW w:w="820" w:type="dxa"/>
            <w:vAlign w:val="top"/>
          </w:tcPr>
          <w:p w14:paraId="78167811">
            <w:pPr>
              <w:spacing w:line="389" w:lineRule="auto"/>
              <w:rPr>
                <w:rFonts w:ascii="Arial"/>
                <w:sz w:val="21"/>
              </w:rPr>
            </w:pPr>
          </w:p>
          <w:p w14:paraId="24CCF977">
            <w:pPr>
              <w:pStyle w:val="6"/>
              <w:spacing w:before="72" w:line="220" w:lineRule="auto"/>
              <w:ind w:left="202"/>
              <w:rPr>
                <w:sz w:val="22"/>
                <w:szCs w:val="22"/>
              </w:rPr>
            </w:pPr>
            <w:r>
              <w:rPr>
                <w:spacing w:val="-5"/>
                <w:sz w:val="22"/>
                <w:szCs w:val="22"/>
              </w:rPr>
              <w:t>符合</w:t>
            </w:r>
          </w:p>
        </w:tc>
        <w:tc>
          <w:tcPr>
            <w:tcW w:w="113" w:type="dxa"/>
            <w:tcBorders>
              <w:top w:val="nil"/>
              <w:bottom w:val="nil"/>
            </w:tcBorders>
            <w:vAlign w:val="top"/>
          </w:tcPr>
          <w:p w14:paraId="32CE3E17">
            <w:pPr>
              <w:rPr>
                <w:rFonts w:ascii="Arial"/>
                <w:sz w:val="21"/>
              </w:rPr>
            </w:pPr>
          </w:p>
        </w:tc>
      </w:tr>
      <w:tr w14:paraId="12BC7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982" w:type="dxa"/>
            <w:vMerge w:val="continue"/>
            <w:tcBorders>
              <w:top w:val="nil"/>
            </w:tcBorders>
            <w:vAlign w:val="top"/>
          </w:tcPr>
          <w:p w14:paraId="08C46122">
            <w:pPr>
              <w:rPr>
                <w:rFonts w:ascii="Arial"/>
                <w:sz w:val="21"/>
              </w:rPr>
            </w:pPr>
          </w:p>
        </w:tc>
        <w:tc>
          <w:tcPr>
            <w:tcW w:w="849" w:type="dxa"/>
            <w:vAlign w:val="top"/>
          </w:tcPr>
          <w:p w14:paraId="3FD4ECF8">
            <w:pPr>
              <w:pStyle w:val="6"/>
              <w:spacing w:before="64" w:line="222" w:lineRule="auto"/>
              <w:ind w:left="219"/>
              <w:rPr>
                <w:sz w:val="22"/>
                <w:szCs w:val="22"/>
              </w:rPr>
            </w:pPr>
            <w:r>
              <w:rPr>
                <w:spacing w:val="-9"/>
                <w:sz w:val="22"/>
                <w:szCs w:val="22"/>
              </w:rPr>
              <w:t>资源</w:t>
            </w:r>
          </w:p>
        </w:tc>
        <w:tc>
          <w:tcPr>
            <w:tcW w:w="5320" w:type="dxa"/>
            <w:tcBorders>
              <w:right w:val="nil"/>
            </w:tcBorders>
            <w:vAlign w:val="top"/>
          </w:tcPr>
          <w:p w14:paraId="3CA4A043">
            <w:pPr>
              <w:pStyle w:val="6"/>
              <w:spacing w:before="64" w:line="220" w:lineRule="auto"/>
              <w:jc w:val="right"/>
              <w:rPr>
                <w:sz w:val="22"/>
                <w:szCs w:val="22"/>
              </w:rPr>
            </w:pPr>
            <w:r>
              <w:rPr>
                <w:spacing w:val="-3"/>
                <w:sz w:val="22"/>
                <w:szCs w:val="22"/>
              </w:rPr>
              <w:t>第十二条  执行重点管控单元市级总体要求第十八条、</w:t>
            </w:r>
          </w:p>
        </w:tc>
        <w:tc>
          <w:tcPr>
            <w:tcW w:w="1099" w:type="dxa"/>
            <w:tcBorders>
              <w:left w:val="nil"/>
              <w:right w:val="nil"/>
            </w:tcBorders>
            <w:vAlign w:val="top"/>
          </w:tcPr>
          <w:p w14:paraId="355EFFF1">
            <w:pPr>
              <w:pStyle w:val="6"/>
              <w:spacing w:before="64" w:line="220" w:lineRule="auto"/>
              <w:jc w:val="right"/>
              <w:rPr>
                <w:sz w:val="22"/>
                <w:szCs w:val="22"/>
              </w:rPr>
            </w:pPr>
            <w:r>
              <w:rPr>
                <w:spacing w:val="-16"/>
                <w:sz w:val="22"/>
                <w:szCs w:val="22"/>
              </w:rPr>
              <w:t>第十九条、</w:t>
            </w:r>
          </w:p>
        </w:tc>
        <w:tc>
          <w:tcPr>
            <w:tcW w:w="1167" w:type="dxa"/>
            <w:tcBorders>
              <w:left w:val="nil"/>
            </w:tcBorders>
            <w:vAlign w:val="top"/>
          </w:tcPr>
          <w:p w14:paraId="779E9795">
            <w:pPr>
              <w:pStyle w:val="6"/>
              <w:spacing w:before="64" w:line="220" w:lineRule="auto"/>
              <w:jc w:val="right"/>
              <w:rPr>
                <w:sz w:val="22"/>
                <w:szCs w:val="22"/>
              </w:rPr>
            </w:pPr>
            <w:r>
              <w:rPr>
                <w:spacing w:val="-9"/>
                <w:sz w:val="22"/>
                <w:szCs w:val="22"/>
              </w:rPr>
              <w:t>第二十条、</w:t>
            </w:r>
          </w:p>
        </w:tc>
        <w:tc>
          <w:tcPr>
            <w:tcW w:w="3306" w:type="dxa"/>
            <w:vAlign w:val="top"/>
          </w:tcPr>
          <w:p w14:paraId="77D5F8B0">
            <w:pPr>
              <w:pStyle w:val="6"/>
              <w:spacing w:before="65" w:line="219" w:lineRule="auto"/>
              <w:ind w:left="122"/>
              <w:rPr>
                <w:sz w:val="22"/>
                <w:szCs w:val="22"/>
              </w:rPr>
            </w:pPr>
            <w:r>
              <w:rPr>
                <w:spacing w:val="-1"/>
                <w:sz w:val="22"/>
                <w:szCs w:val="22"/>
              </w:rPr>
              <w:t>根据前述分析，本项目符合市级</w:t>
            </w:r>
          </w:p>
        </w:tc>
        <w:tc>
          <w:tcPr>
            <w:tcW w:w="820" w:type="dxa"/>
            <w:vAlign w:val="top"/>
          </w:tcPr>
          <w:p w14:paraId="6C0793B9">
            <w:pPr>
              <w:pStyle w:val="6"/>
              <w:spacing w:before="64" w:line="220" w:lineRule="auto"/>
              <w:ind w:left="202"/>
              <w:rPr>
                <w:sz w:val="22"/>
                <w:szCs w:val="22"/>
              </w:rPr>
            </w:pPr>
            <w:r>
              <w:rPr>
                <w:spacing w:val="-5"/>
                <w:sz w:val="22"/>
                <w:szCs w:val="22"/>
              </w:rPr>
              <w:t>符合</w:t>
            </w:r>
          </w:p>
        </w:tc>
        <w:tc>
          <w:tcPr>
            <w:tcW w:w="113" w:type="dxa"/>
            <w:tcBorders>
              <w:top w:val="nil"/>
            </w:tcBorders>
            <w:vAlign w:val="top"/>
          </w:tcPr>
          <w:p w14:paraId="1410C5A2">
            <w:pPr>
              <w:rPr>
                <w:rFonts w:ascii="Arial"/>
                <w:sz w:val="21"/>
              </w:rPr>
            </w:pPr>
          </w:p>
        </w:tc>
      </w:tr>
    </w:tbl>
    <w:p w14:paraId="4FD229DE">
      <w:pPr>
        <w:pStyle w:val="2"/>
        <w:rPr>
          <w:sz w:val="21"/>
        </w:rPr>
      </w:pPr>
    </w:p>
    <w:p w14:paraId="0B3AD2AE">
      <w:pPr>
        <w:rPr>
          <w:sz w:val="21"/>
          <w:szCs w:val="21"/>
        </w:rPr>
        <w:sectPr>
          <w:footerReference r:id="rId27" w:type="default"/>
          <w:pgSz w:w="16839" w:h="11906"/>
          <w:pgMar w:top="400" w:right="1588" w:bottom="1006" w:left="1588" w:header="0" w:footer="774" w:gutter="0"/>
          <w:cols w:space="720" w:num="1"/>
        </w:sectPr>
      </w:pPr>
    </w:p>
    <w:p w14:paraId="11838BEC">
      <w:pPr>
        <w:spacing w:before="42"/>
      </w:pPr>
    </w:p>
    <w:p w14:paraId="1A6B9B1D">
      <w:pPr>
        <w:spacing w:before="41"/>
      </w:pPr>
    </w:p>
    <w:p w14:paraId="55FF1541">
      <w:pPr>
        <w:spacing w:before="41"/>
      </w:pPr>
    </w:p>
    <w:p w14:paraId="068D8B7A">
      <w:pPr>
        <w:spacing w:before="41"/>
      </w:pPr>
    </w:p>
    <w:tbl>
      <w:tblPr>
        <w:tblStyle w:val="5"/>
        <w:tblW w:w="13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2"/>
        <w:gridCol w:w="849"/>
        <w:gridCol w:w="7586"/>
        <w:gridCol w:w="3306"/>
        <w:gridCol w:w="820"/>
        <w:gridCol w:w="113"/>
      </w:tblGrid>
      <w:tr w14:paraId="55AA3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0" w:hRule="atLeast"/>
        </w:trPr>
        <w:tc>
          <w:tcPr>
            <w:tcW w:w="982" w:type="dxa"/>
            <w:vMerge w:val="restart"/>
            <w:tcBorders>
              <w:bottom w:val="nil"/>
            </w:tcBorders>
            <w:vAlign w:val="top"/>
          </w:tcPr>
          <w:p w14:paraId="1E6D8AB5">
            <w:pPr>
              <w:rPr>
                <w:rFonts w:ascii="Arial"/>
                <w:sz w:val="21"/>
              </w:rPr>
            </w:pPr>
          </w:p>
        </w:tc>
        <w:tc>
          <w:tcPr>
            <w:tcW w:w="849" w:type="dxa"/>
            <w:vMerge w:val="restart"/>
            <w:tcBorders>
              <w:bottom w:val="nil"/>
            </w:tcBorders>
            <w:vAlign w:val="top"/>
          </w:tcPr>
          <w:p w14:paraId="5C3D434A">
            <w:pPr>
              <w:pStyle w:val="6"/>
              <w:spacing w:before="46" w:line="241" w:lineRule="auto"/>
              <w:ind w:left="211" w:right="200"/>
              <w:jc w:val="both"/>
              <w:rPr>
                <w:sz w:val="22"/>
                <w:szCs w:val="22"/>
              </w:rPr>
            </w:pPr>
            <w:r>
              <w:rPr>
                <w:spacing w:val="-4"/>
                <w:sz w:val="22"/>
                <w:szCs w:val="22"/>
              </w:rPr>
              <w:t>开发利用效率</w:t>
            </w:r>
          </w:p>
        </w:tc>
        <w:tc>
          <w:tcPr>
            <w:tcW w:w="7586" w:type="dxa"/>
            <w:vAlign w:val="top"/>
          </w:tcPr>
          <w:p w14:paraId="2AFC4E54">
            <w:pPr>
              <w:pStyle w:val="6"/>
              <w:spacing w:before="46" w:line="220" w:lineRule="auto"/>
              <w:ind w:left="3249"/>
              <w:rPr>
                <w:sz w:val="22"/>
                <w:szCs w:val="22"/>
              </w:rPr>
            </w:pPr>
            <w:r>
              <w:rPr>
                <w:spacing w:val="-2"/>
                <w:sz w:val="22"/>
                <w:szCs w:val="22"/>
              </w:rPr>
              <w:t>第二十一条</w:t>
            </w:r>
          </w:p>
        </w:tc>
        <w:tc>
          <w:tcPr>
            <w:tcW w:w="3306" w:type="dxa"/>
            <w:vAlign w:val="top"/>
          </w:tcPr>
          <w:p w14:paraId="60B7AFD8">
            <w:pPr>
              <w:pStyle w:val="6"/>
              <w:spacing w:before="46" w:line="224" w:lineRule="auto"/>
              <w:ind w:left="122" w:right="107" w:firstLine="5"/>
              <w:rPr>
                <w:sz w:val="22"/>
                <w:szCs w:val="22"/>
              </w:rPr>
            </w:pPr>
            <w:r>
              <w:rPr>
                <w:spacing w:val="-2"/>
                <w:sz w:val="22"/>
                <w:szCs w:val="22"/>
              </w:rPr>
              <w:t>总体要求第十八条、第十九条、</w:t>
            </w:r>
            <w:r>
              <w:rPr>
                <w:spacing w:val="-1"/>
                <w:sz w:val="22"/>
                <w:szCs w:val="22"/>
              </w:rPr>
              <w:t>第二十条、第二十一条相关内容</w:t>
            </w:r>
          </w:p>
        </w:tc>
        <w:tc>
          <w:tcPr>
            <w:tcW w:w="820" w:type="dxa"/>
            <w:vAlign w:val="top"/>
          </w:tcPr>
          <w:p w14:paraId="5058AD34">
            <w:pPr>
              <w:rPr>
                <w:rFonts w:ascii="Arial"/>
                <w:sz w:val="21"/>
              </w:rPr>
            </w:pPr>
          </w:p>
        </w:tc>
        <w:tc>
          <w:tcPr>
            <w:tcW w:w="113" w:type="dxa"/>
            <w:tcBorders>
              <w:bottom w:val="nil"/>
            </w:tcBorders>
            <w:vAlign w:val="top"/>
          </w:tcPr>
          <w:p w14:paraId="67D99751">
            <w:pPr>
              <w:rPr>
                <w:rFonts w:ascii="Arial"/>
                <w:sz w:val="21"/>
              </w:rPr>
            </w:pPr>
          </w:p>
        </w:tc>
      </w:tr>
      <w:tr w14:paraId="47104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982" w:type="dxa"/>
            <w:vMerge w:val="continue"/>
            <w:tcBorders>
              <w:top w:val="nil"/>
              <w:bottom w:val="nil"/>
            </w:tcBorders>
            <w:vAlign w:val="top"/>
          </w:tcPr>
          <w:p w14:paraId="23E96B52">
            <w:pPr>
              <w:rPr>
                <w:rFonts w:ascii="Arial"/>
                <w:sz w:val="21"/>
              </w:rPr>
            </w:pPr>
          </w:p>
        </w:tc>
        <w:tc>
          <w:tcPr>
            <w:tcW w:w="849" w:type="dxa"/>
            <w:vMerge w:val="continue"/>
            <w:tcBorders>
              <w:top w:val="nil"/>
              <w:bottom w:val="nil"/>
            </w:tcBorders>
            <w:vAlign w:val="top"/>
          </w:tcPr>
          <w:p w14:paraId="4CB894D6">
            <w:pPr>
              <w:rPr>
                <w:rFonts w:ascii="Arial"/>
                <w:sz w:val="21"/>
              </w:rPr>
            </w:pPr>
          </w:p>
        </w:tc>
        <w:tc>
          <w:tcPr>
            <w:tcW w:w="7586" w:type="dxa"/>
            <w:vAlign w:val="top"/>
          </w:tcPr>
          <w:p w14:paraId="4F4FFD4C">
            <w:pPr>
              <w:pStyle w:val="6"/>
              <w:spacing w:before="32" w:line="219" w:lineRule="auto"/>
              <w:ind w:left="112"/>
              <w:rPr>
                <w:sz w:val="22"/>
                <w:szCs w:val="22"/>
              </w:rPr>
            </w:pPr>
            <w:r>
              <w:rPr>
                <w:spacing w:val="-3"/>
                <w:sz w:val="22"/>
                <w:szCs w:val="22"/>
              </w:rPr>
              <w:t>第十三条  以促进产业绿色低碳循环发展为导向，推动减污降碳协同共治。结</w:t>
            </w:r>
          </w:p>
          <w:p w14:paraId="7099C139">
            <w:pPr>
              <w:pStyle w:val="6"/>
              <w:spacing w:before="24" w:line="220" w:lineRule="auto"/>
              <w:ind w:left="113"/>
              <w:rPr>
                <w:sz w:val="22"/>
                <w:szCs w:val="22"/>
              </w:rPr>
            </w:pPr>
            <w:r>
              <w:rPr>
                <w:spacing w:val="-3"/>
                <w:sz w:val="22"/>
                <w:szCs w:val="22"/>
              </w:rPr>
              <w:t>合九龙新城园区西部片区（原西彭工业园区）</w:t>
            </w:r>
            <w:r>
              <w:rPr>
                <w:spacing w:val="-4"/>
                <w:sz w:val="22"/>
                <w:szCs w:val="22"/>
              </w:rPr>
              <w:t>近零碳园区建设，深化通用零部</w:t>
            </w:r>
          </w:p>
          <w:p w14:paraId="221036FE">
            <w:pPr>
              <w:pStyle w:val="6"/>
              <w:spacing w:before="20" w:line="209" w:lineRule="auto"/>
              <w:ind w:left="608"/>
              <w:rPr>
                <w:sz w:val="22"/>
                <w:szCs w:val="22"/>
              </w:rPr>
            </w:pPr>
            <w:r>
              <w:rPr>
                <w:sz w:val="22"/>
                <w:szCs w:val="22"/>
              </w:rPr>
              <w:t>件制造、化学原料及化学制品制造业和汽车制造</w:t>
            </w:r>
            <w:r>
              <w:rPr>
                <w:spacing w:val="-1"/>
                <w:sz w:val="22"/>
                <w:szCs w:val="22"/>
              </w:rPr>
              <w:t>业等行业减污降碳</w:t>
            </w:r>
          </w:p>
        </w:tc>
        <w:tc>
          <w:tcPr>
            <w:tcW w:w="3306" w:type="dxa"/>
            <w:vAlign w:val="top"/>
          </w:tcPr>
          <w:p w14:paraId="0CEB7F73">
            <w:pPr>
              <w:spacing w:line="242" w:lineRule="auto"/>
              <w:rPr>
                <w:rFonts w:ascii="Arial"/>
                <w:sz w:val="21"/>
              </w:rPr>
            </w:pPr>
          </w:p>
          <w:p w14:paraId="67F76F1E">
            <w:pPr>
              <w:pStyle w:val="6"/>
              <w:spacing w:before="72" w:line="219" w:lineRule="auto"/>
              <w:ind w:left="562"/>
              <w:rPr>
                <w:sz w:val="22"/>
                <w:szCs w:val="22"/>
              </w:rPr>
            </w:pPr>
            <w:r>
              <w:rPr>
                <w:spacing w:val="-1"/>
                <w:sz w:val="22"/>
                <w:szCs w:val="22"/>
              </w:rPr>
              <w:t>本项目不属于前述行业</w:t>
            </w:r>
          </w:p>
        </w:tc>
        <w:tc>
          <w:tcPr>
            <w:tcW w:w="820" w:type="dxa"/>
            <w:vAlign w:val="top"/>
          </w:tcPr>
          <w:p w14:paraId="3F3BE46C">
            <w:pPr>
              <w:spacing w:line="242" w:lineRule="auto"/>
              <w:rPr>
                <w:rFonts w:ascii="Arial"/>
                <w:sz w:val="21"/>
              </w:rPr>
            </w:pPr>
          </w:p>
          <w:p w14:paraId="4C48C3D1">
            <w:pPr>
              <w:pStyle w:val="6"/>
              <w:spacing w:before="72" w:line="220" w:lineRule="auto"/>
              <w:ind w:left="202"/>
              <w:rPr>
                <w:sz w:val="22"/>
                <w:szCs w:val="22"/>
              </w:rPr>
            </w:pPr>
            <w:r>
              <w:rPr>
                <w:spacing w:val="-5"/>
                <w:sz w:val="22"/>
                <w:szCs w:val="22"/>
              </w:rPr>
              <w:t>符合</w:t>
            </w:r>
          </w:p>
        </w:tc>
        <w:tc>
          <w:tcPr>
            <w:tcW w:w="113" w:type="dxa"/>
            <w:tcBorders>
              <w:top w:val="nil"/>
              <w:bottom w:val="nil"/>
            </w:tcBorders>
            <w:vAlign w:val="top"/>
          </w:tcPr>
          <w:p w14:paraId="6F0BCDFE">
            <w:pPr>
              <w:rPr>
                <w:rFonts w:ascii="Arial"/>
                <w:sz w:val="21"/>
              </w:rPr>
            </w:pPr>
          </w:p>
        </w:tc>
      </w:tr>
      <w:tr w14:paraId="0F63E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982" w:type="dxa"/>
            <w:vMerge w:val="continue"/>
            <w:tcBorders>
              <w:top w:val="nil"/>
            </w:tcBorders>
            <w:vAlign w:val="top"/>
          </w:tcPr>
          <w:p w14:paraId="337FF4F7">
            <w:pPr>
              <w:rPr>
                <w:rFonts w:ascii="Arial"/>
                <w:sz w:val="21"/>
              </w:rPr>
            </w:pPr>
          </w:p>
        </w:tc>
        <w:tc>
          <w:tcPr>
            <w:tcW w:w="849" w:type="dxa"/>
            <w:vMerge w:val="continue"/>
            <w:tcBorders>
              <w:top w:val="nil"/>
            </w:tcBorders>
            <w:vAlign w:val="top"/>
          </w:tcPr>
          <w:p w14:paraId="19381CD5">
            <w:pPr>
              <w:rPr>
                <w:rFonts w:ascii="Arial"/>
                <w:sz w:val="21"/>
              </w:rPr>
            </w:pPr>
          </w:p>
        </w:tc>
        <w:tc>
          <w:tcPr>
            <w:tcW w:w="7586" w:type="dxa"/>
            <w:vAlign w:val="top"/>
          </w:tcPr>
          <w:p w14:paraId="7C442EB5">
            <w:pPr>
              <w:pStyle w:val="6"/>
              <w:spacing w:before="33" w:line="220" w:lineRule="auto"/>
              <w:ind w:left="112"/>
              <w:rPr>
                <w:sz w:val="22"/>
                <w:szCs w:val="22"/>
              </w:rPr>
            </w:pPr>
            <w:r>
              <w:rPr>
                <w:spacing w:val="-3"/>
                <w:sz w:val="22"/>
                <w:szCs w:val="22"/>
              </w:rPr>
              <w:t>第十四条  提升工业、城镇生活、农业节水能力，推进</w:t>
            </w:r>
            <w:r>
              <w:rPr>
                <w:spacing w:val="-4"/>
                <w:sz w:val="22"/>
                <w:szCs w:val="22"/>
              </w:rPr>
              <w:t>再生水循环利用，提高</w:t>
            </w:r>
          </w:p>
          <w:p w14:paraId="344DB2E7">
            <w:pPr>
              <w:pStyle w:val="6"/>
              <w:spacing w:before="23" w:line="220" w:lineRule="auto"/>
              <w:ind w:left="2923"/>
              <w:rPr>
                <w:sz w:val="22"/>
                <w:szCs w:val="22"/>
              </w:rPr>
            </w:pPr>
            <w:r>
              <w:rPr>
                <w:spacing w:val="-2"/>
                <w:sz w:val="22"/>
                <w:szCs w:val="22"/>
              </w:rPr>
              <w:t>水资源利用效率。</w:t>
            </w:r>
          </w:p>
          <w:p w14:paraId="7ED2DD2B">
            <w:pPr>
              <w:pStyle w:val="6"/>
              <w:spacing w:before="21" w:line="220" w:lineRule="auto"/>
              <w:ind w:left="112"/>
              <w:rPr>
                <w:sz w:val="22"/>
                <w:szCs w:val="22"/>
              </w:rPr>
            </w:pPr>
            <w:r>
              <w:rPr>
                <w:spacing w:val="-3"/>
                <w:sz w:val="22"/>
                <w:szCs w:val="22"/>
              </w:rPr>
              <w:t>加强工业节水改造，限制高耗水行业发展，加强</w:t>
            </w:r>
            <w:r>
              <w:rPr>
                <w:spacing w:val="-4"/>
                <w:sz w:val="22"/>
                <w:szCs w:val="22"/>
              </w:rPr>
              <w:t>重点监控用水单位监管。加强</w:t>
            </w:r>
          </w:p>
          <w:p w14:paraId="483160FB">
            <w:pPr>
              <w:pStyle w:val="6"/>
              <w:spacing w:before="23" w:line="219" w:lineRule="auto"/>
              <w:ind w:left="112"/>
              <w:rPr>
                <w:sz w:val="22"/>
                <w:szCs w:val="22"/>
              </w:rPr>
            </w:pPr>
            <w:r>
              <w:rPr>
                <w:spacing w:val="-3"/>
                <w:sz w:val="22"/>
                <w:szCs w:val="22"/>
              </w:rPr>
              <w:t>城镇节水，开展公共建筑节水改造、城镇供水管</w:t>
            </w:r>
            <w:r>
              <w:rPr>
                <w:spacing w:val="-4"/>
                <w:sz w:val="22"/>
                <w:szCs w:val="22"/>
              </w:rPr>
              <w:t>网漏损治理工程。加强农业节</w:t>
            </w:r>
          </w:p>
          <w:p w14:paraId="1BC2D85F">
            <w:pPr>
              <w:pStyle w:val="6"/>
              <w:spacing w:before="24" w:line="220" w:lineRule="auto"/>
              <w:ind w:left="117"/>
              <w:rPr>
                <w:sz w:val="22"/>
                <w:szCs w:val="22"/>
              </w:rPr>
            </w:pPr>
            <w:r>
              <w:rPr>
                <w:spacing w:val="-1"/>
                <w:sz w:val="22"/>
                <w:szCs w:val="22"/>
              </w:rPr>
              <w:t>水，推进九龙西城西彭镇</w:t>
            </w:r>
            <w:r>
              <w:rPr>
                <w:spacing w:val="-31"/>
                <w:sz w:val="22"/>
                <w:szCs w:val="22"/>
              </w:rPr>
              <w:t xml:space="preserve"> </w:t>
            </w:r>
            <w:r>
              <w:rPr>
                <w:rFonts w:ascii="Times New Roman" w:hAnsi="Times New Roman" w:eastAsia="Times New Roman" w:cs="Times New Roman"/>
                <w:spacing w:val="-1"/>
                <w:sz w:val="22"/>
                <w:szCs w:val="22"/>
              </w:rPr>
              <w:t xml:space="preserve">5000 </w:t>
            </w:r>
            <w:r>
              <w:rPr>
                <w:spacing w:val="-1"/>
                <w:sz w:val="22"/>
                <w:szCs w:val="22"/>
              </w:rPr>
              <w:t>亩农业节水设施建设。深入挖掘非常规水资源</w:t>
            </w:r>
          </w:p>
          <w:p w14:paraId="74FDDCFE">
            <w:pPr>
              <w:pStyle w:val="6"/>
              <w:spacing w:before="23" w:line="206" w:lineRule="auto"/>
              <w:ind w:left="830"/>
              <w:rPr>
                <w:sz w:val="22"/>
                <w:szCs w:val="22"/>
              </w:rPr>
            </w:pPr>
            <w:r>
              <w:rPr>
                <w:spacing w:val="-1"/>
                <w:sz w:val="22"/>
                <w:szCs w:val="22"/>
              </w:rPr>
              <w:t>开发利用潜力，推进再生水、雨水等非常规水资源的开发利用</w:t>
            </w:r>
          </w:p>
        </w:tc>
        <w:tc>
          <w:tcPr>
            <w:tcW w:w="3306" w:type="dxa"/>
            <w:vAlign w:val="top"/>
          </w:tcPr>
          <w:p w14:paraId="6E8841CC">
            <w:pPr>
              <w:spacing w:line="263" w:lineRule="auto"/>
              <w:rPr>
                <w:rFonts w:ascii="Arial"/>
                <w:sz w:val="21"/>
              </w:rPr>
            </w:pPr>
          </w:p>
          <w:p w14:paraId="79C99EBA">
            <w:pPr>
              <w:spacing w:line="263" w:lineRule="auto"/>
              <w:rPr>
                <w:rFonts w:ascii="Arial"/>
                <w:sz w:val="21"/>
              </w:rPr>
            </w:pPr>
          </w:p>
          <w:p w14:paraId="6CC114A1">
            <w:pPr>
              <w:pStyle w:val="6"/>
              <w:spacing w:before="72" w:line="242" w:lineRule="auto"/>
              <w:ind w:left="892" w:right="105" w:hanging="769"/>
              <w:rPr>
                <w:sz w:val="22"/>
                <w:szCs w:val="22"/>
              </w:rPr>
            </w:pPr>
            <w:r>
              <w:rPr>
                <w:spacing w:val="-1"/>
                <w:sz w:val="22"/>
                <w:szCs w:val="22"/>
              </w:rPr>
              <w:t>本项目不属于高耗水行业，且积</w:t>
            </w:r>
            <w:r>
              <w:rPr>
                <w:spacing w:val="-2"/>
                <w:sz w:val="22"/>
                <w:szCs w:val="22"/>
              </w:rPr>
              <w:t>极推进节约用水</w:t>
            </w:r>
          </w:p>
        </w:tc>
        <w:tc>
          <w:tcPr>
            <w:tcW w:w="820" w:type="dxa"/>
            <w:vAlign w:val="top"/>
          </w:tcPr>
          <w:p w14:paraId="5D47D8FB">
            <w:pPr>
              <w:spacing w:line="334" w:lineRule="auto"/>
              <w:rPr>
                <w:rFonts w:ascii="Arial"/>
                <w:sz w:val="21"/>
              </w:rPr>
            </w:pPr>
          </w:p>
          <w:p w14:paraId="55176DEC">
            <w:pPr>
              <w:spacing w:line="334" w:lineRule="auto"/>
              <w:rPr>
                <w:rFonts w:ascii="Arial"/>
                <w:sz w:val="21"/>
              </w:rPr>
            </w:pPr>
          </w:p>
          <w:p w14:paraId="737937E2">
            <w:pPr>
              <w:pStyle w:val="6"/>
              <w:spacing w:before="72" w:line="220" w:lineRule="auto"/>
              <w:ind w:left="202"/>
              <w:rPr>
                <w:sz w:val="22"/>
                <w:szCs w:val="22"/>
              </w:rPr>
            </w:pPr>
            <w:r>
              <w:rPr>
                <w:spacing w:val="-5"/>
                <w:sz w:val="22"/>
                <w:szCs w:val="22"/>
              </w:rPr>
              <w:t>符合</w:t>
            </w:r>
          </w:p>
        </w:tc>
        <w:tc>
          <w:tcPr>
            <w:tcW w:w="113" w:type="dxa"/>
            <w:tcBorders>
              <w:top w:val="nil"/>
              <w:bottom w:val="nil"/>
            </w:tcBorders>
            <w:vAlign w:val="top"/>
          </w:tcPr>
          <w:p w14:paraId="702D7EEA">
            <w:pPr>
              <w:rPr>
                <w:rFonts w:ascii="Arial"/>
                <w:sz w:val="21"/>
              </w:rPr>
            </w:pPr>
          </w:p>
        </w:tc>
      </w:tr>
      <w:tr w14:paraId="3ECC5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82" w:type="dxa"/>
            <w:vMerge w:val="restart"/>
            <w:tcBorders>
              <w:bottom w:val="nil"/>
            </w:tcBorders>
            <w:vAlign w:val="top"/>
          </w:tcPr>
          <w:p w14:paraId="08E85D1B">
            <w:pPr>
              <w:spacing w:line="252" w:lineRule="auto"/>
              <w:rPr>
                <w:rFonts w:ascii="Arial"/>
                <w:sz w:val="21"/>
              </w:rPr>
            </w:pPr>
          </w:p>
          <w:p w14:paraId="503C33DF">
            <w:pPr>
              <w:spacing w:line="252" w:lineRule="auto"/>
              <w:rPr>
                <w:rFonts w:ascii="Arial"/>
                <w:sz w:val="21"/>
              </w:rPr>
            </w:pPr>
          </w:p>
          <w:p w14:paraId="31156312">
            <w:pPr>
              <w:spacing w:line="252" w:lineRule="auto"/>
              <w:rPr>
                <w:rFonts w:ascii="Arial"/>
                <w:sz w:val="21"/>
              </w:rPr>
            </w:pPr>
          </w:p>
          <w:p w14:paraId="196A2946">
            <w:pPr>
              <w:spacing w:line="253" w:lineRule="auto"/>
              <w:rPr>
                <w:rFonts w:ascii="Arial"/>
                <w:sz w:val="21"/>
              </w:rPr>
            </w:pPr>
          </w:p>
          <w:p w14:paraId="7FB07A17">
            <w:pPr>
              <w:spacing w:line="253" w:lineRule="auto"/>
              <w:rPr>
                <w:rFonts w:ascii="Arial"/>
                <w:sz w:val="21"/>
              </w:rPr>
            </w:pPr>
          </w:p>
          <w:p w14:paraId="5DD0538D">
            <w:pPr>
              <w:pStyle w:val="6"/>
              <w:spacing w:before="71"/>
              <w:ind w:left="296" w:right="178" w:firstLine="39"/>
              <w:jc w:val="both"/>
              <w:rPr>
                <w:sz w:val="22"/>
                <w:szCs w:val="22"/>
              </w:rPr>
            </w:pPr>
            <w:r>
              <w:rPr>
                <w:spacing w:val="-7"/>
                <w:sz w:val="22"/>
                <w:szCs w:val="22"/>
              </w:rPr>
              <w:t>九龙</w:t>
            </w:r>
            <w:r>
              <w:rPr>
                <w:spacing w:val="13"/>
                <w:sz w:val="22"/>
                <w:szCs w:val="22"/>
              </w:rPr>
              <w:t>坡区工业城镇重点管控</w:t>
            </w:r>
            <w:r>
              <w:rPr>
                <w:spacing w:val="-4"/>
                <w:sz w:val="22"/>
                <w:szCs w:val="22"/>
              </w:rPr>
              <w:t>单元</w:t>
            </w:r>
            <w:r>
              <w:rPr>
                <w:rFonts w:ascii="Times New Roman" w:hAnsi="Times New Roman" w:eastAsia="Times New Roman" w:cs="Times New Roman"/>
                <w:spacing w:val="-4"/>
                <w:sz w:val="22"/>
                <w:szCs w:val="22"/>
              </w:rPr>
              <w:t>-</w:t>
            </w:r>
            <w:r>
              <w:rPr>
                <w:spacing w:val="13"/>
                <w:sz w:val="22"/>
                <w:szCs w:val="22"/>
              </w:rPr>
              <w:t>九龙东城片区</w:t>
            </w:r>
          </w:p>
        </w:tc>
        <w:tc>
          <w:tcPr>
            <w:tcW w:w="849" w:type="dxa"/>
            <w:vMerge w:val="restart"/>
            <w:tcBorders>
              <w:bottom w:val="nil"/>
            </w:tcBorders>
            <w:vAlign w:val="top"/>
          </w:tcPr>
          <w:p w14:paraId="46DB584A">
            <w:pPr>
              <w:pStyle w:val="6"/>
              <w:spacing w:before="183" w:line="223" w:lineRule="auto"/>
              <w:ind w:left="217"/>
              <w:rPr>
                <w:sz w:val="22"/>
                <w:szCs w:val="22"/>
              </w:rPr>
            </w:pPr>
            <w:r>
              <w:rPr>
                <w:spacing w:val="-7"/>
                <w:sz w:val="22"/>
                <w:szCs w:val="22"/>
              </w:rPr>
              <w:t>空间</w:t>
            </w:r>
          </w:p>
          <w:p w14:paraId="69BB2522">
            <w:pPr>
              <w:pStyle w:val="6"/>
              <w:spacing w:before="17" w:line="219" w:lineRule="auto"/>
              <w:ind w:left="210"/>
              <w:rPr>
                <w:sz w:val="22"/>
                <w:szCs w:val="22"/>
              </w:rPr>
            </w:pPr>
            <w:r>
              <w:rPr>
                <w:spacing w:val="-4"/>
                <w:sz w:val="22"/>
                <w:szCs w:val="22"/>
              </w:rPr>
              <w:t>布局</w:t>
            </w:r>
          </w:p>
          <w:p w14:paraId="5275C889">
            <w:pPr>
              <w:pStyle w:val="6"/>
              <w:spacing w:before="24" w:line="220" w:lineRule="auto"/>
              <w:ind w:left="215"/>
              <w:rPr>
                <w:sz w:val="22"/>
                <w:szCs w:val="22"/>
              </w:rPr>
            </w:pPr>
            <w:r>
              <w:rPr>
                <w:spacing w:val="-7"/>
                <w:sz w:val="22"/>
                <w:szCs w:val="22"/>
              </w:rPr>
              <w:t>约束</w:t>
            </w:r>
          </w:p>
        </w:tc>
        <w:tc>
          <w:tcPr>
            <w:tcW w:w="7586" w:type="dxa"/>
            <w:vAlign w:val="top"/>
          </w:tcPr>
          <w:p w14:paraId="44245861">
            <w:pPr>
              <w:pStyle w:val="6"/>
              <w:spacing w:before="34" w:line="220" w:lineRule="auto"/>
              <w:ind w:left="129"/>
              <w:rPr>
                <w:sz w:val="22"/>
                <w:szCs w:val="22"/>
              </w:rPr>
            </w:pPr>
            <w:r>
              <w:rPr>
                <w:rFonts w:ascii="Times New Roman" w:hAnsi="Times New Roman" w:eastAsia="Times New Roman" w:cs="Times New Roman"/>
                <w:spacing w:val="-3"/>
                <w:sz w:val="22"/>
                <w:szCs w:val="22"/>
              </w:rPr>
              <w:t>1.</w:t>
            </w:r>
            <w:r>
              <w:rPr>
                <w:spacing w:val="-3"/>
                <w:sz w:val="22"/>
                <w:szCs w:val="22"/>
              </w:rPr>
              <w:t>有序推动九龙工业园区“东三街</w:t>
            </w:r>
            <w:r>
              <w:rPr>
                <w:spacing w:val="-81"/>
                <w:sz w:val="22"/>
                <w:szCs w:val="22"/>
              </w:rPr>
              <w:t xml:space="preserve"> </w:t>
            </w:r>
            <w:r>
              <w:rPr>
                <w:spacing w:val="-3"/>
                <w:sz w:val="22"/>
                <w:szCs w:val="22"/>
              </w:rPr>
              <w:t>”和九龙街道工业用地转型升级，重点发展</w:t>
            </w:r>
          </w:p>
          <w:p w14:paraId="3B6EA690">
            <w:pPr>
              <w:pStyle w:val="6"/>
              <w:spacing w:before="23" w:line="203" w:lineRule="auto"/>
              <w:ind w:left="3250"/>
              <w:rPr>
                <w:sz w:val="22"/>
                <w:szCs w:val="22"/>
              </w:rPr>
            </w:pPr>
            <w:r>
              <w:rPr>
                <w:spacing w:val="-2"/>
                <w:sz w:val="22"/>
                <w:szCs w:val="22"/>
              </w:rPr>
              <w:t>制造服务业</w:t>
            </w:r>
          </w:p>
        </w:tc>
        <w:tc>
          <w:tcPr>
            <w:tcW w:w="3306" w:type="dxa"/>
            <w:vMerge w:val="restart"/>
            <w:tcBorders>
              <w:bottom w:val="nil"/>
            </w:tcBorders>
            <w:vAlign w:val="top"/>
          </w:tcPr>
          <w:p w14:paraId="50F77039">
            <w:pPr>
              <w:pStyle w:val="6"/>
              <w:spacing w:before="183" w:line="219" w:lineRule="auto"/>
              <w:ind w:left="123"/>
              <w:rPr>
                <w:sz w:val="22"/>
                <w:szCs w:val="22"/>
              </w:rPr>
            </w:pPr>
            <w:r>
              <w:rPr>
                <w:spacing w:val="-1"/>
                <w:sz w:val="22"/>
                <w:szCs w:val="22"/>
              </w:rPr>
              <w:t>本项目在现有九中路加油站地块</w:t>
            </w:r>
          </w:p>
          <w:p w14:paraId="04111F2E">
            <w:pPr>
              <w:pStyle w:val="6"/>
              <w:spacing w:before="21" w:line="220" w:lineRule="auto"/>
              <w:ind w:left="149"/>
              <w:rPr>
                <w:sz w:val="22"/>
                <w:szCs w:val="22"/>
              </w:rPr>
            </w:pPr>
            <w:r>
              <w:rPr>
                <w:spacing w:val="-3"/>
                <w:sz w:val="22"/>
                <w:szCs w:val="22"/>
              </w:rPr>
              <w:t>内改造，不位于九龙工业园区，</w:t>
            </w:r>
          </w:p>
          <w:p w14:paraId="686AAA5B">
            <w:pPr>
              <w:pStyle w:val="6"/>
              <w:spacing w:before="23" w:line="220" w:lineRule="auto"/>
              <w:ind w:left="675"/>
              <w:rPr>
                <w:sz w:val="22"/>
                <w:szCs w:val="22"/>
              </w:rPr>
            </w:pPr>
            <w:r>
              <w:rPr>
                <w:spacing w:val="-2"/>
                <w:sz w:val="22"/>
                <w:szCs w:val="22"/>
              </w:rPr>
              <w:t>不涉及前述约束要求</w:t>
            </w:r>
          </w:p>
        </w:tc>
        <w:tc>
          <w:tcPr>
            <w:tcW w:w="820" w:type="dxa"/>
            <w:vMerge w:val="restart"/>
            <w:tcBorders>
              <w:bottom w:val="nil"/>
            </w:tcBorders>
            <w:vAlign w:val="top"/>
          </w:tcPr>
          <w:p w14:paraId="4E9D864D">
            <w:pPr>
              <w:spacing w:line="392" w:lineRule="auto"/>
              <w:rPr>
                <w:rFonts w:ascii="Arial"/>
                <w:sz w:val="21"/>
              </w:rPr>
            </w:pPr>
          </w:p>
          <w:p w14:paraId="0C6CA7CA">
            <w:pPr>
              <w:pStyle w:val="6"/>
              <w:spacing w:before="72" w:line="220" w:lineRule="auto"/>
              <w:ind w:left="202"/>
              <w:rPr>
                <w:sz w:val="22"/>
                <w:szCs w:val="22"/>
              </w:rPr>
            </w:pPr>
            <w:r>
              <w:rPr>
                <w:spacing w:val="-5"/>
                <w:sz w:val="22"/>
                <w:szCs w:val="22"/>
              </w:rPr>
              <w:t>符合</w:t>
            </w:r>
          </w:p>
        </w:tc>
        <w:tc>
          <w:tcPr>
            <w:tcW w:w="113" w:type="dxa"/>
            <w:tcBorders>
              <w:top w:val="nil"/>
              <w:bottom w:val="nil"/>
            </w:tcBorders>
            <w:vAlign w:val="top"/>
          </w:tcPr>
          <w:p w14:paraId="4F53D0D8">
            <w:pPr>
              <w:rPr>
                <w:rFonts w:ascii="Arial"/>
                <w:sz w:val="21"/>
              </w:rPr>
            </w:pPr>
          </w:p>
        </w:tc>
      </w:tr>
      <w:tr w14:paraId="3661D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82" w:type="dxa"/>
            <w:vMerge w:val="continue"/>
            <w:tcBorders>
              <w:top w:val="nil"/>
              <w:bottom w:val="nil"/>
            </w:tcBorders>
            <w:vAlign w:val="top"/>
          </w:tcPr>
          <w:p w14:paraId="281B847D">
            <w:pPr>
              <w:rPr>
                <w:rFonts w:ascii="Arial"/>
                <w:sz w:val="21"/>
              </w:rPr>
            </w:pPr>
          </w:p>
        </w:tc>
        <w:tc>
          <w:tcPr>
            <w:tcW w:w="849" w:type="dxa"/>
            <w:vMerge w:val="continue"/>
            <w:tcBorders>
              <w:top w:val="nil"/>
            </w:tcBorders>
            <w:vAlign w:val="top"/>
          </w:tcPr>
          <w:p w14:paraId="63E45239">
            <w:pPr>
              <w:rPr>
                <w:rFonts w:ascii="Arial"/>
                <w:sz w:val="21"/>
              </w:rPr>
            </w:pPr>
          </w:p>
        </w:tc>
        <w:tc>
          <w:tcPr>
            <w:tcW w:w="7586" w:type="dxa"/>
            <w:vAlign w:val="top"/>
          </w:tcPr>
          <w:p w14:paraId="4C5382F5">
            <w:pPr>
              <w:pStyle w:val="6"/>
              <w:spacing w:before="38" w:line="219" w:lineRule="auto"/>
              <w:ind w:left="108"/>
              <w:rPr>
                <w:sz w:val="22"/>
                <w:szCs w:val="22"/>
              </w:rPr>
            </w:pPr>
            <w:r>
              <w:rPr>
                <w:rFonts w:ascii="Times New Roman" w:hAnsi="Times New Roman" w:eastAsia="Times New Roman" w:cs="Times New Roman"/>
                <w:spacing w:val="-3"/>
                <w:sz w:val="22"/>
                <w:szCs w:val="22"/>
              </w:rPr>
              <w:t>2.</w:t>
            </w:r>
            <w:r>
              <w:rPr>
                <w:spacing w:val="-3"/>
                <w:sz w:val="22"/>
                <w:szCs w:val="22"/>
              </w:rPr>
              <w:t>九龙工业园区</w:t>
            </w:r>
            <w:r>
              <w:rPr>
                <w:spacing w:val="-52"/>
                <w:sz w:val="22"/>
                <w:szCs w:val="22"/>
              </w:rPr>
              <w:t xml:space="preserve"> </w:t>
            </w:r>
            <w:r>
              <w:rPr>
                <w:rFonts w:ascii="Times New Roman" w:hAnsi="Times New Roman" w:eastAsia="Times New Roman" w:cs="Times New Roman"/>
                <w:spacing w:val="-3"/>
                <w:sz w:val="22"/>
                <w:szCs w:val="22"/>
              </w:rPr>
              <w:t>B</w:t>
            </w:r>
            <w:r>
              <w:rPr>
                <w:rFonts w:ascii="Times New Roman" w:hAnsi="Times New Roman" w:eastAsia="Times New Roman" w:cs="Times New Roman"/>
                <w:spacing w:val="25"/>
                <w:sz w:val="22"/>
                <w:szCs w:val="22"/>
              </w:rPr>
              <w:t xml:space="preserve"> </w:t>
            </w:r>
            <w:r>
              <w:rPr>
                <w:spacing w:val="-3"/>
                <w:sz w:val="22"/>
                <w:szCs w:val="22"/>
              </w:rPr>
              <w:t>区为智能制造工业区，</w:t>
            </w:r>
            <w:r>
              <w:rPr>
                <w:spacing w:val="-4"/>
                <w:sz w:val="22"/>
                <w:szCs w:val="22"/>
              </w:rPr>
              <w:t>未来周边规划布局为居住区，应优化</w:t>
            </w:r>
          </w:p>
          <w:p w14:paraId="7B5B22B6">
            <w:pPr>
              <w:pStyle w:val="6"/>
              <w:spacing w:before="23" w:line="206" w:lineRule="auto"/>
              <w:ind w:left="1051"/>
              <w:rPr>
                <w:sz w:val="22"/>
                <w:szCs w:val="22"/>
              </w:rPr>
            </w:pPr>
            <w:r>
              <w:rPr>
                <w:spacing w:val="-1"/>
                <w:sz w:val="22"/>
                <w:szCs w:val="22"/>
              </w:rPr>
              <w:t>工业区内部布局，将污染较大的企业远离居住区一侧布设</w:t>
            </w:r>
          </w:p>
        </w:tc>
        <w:tc>
          <w:tcPr>
            <w:tcW w:w="3306" w:type="dxa"/>
            <w:vMerge w:val="continue"/>
            <w:tcBorders>
              <w:top w:val="nil"/>
            </w:tcBorders>
            <w:vAlign w:val="top"/>
          </w:tcPr>
          <w:p w14:paraId="4E5D5181">
            <w:pPr>
              <w:rPr>
                <w:rFonts w:ascii="Arial"/>
                <w:sz w:val="21"/>
              </w:rPr>
            </w:pPr>
          </w:p>
        </w:tc>
        <w:tc>
          <w:tcPr>
            <w:tcW w:w="820" w:type="dxa"/>
            <w:vMerge w:val="continue"/>
            <w:tcBorders>
              <w:top w:val="nil"/>
            </w:tcBorders>
            <w:vAlign w:val="top"/>
          </w:tcPr>
          <w:p w14:paraId="210E3EB7">
            <w:pPr>
              <w:rPr>
                <w:rFonts w:ascii="Arial"/>
                <w:sz w:val="21"/>
              </w:rPr>
            </w:pPr>
          </w:p>
        </w:tc>
        <w:tc>
          <w:tcPr>
            <w:tcW w:w="113" w:type="dxa"/>
            <w:tcBorders>
              <w:top w:val="nil"/>
              <w:bottom w:val="nil"/>
            </w:tcBorders>
            <w:vAlign w:val="top"/>
          </w:tcPr>
          <w:p w14:paraId="3CF8FC6C">
            <w:pPr>
              <w:rPr>
                <w:rFonts w:ascii="Arial"/>
                <w:sz w:val="21"/>
              </w:rPr>
            </w:pPr>
          </w:p>
        </w:tc>
      </w:tr>
      <w:tr w14:paraId="7FE7A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982" w:type="dxa"/>
            <w:vMerge w:val="continue"/>
            <w:tcBorders>
              <w:top w:val="nil"/>
              <w:bottom w:val="nil"/>
            </w:tcBorders>
            <w:vAlign w:val="top"/>
          </w:tcPr>
          <w:p w14:paraId="71BE719A">
            <w:pPr>
              <w:rPr>
                <w:rFonts w:ascii="Arial"/>
                <w:sz w:val="21"/>
              </w:rPr>
            </w:pPr>
          </w:p>
        </w:tc>
        <w:tc>
          <w:tcPr>
            <w:tcW w:w="849" w:type="dxa"/>
            <w:vMerge w:val="restart"/>
            <w:tcBorders>
              <w:bottom w:val="nil"/>
            </w:tcBorders>
            <w:vAlign w:val="top"/>
          </w:tcPr>
          <w:p w14:paraId="235889A8">
            <w:pPr>
              <w:spacing w:line="256" w:lineRule="auto"/>
              <w:rPr>
                <w:rFonts w:ascii="Arial"/>
                <w:sz w:val="21"/>
              </w:rPr>
            </w:pPr>
          </w:p>
          <w:p w14:paraId="10CB655E">
            <w:pPr>
              <w:spacing w:line="256" w:lineRule="auto"/>
              <w:rPr>
                <w:rFonts w:ascii="Arial"/>
                <w:sz w:val="21"/>
              </w:rPr>
            </w:pPr>
          </w:p>
          <w:p w14:paraId="2693747F">
            <w:pPr>
              <w:spacing w:line="256" w:lineRule="auto"/>
              <w:rPr>
                <w:rFonts w:ascii="Arial"/>
                <w:sz w:val="21"/>
              </w:rPr>
            </w:pPr>
          </w:p>
          <w:p w14:paraId="6F86F234">
            <w:pPr>
              <w:spacing w:line="256" w:lineRule="auto"/>
              <w:rPr>
                <w:rFonts w:ascii="Arial"/>
                <w:sz w:val="21"/>
              </w:rPr>
            </w:pPr>
          </w:p>
          <w:p w14:paraId="124DF66F">
            <w:pPr>
              <w:spacing w:line="257" w:lineRule="auto"/>
              <w:rPr>
                <w:rFonts w:ascii="Arial"/>
                <w:sz w:val="21"/>
              </w:rPr>
            </w:pPr>
          </w:p>
          <w:p w14:paraId="4BB4413F">
            <w:pPr>
              <w:spacing w:line="257" w:lineRule="auto"/>
              <w:rPr>
                <w:rFonts w:ascii="Arial"/>
                <w:sz w:val="21"/>
              </w:rPr>
            </w:pPr>
          </w:p>
          <w:p w14:paraId="765C86DC">
            <w:pPr>
              <w:pStyle w:val="6"/>
              <w:spacing w:before="72"/>
              <w:ind w:left="210" w:right="200" w:firstLine="1"/>
              <w:jc w:val="both"/>
              <w:rPr>
                <w:sz w:val="22"/>
                <w:szCs w:val="22"/>
              </w:rPr>
            </w:pPr>
            <w:r>
              <w:rPr>
                <w:spacing w:val="-5"/>
                <w:sz w:val="22"/>
                <w:szCs w:val="22"/>
              </w:rPr>
              <w:t>污染</w:t>
            </w:r>
            <w:r>
              <w:rPr>
                <w:spacing w:val="-4"/>
                <w:sz w:val="22"/>
                <w:szCs w:val="22"/>
              </w:rPr>
              <w:t>物排放管</w:t>
            </w:r>
            <w:r>
              <w:rPr>
                <w:spacing w:val="32"/>
                <w:w w:val="131"/>
                <w:sz w:val="22"/>
                <w:szCs w:val="22"/>
              </w:rPr>
              <w:t>控</w:t>
            </w:r>
          </w:p>
        </w:tc>
        <w:tc>
          <w:tcPr>
            <w:tcW w:w="7586" w:type="dxa"/>
            <w:vAlign w:val="top"/>
          </w:tcPr>
          <w:p w14:paraId="27580774">
            <w:pPr>
              <w:pStyle w:val="6"/>
              <w:spacing w:before="175" w:line="242" w:lineRule="auto"/>
              <w:ind w:left="196" w:right="104" w:hanging="67"/>
              <w:rPr>
                <w:sz w:val="22"/>
                <w:szCs w:val="22"/>
              </w:rPr>
            </w:pPr>
            <w:r>
              <w:rPr>
                <w:rFonts w:ascii="Times New Roman" w:hAnsi="Times New Roman" w:eastAsia="Times New Roman" w:cs="Times New Roman"/>
                <w:spacing w:val="-2"/>
                <w:sz w:val="22"/>
                <w:szCs w:val="22"/>
              </w:rPr>
              <w:t>1.</w:t>
            </w:r>
            <w:r>
              <w:rPr>
                <w:spacing w:val="-2"/>
                <w:sz w:val="22"/>
                <w:szCs w:val="22"/>
              </w:rPr>
              <w:t>九龙工业园区</w:t>
            </w:r>
            <w:r>
              <w:rPr>
                <w:spacing w:val="-51"/>
                <w:sz w:val="22"/>
                <w:szCs w:val="22"/>
              </w:rPr>
              <w:t xml:space="preserve"> </w:t>
            </w:r>
            <w:r>
              <w:rPr>
                <w:rFonts w:ascii="Times New Roman" w:hAnsi="Times New Roman" w:eastAsia="Times New Roman" w:cs="Times New Roman"/>
                <w:spacing w:val="-2"/>
                <w:sz w:val="22"/>
                <w:szCs w:val="22"/>
              </w:rPr>
              <w:t>B</w:t>
            </w:r>
            <w:r>
              <w:rPr>
                <w:rFonts w:ascii="Times New Roman" w:hAnsi="Times New Roman" w:eastAsia="Times New Roman" w:cs="Times New Roman"/>
                <w:spacing w:val="24"/>
                <w:w w:val="101"/>
                <w:sz w:val="22"/>
                <w:szCs w:val="22"/>
              </w:rPr>
              <w:t xml:space="preserve"> </w:t>
            </w:r>
            <w:r>
              <w:rPr>
                <w:spacing w:val="-2"/>
                <w:sz w:val="22"/>
                <w:szCs w:val="22"/>
              </w:rPr>
              <w:t>区内新建、改建、扩建</w:t>
            </w:r>
            <w:r>
              <w:rPr>
                <w:spacing w:val="-3"/>
                <w:sz w:val="22"/>
                <w:szCs w:val="22"/>
              </w:rPr>
              <w:t>涉</w:t>
            </w:r>
            <w:r>
              <w:rPr>
                <w:spacing w:val="-56"/>
                <w:sz w:val="22"/>
                <w:szCs w:val="22"/>
              </w:rPr>
              <w:t xml:space="preserve"> </w:t>
            </w:r>
            <w:r>
              <w:rPr>
                <w:rFonts w:ascii="Times New Roman" w:hAnsi="Times New Roman" w:eastAsia="Times New Roman" w:cs="Times New Roman"/>
                <w:spacing w:val="-3"/>
                <w:sz w:val="22"/>
                <w:szCs w:val="22"/>
              </w:rPr>
              <w:t>VOCs</w:t>
            </w:r>
            <w:r>
              <w:rPr>
                <w:spacing w:val="-3"/>
                <w:sz w:val="22"/>
                <w:szCs w:val="22"/>
              </w:rPr>
              <w:t>排放的项目，要加强源头控</w:t>
            </w:r>
            <w:r>
              <w:rPr>
                <w:sz w:val="22"/>
                <w:szCs w:val="22"/>
              </w:rPr>
              <w:t>制，使用低（无）</w:t>
            </w:r>
            <w:r>
              <w:rPr>
                <w:rFonts w:ascii="Times New Roman" w:hAnsi="Times New Roman" w:eastAsia="Times New Roman" w:cs="Times New Roman"/>
                <w:sz w:val="22"/>
                <w:szCs w:val="22"/>
              </w:rPr>
              <w:t xml:space="preserve">VOCs </w:t>
            </w:r>
            <w:r>
              <w:rPr>
                <w:sz w:val="22"/>
                <w:szCs w:val="22"/>
              </w:rPr>
              <w:t>含量的原辅料，加强废气收集</w:t>
            </w:r>
            <w:r>
              <w:rPr>
                <w:spacing w:val="-1"/>
                <w:sz w:val="22"/>
                <w:szCs w:val="22"/>
              </w:rPr>
              <w:t>，安装高效治理设施</w:t>
            </w:r>
          </w:p>
        </w:tc>
        <w:tc>
          <w:tcPr>
            <w:tcW w:w="3306" w:type="dxa"/>
            <w:vAlign w:val="top"/>
          </w:tcPr>
          <w:p w14:paraId="7D822783">
            <w:pPr>
              <w:pStyle w:val="6"/>
              <w:spacing w:before="35" w:line="219" w:lineRule="auto"/>
              <w:ind w:left="123"/>
              <w:rPr>
                <w:sz w:val="22"/>
                <w:szCs w:val="22"/>
              </w:rPr>
            </w:pPr>
            <w:r>
              <w:rPr>
                <w:spacing w:val="-1"/>
                <w:sz w:val="22"/>
                <w:szCs w:val="22"/>
              </w:rPr>
              <w:t>本项目在现有九中路加油站地块</w:t>
            </w:r>
          </w:p>
          <w:p w14:paraId="794D4B30">
            <w:pPr>
              <w:pStyle w:val="6"/>
              <w:spacing w:before="24" w:line="220" w:lineRule="auto"/>
              <w:ind w:left="149"/>
              <w:rPr>
                <w:sz w:val="22"/>
                <w:szCs w:val="22"/>
              </w:rPr>
            </w:pPr>
            <w:r>
              <w:rPr>
                <w:spacing w:val="-3"/>
                <w:sz w:val="22"/>
                <w:szCs w:val="22"/>
              </w:rPr>
              <w:t>内改造，不位于九龙工业园区，</w:t>
            </w:r>
          </w:p>
          <w:p w14:paraId="108D82A1">
            <w:pPr>
              <w:pStyle w:val="6"/>
              <w:spacing w:before="23" w:line="205" w:lineRule="auto"/>
              <w:ind w:left="675"/>
              <w:rPr>
                <w:sz w:val="22"/>
                <w:szCs w:val="22"/>
              </w:rPr>
            </w:pPr>
            <w:r>
              <w:rPr>
                <w:spacing w:val="-2"/>
                <w:sz w:val="22"/>
                <w:szCs w:val="22"/>
              </w:rPr>
              <w:t>不涉及前述约束要求</w:t>
            </w:r>
          </w:p>
        </w:tc>
        <w:tc>
          <w:tcPr>
            <w:tcW w:w="820" w:type="dxa"/>
            <w:vAlign w:val="top"/>
          </w:tcPr>
          <w:p w14:paraId="6ADEFA2C">
            <w:pPr>
              <w:spacing w:line="245" w:lineRule="auto"/>
              <w:rPr>
                <w:rFonts w:ascii="Arial"/>
                <w:sz w:val="21"/>
              </w:rPr>
            </w:pPr>
          </w:p>
          <w:p w14:paraId="3EB23EAE">
            <w:pPr>
              <w:pStyle w:val="6"/>
              <w:spacing w:before="71" w:line="220" w:lineRule="auto"/>
              <w:ind w:left="202"/>
              <w:rPr>
                <w:sz w:val="22"/>
                <w:szCs w:val="22"/>
              </w:rPr>
            </w:pPr>
            <w:r>
              <w:rPr>
                <w:spacing w:val="-5"/>
                <w:sz w:val="22"/>
                <w:szCs w:val="22"/>
              </w:rPr>
              <w:t>符合</w:t>
            </w:r>
          </w:p>
        </w:tc>
        <w:tc>
          <w:tcPr>
            <w:tcW w:w="113" w:type="dxa"/>
            <w:tcBorders>
              <w:top w:val="nil"/>
              <w:bottom w:val="nil"/>
            </w:tcBorders>
            <w:vAlign w:val="top"/>
          </w:tcPr>
          <w:p w14:paraId="1EF585EB">
            <w:pPr>
              <w:rPr>
                <w:rFonts w:ascii="Arial"/>
                <w:sz w:val="21"/>
              </w:rPr>
            </w:pPr>
          </w:p>
        </w:tc>
      </w:tr>
      <w:tr w14:paraId="7E1E6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982" w:type="dxa"/>
            <w:vMerge w:val="continue"/>
            <w:tcBorders>
              <w:top w:val="nil"/>
              <w:bottom w:val="nil"/>
            </w:tcBorders>
            <w:vAlign w:val="top"/>
          </w:tcPr>
          <w:p w14:paraId="2E8D32B0">
            <w:pPr>
              <w:rPr>
                <w:rFonts w:ascii="Arial"/>
                <w:sz w:val="21"/>
              </w:rPr>
            </w:pPr>
          </w:p>
        </w:tc>
        <w:tc>
          <w:tcPr>
            <w:tcW w:w="849" w:type="dxa"/>
            <w:vMerge w:val="continue"/>
            <w:tcBorders>
              <w:top w:val="nil"/>
              <w:bottom w:val="nil"/>
            </w:tcBorders>
            <w:vAlign w:val="top"/>
          </w:tcPr>
          <w:p w14:paraId="38D2C440">
            <w:pPr>
              <w:rPr>
                <w:rFonts w:ascii="Arial"/>
                <w:sz w:val="21"/>
              </w:rPr>
            </w:pPr>
          </w:p>
        </w:tc>
        <w:tc>
          <w:tcPr>
            <w:tcW w:w="7586" w:type="dxa"/>
            <w:vAlign w:val="top"/>
          </w:tcPr>
          <w:p w14:paraId="34E3677A">
            <w:pPr>
              <w:pStyle w:val="6"/>
              <w:spacing w:before="35" w:line="220" w:lineRule="auto"/>
              <w:ind w:left="108"/>
              <w:rPr>
                <w:sz w:val="22"/>
                <w:szCs w:val="22"/>
              </w:rPr>
            </w:pPr>
            <w:r>
              <w:rPr>
                <w:rFonts w:ascii="Times New Roman" w:hAnsi="Times New Roman" w:eastAsia="Times New Roman" w:cs="Times New Roman"/>
                <w:spacing w:val="-2"/>
                <w:sz w:val="22"/>
                <w:szCs w:val="22"/>
              </w:rPr>
              <w:t>2.</w:t>
            </w:r>
            <w:r>
              <w:rPr>
                <w:spacing w:val="-2"/>
                <w:sz w:val="22"/>
                <w:szCs w:val="22"/>
              </w:rPr>
              <w:t>有序推动九龙工业园区“东三街</w:t>
            </w:r>
            <w:r>
              <w:rPr>
                <w:spacing w:val="-81"/>
                <w:sz w:val="22"/>
                <w:szCs w:val="22"/>
              </w:rPr>
              <w:t xml:space="preserve"> </w:t>
            </w:r>
            <w:r>
              <w:rPr>
                <w:spacing w:val="-2"/>
                <w:sz w:val="22"/>
                <w:szCs w:val="22"/>
              </w:rPr>
              <w:t>”和九</w:t>
            </w:r>
            <w:r>
              <w:rPr>
                <w:spacing w:val="-3"/>
                <w:sz w:val="22"/>
                <w:szCs w:val="22"/>
              </w:rPr>
              <w:t>龙街道范围内现状工业制造类企业开</w:t>
            </w:r>
          </w:p>
          <w:p w14:paraId="5FE2D8DC">
            <w:pPr>
              <w:pStyle w:val="6"/>
              <w:spacing w:before="23" w:line="221" w:lineRule="auto"/>
              <w:ind w:left="114"/>
              <w:rPr>
                <w:sz w:val="22"/>
                <w:szCs w:val="22"/>
              </w:rPr>
            </w:pPr>
            <w:r>
              <w:rPr>
                <w:spacing w:val="-3"/>
                <w:sz w:val="22"/>
                <w:szCs w:val="22"/>
              </w:rPr>
              <w:t>展搬迁工作，搬迁前企业应深化污染治理，</w:t>
            </w:r>
            <w:r>
              <w:rPr>
                <w:spacing w:val="-4"/>
                <w:sz w:val="22"/>
                <w:szCs w:val="22"/>
              </w:rPr>
              <w:t>在减污、风险可控的前提下可进行</w:t>
            </w:r>
          </w:p>
          <w:p w14:paraId="144A298B">
            <w:pPr>
              <w:pStyle w:val="6"/>
              <w:spacing w:before="20" w:line="207" w:lineRule="auto"/>
              <w:ind w:left="3367"/>
              <w:rPr>
                <w:sz w:val="22"/>
                <w:szCs w:val="22"/>
              </w:rPr>
            </w:pPr>
            <w:r>
              <w:rPr>
                <w:spacing w:val="-4"/>
                <w:sz w:val="22"/>
                <w:szCs w:val="22"/>
              </w:rPr>
              <w:t>改造升级</w:t>
            </w:r>
          </w:p>
        </w:tc>
        <w:tc>
          <w:tcPr>
            <w:tcW w:w="3306" w:type="dxa"/>
            <w:vAlign w:val="top"/>
          </w:tcPr>
          <w:p w14:paraId="5C270131">
            <w:pPr>
              <w:pStyle w:val="6"/>
              <w:spacing w:before="35" w:line="219" w:lineRule="auto"/>
              <w:ind w:left="123"/>
              <w:rPr>
                <w:sz w:val="22"/>
                <w:szCs w:val="22"/>
              </w:rPr>
            </w:pPr>
            <w:r>
              <w:rPr>
                <w:spacing w:val="-1"/>
                <w:sz w:val="22"/>
                <w:szCs w:val="22"/>
              </w:rPr>
              <w:t>本项目在现有九中路加油站地块</w:t>
            </w:r>
          </w:p>
          <w:p w14:paraId="1AE171E6">
            <w:pPr>
              <w:pStyle w:val="6"/>
              <w:spacing w:before="24" w:line="220" w:lineRule="auto"/>
              <w:ind w:left="149"/>
              <w:rPr>
                <w:sz w:val="22"/>
                <w:szCs w:val="22"/>
              </w:rPr>
            </w:pPr>
            <w:r>
              <w:rPr>
                <w:spacing w:val="-3"/>
                <w:sz w:val="22"/>
                <w:szCs w:val="22"/>
              </w:rPr>
              <w:t>内改造，不位于九龙工业园区，</w:t>
            </w:r>
          </w:p>
          <w:p w14:paraId="7E9F2DBC">
            <w:pPr>
              <w:pStyle w:val="6"/>
              <w:spacing w:before="20" w:line="207" w:lineRule="auto"/>
              <w:ind w:left="675"/>
              <w:rPr>
                <w:sz w:val="22"/>
                <w:szCs w:val="22"/>
              </w:rPr>
            </w:pPr>
            <w:r>
              <w:rPr>
                <w:spacing w:val="-2"/>
                <w:sz w:val="22"/>
                <w:szCs w:val="22"/>
              </w:rPr>
              <w:t>不涉及前述约束要求</w:t>
            </w:r>
          </w:p>
        </w:tc>
        <w:tc>
          <w:tcPr>
            <w:tcW w:w="820" w:type="dxa"/>
            <w:vAlign w:val="top"/>
          </w:tcPr>
          <w:p w14:paraId="21AFBBDC">
            <w:pPr>
              <w:spacing w:line="245" w:lineRule="auto"/>
              <w:rPr>
                <w:rFonts w:ascii="Arial"/>
                <w:sz w:val="21"/>
              </w:rPr>
            </w:pPr>
          </w:p>
          <w:p w14:paraId="44F41788">
            <w:pPr>
              <w:pStyle w:val="6"/>
              <w:spacing w:before="72" w:line="220" w:lineRule="auto"/>
              <w:ind w:left="202"/>
              <w:rPr>
                <w:sz w:val="22"/>
                <w:szCs w:val="22"/>
              </w:rPr>
            </w:pPr>
            <w:r>
              <w:rPr>
                <w:spacing w:val="-5"/>
                <w:sz w:val="22"/>
                <w:szCs w:val="22"/>
              </w:rPr>
              <w:t>符合</w:t>
            </w:r>
          </w:p>
        </w:tc>
        <w:tc>
          <w:tcPr>
            <w:tcW w:w="113" w:type="dxa"/>
            <w:tcBorders>
              <w:top w:val="nil"/>
              <w:bottom w:val="nil"/>
            </w:tcBorders>
            <w:vAlign w:val="top"/>
          </w:tcPr>
          <w:p w14:paraId="3546911B">
            <w:pPr>
              <w:rPr>
                <w:rFonts w:ascii="Arial"/>
                <w:sz w:val="21"/>
              </w:rPr>
            </w:pPr>
          </w:p>
        </w:tc>
      </w:tr>
      <w:tr w14:paraId="02161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1" w:hRule="atLeast"/>
        </w:trPr>
        <w:tc>
          <w:tcPr>
            <w:tcW w:w="982" w:type="dxa"/>
            <w:vMerge w:val="continue"/>
            <w:tcBorders>
              <w:top w:val="nil"/>
              <w:bottom w:val="nil"/>
            </w:tcBorders>
            <w:vAlign w:val="top"/>
          </w:tcPr>
          <w:p w14:paraId="470BF630">
            <w:pPr>
              <w:rPr>
                <w:rFonts w:ascii="Arial"/>
                <w:sz w:val="21"/>
              </w:rPr>
            </w:pPr>
          </w:p>
        </w:tc>
        <w:tc>
          <w:tcPr>
            <w:tcW w:w="849" w:type="dxa"/>
            <w:vMerge w:val="continue"/>
            <w:tcBorders>
              <w:top w:val="nil"/>
              <w:bottom w:val="nil"/>
            </w:tcBorders>
            <w:vAlign w:val="top"/>
          </w:tcPr>
          <w:p w14:paraId="5D01A442">
            <w:pPr>
              <w:rPr>
                <w:rFonts w:ascii="Arial"/>
                <w:sz w:val="21"/>
              </w:rPr>
            </w:pPr>
          </w:p>
        </w:tc>
        <w:tc>
          <w:tcPr>
            <w:tcW w:w="7586" w:type="dxa"/>
            <w:vAlign w:val="top"/>
          </w:tcPr>
          <w:p w14:paraId="313D72AB">
            <w:pPr>
              <w:spacing w:line="336" w:lineRule="auto"/>
              <w:rPr>
                <w:rFonts w:ascii="Arial"/>
                <w:sz w:val="21"/>
              </w:rPr>
            </w:pPr>
          </w:p>
          <w:p w14:paraId="716FEFD7">
            <w:pPr>
              <w:spacing w:line="337" w:lineRule="auto"/>
              <w:rPr>
                <w:rFonts w:ascii="Arial"/>
                <w:sz w:val="21"/>
              </w:rPr>
            </w:pPr>
          </w:p>
          <w:p w14:paraId="30A02DAB">
            <w:pPr>
              <w:pStyle w:val="6"/>
              <w:spacing w:before="71" w:line="220" w:lineRule="auto"/>
              <w:ind w:left="112"/>
              <w:rPr>
                <w:sz w:val="22"/>
                <w:szCs w:val="22"/>
              </w:rPr>
            </w:pPr>
            <w:r>
              <w:rPr>
                <w:rFonts w:ascii="Times New Roman" w:hAnsi="Times New Roman" w:eastAsia="Times New Roman" w:cs="Times New Roman"/>
                <w:spacing w:val="-2"/>
                <w:sz w:val="22"/>
                <w:szCs w:val="22"/>
              </w:rPr>
              <w:t>3.</w:t>
            </w:r>
            <w:r>
              <w:rPr>
                <w:spacing w:val="-2"/>
                <w:sz w:val="22"/>
                <w:szCs w:val="22"/>
              </w:rPr>
              <w:t>推进桃花溪流域、跳蹬河流域雨污分流整治；推进扬声桥污水处理厂提标改</w:t>
            </w:r>
          </w:p>
          <w:p w14:paraId="09D5AB2F">
            <w:pPr>
              <w:pStyle w:val="6"/>
              <w:spacing w:before="23" w:line="220" w:lineRule="auto"/>
              <w:ind w:left="2367"/>
              <w:rPr>
                <w:sz w:val="22"/>
                <w:szCs w:val="22"/>
              </w:rPr>
            </w:pPr>
            <w:r>
              <w:rPr>
                <w:spacing w:val="-1"/>
                <w:sz w:val="22"/>
                <w:szCs w:val="22"/>
              </w:rPr>
              <w:t>造，出水水质达到准Ⅳ类标准</w:t>
            </w:r>
          </w:p>
        </w:tc>
        <w:tc>
          <w:tcPr>
            <w:tcW w:w="3306" w:type="dxa"/>
            <w:vAlign w:val="top"/>
          </w:tcPr>
          <w:p w14:paraId="39E3A8BE">
            <w:pPr>
              <w:pStyle w:val="6"/>
              <w:spacing w:before="36" w:line="219" w:lineRule="auto"/>
              <w:ind w:left="123"/>
              <w:rPr>
                <w:sz w:val="22"/>
                <w:szCs w:val="22"/>
              </w:rPr>
            </w:pPr>
            <w:r>
              <w:rPr>
                <w:spacing w:val="-1"/>
                <w:sz w:val="22"/>
                <w:szCs w:val="22"/>
              </w:rPr>
              <w:t>本项目产生的场地冲洗废水经隔</w:t>
            </w:r>
          </w:p>
          <w:p w14:paraId="7404733F">
            <w:pPr>
              <w:pStyle w:val="6"/>
              <w:spacing w:before="21" w:line="220" w:lineRule="auto"/>
              <w:ind w:left="125"/>
              <w:rPr>
                <w:sz w:val="22"/>
                <w:szCs w:val="22"/>
              </w:rPr>
            </w:pPr>
            <w:r>
              <w:rPr>
                <w:spacing w:val="-1"/>
                <w:sz w:val="22"/>
                <w:szCs w:val="22"/>
              </w:rPr>
              <w:t>油沉淀池隔油处理后接入市政污</w:t>
            </w:r>
          </w:p>
          <w:p w14:paraId="7E3EB579">
            <w:pPr>
              <w:pStyle w:val="6"/>
              <w:spacing w:before="23" w:line="220" w:lineRule="auto"/>
              <w:ind w:left="125"/>
              <w:rPr>
                <w:sz w:val="22"/>
                <w:szCs w:val="22"/>
              </w:rPr>
            </w:pPr>
            <w:r>
              <w:rPr>
                <w:spacing w:val="-1"/>
                <w:sz w:val="22"/>
                <w:szCs w:val="22"/>
              </w:rPr>
              <w:t>水管网，生活污水经生化池处理</w:t>
            </w:r>
          </w:p>
          <w:p w14:paraId="396E985D">
            <w:pPr>
              <w:pStyle w:val="6"/>
              <w:spacing w:before="23" w:line="220" w:lineRule="auto"/>
              <w:ind w:left="124"/>
              <w:rPr>
                <w:sz w:val="22"/>
                <w:szCs w:val="22"/>
              </w:rPr>
            </w:pPr>
            <w:r>
              <w:rPr>
                <w:spacing w:val="-1"/>
                <w:sz w:val="22"/>
                <w:szCs w:val="22"/>
              </w:rPr>
              <w:t>后接入市政污水管网。前述废水</w:t>
            </w:r>
          </w:p>
          <w:p w14:paraId="06474294">
            <w:pPr>
              <w:pStyle w:val="6"/>
              <w:spacing w:before="23" w:line="220" w:lineRule="auto"/>
              <w:ind w:left="125"/>
              <w:rPr>
                <w:sz w:val="22"/>
                <w:szCs w:val="22"/>
              </w:rPr>
            </w:pPr>
            <w:r>
              <w:rPr>
                <w:spacing w:val="-1"/>
                <w:sz w:val="22"/>
                <w:szCs w:val="22"/>
              </w:rPr>
              <w:t>最终汇入市政污水管网后排入大</w:t>
            </w:r>
          </w:p>
          <w:p w14:paraId="5504996C">
            <w:pPr>
              <w:pStyle w:val="6"/>
              <w:spacing w:before="23" w:line="220" w:lineRule="auto"/>
              <w:ind w:left="127"/>
              <w:rPr>
                <w:sz w:val="22"/>
                <w:szCs w:val="22"/>
              </w:rPr>
            </w:pPr>
            <w:r>
              <w:rPr>
                <w:spacing w:val="-1"/>
                <w:sz w:val="22"/>
                <w:szCs w:val="22"/>
              </w:rPr>
              <w:t>九污水处理厂进一步达标处理后</w:t>
            </w:r>
          </w:p>
          <w:p w14:paraId="53F9FAB8">
            <w:pPr>
              <w:pStyle w:val="6"/>
              <w:spacing w:before="23" w:line="205" w:lineRule="auto"/>
              <w:ind w:left="1111"/>
              <w:rPr>
                <w:sz w:val="22"/>
                <w:szCs w:val="22"/>
              </w:rPr>
            </w:pPr>
            <w:r>
              <w:rPr>
                <w:spacing w:val="-2"/>
                <w:sz w:val="22"/>
                <w:szCs w:val="22"/>
              </w:rPr>
              <w:t>排入跳蹬河</w:t>
            </w:r>
          </w:p>
        </w:tc>
        <w:tc>
          <w:tcPr>
            <w:tcW w:w="820" w:type="dxa"/>
            <w:vAlign w:val="top"/>
          </w:tcPr>
          <w:p w14:paraId="7B256239">
            <w:pPr>
              <w:spacing w:line="271" w:lineRule="auto"/>
              <w:rPr>
                <w:rFonts w:ascii="Arial"/>
                <w:sz w:val="21"/>
              </w:rPr>
            </w:pPr>
          </w:p>
          <w:p w14:paraId="24C422F3">
            <w:pPr>
              <w:spacing w:line="271" w:lineRule="auto"/>
              <w:rPr>
                <w:rFonts w:ascii="Arial"/>
                <w:sz w:val="21"/>
              </w:rPr>
            </w:pPr>
          </w:p>
          <w:p w14:paraId="25A87091">
            <w:pPr>
              <w:spacing w:line="271" w:lineRule="auto"/>
              <w:rPr>
                <w:rFonts w:ascii="Arial"/>
                <w:sz w:val="21"/>
              </w:rPr>
            </w:pPr>
          </w:p>
          <w:p w14:paraId="15038FCA">
            <w:pPr>
              <w:pStyle w:val="6"/>
              <w:spacing w:before="72" w:line="220" w:lineRule="auto"/>
              <w:ind w:left="202"/>
              <w:rPr>
                <w:sz w:val="22"/>
                <w:szCs w:val="22"/>
              </w:rPr>
            </w:pPr>
            <w:r>
              <w:rPr>
                <w:spacing w:val="-5"/>
                <w:sz w:val="22"/>
                <w:szCs w:val="22"/>
              </w:rPr>
              <w:t>符合</w:t>
            </w:r>
          </w:p>
        </w:tc>
        <w:tc>
          <w:tcPr>
            <w:tcW w:w="113" w:type="dxa"/>
            <w:tcBorders>
              <w:top w:val="nil"/>
              <w:bottom w:val="nil"/>
            </w:tcBorders>
            <w:vAlign w:val="top"/>
          </w:tcPr>
          <w:p w14:paraId="73B0541C">
            <w:pPr>
              <w:rPr>
                <w:rFonts w:ascii="Arial"/>
                <w:sz w:val="21"/>
              </w:rPr>
            </w:pPr>
          </w:p>
        </w:tc>
      </w:tr>
      <w:tr w14:paraId="4B89A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982" w:type="dxa"/>
            <w:vMerge w:val="continue"/>
            <w:tcBorders>
              <w:top w:val="nil"/>
            </w:tcBorders>
            <w:vAlign w:val="top"/>
          </w:tcPr>
          <w:p w14:paraId="4E6E7260">
            <w:pPr>
              <w:rPr>
                <w:rFonts w:ascii="Arial"/>
                <w:sz w:val="21"/>
              </w:rPr>
            </w:pPr>
          </w:p>
        </w:tc>
        <w:tc>
          <w:tcPr>
            <w:tcW w:w="849" w:type="dxa"/>
            <w:vMerge w:val="continue"/>
            <w:tcBorders>
              <w:top w:val="nil"/>
            </w:tcBorders>
            <w:vAlign w:val="top"/>
          </w:tcPr>
          <w:p w14:paraId="56FC3B8A">
            <w:pPr>
              <w:rPr>
                <w:rFonts w:ascii="Arial"/>
                <w:sz w:val="21"/>
              </w:rPr>
            </w:pPr>
          </w:p>
        </w:tc>
        <w:tc>
          <w:tcPr>
            <w:tcW w:w="7586" w:type="dxa"/>
            <w:vAlign w:val="top"/>
          </w:tcPr>
          <w:p w14:paraId="0B0B5779">
            <w:pPr>
              <w:pStyle w:val="6"/>
              <w:spacing w:before="35" w:line="227" w:lineRule="auto"/>
              <w:ind w:left="113" w:right="101" w:firstLine="133"/>
              <w:rPr>
                <w:sz w:val="22"/>
                <w:szCs w:val="22"/>
              </w:rPr>
            </w:pPr>
            <w:r>
              <w:rPr>
                <w:rFonts w:ascii="Times New Roman" w:hAnsi="Times New Roman" w:eastAsia="Times New Roman" w:cs="Times New Roman"/>
                <w:sz w:val="22"/>
                <w:szCs w:val="22"/>
              </w:rPr>
              <w:t>4.</w:t>
            </w:r>
            <w:r>
              <w:rPr>
                <w:sz w:val="22"/>
                <w:szCs w:val="22"/>
              </w:rPr>
              <w:t>加大居民生活油烟排放治理，以歇台子为重点区域，推进周边居民</w:t>
            </w:r>
            <w:r>
              <w:rPr>
                <w:spacing w:val="-1"/>
                <w:sz w:val="22"/>
                <w:szCs w:val="22"/>
              </w:rPr>
              <w:t>安装油</w:t>
            </w:r>
            <w:r>
              <w:rPr>
                <w:spacing w:val="-3"/>
                <w:sz w:val="22"/>
                <w:szCs w:val="22"/>
              </w:rPr>
              <w:t>烟净化器。推动具备条件的餐饮单位（具有独</w:t>
            </w:r>
            <w:r>
              <w:rPr>
                <w:spacing w:val="-4"/>
                <w:sz w:val="22"/>
                <w:szCs w:val="22"/>
              </w:rPr>
              <w:t>立烟道且已安装油烟净化器）安</w:t>
            </w:r>
          </w:p>
        </w:tc>
        <w:tc>
          <w:tcPr>
            <w:tcW w:w="3306" w:type="dxa"/>
            <w:vAlign w:val="top"/>
          </w:tcPr>
          <w:p w14:paraId="2D83E033">
            <w:pPr>
              <w:pStyle w:val="6"/>
              <w:spacing w:before="178" w:line="219" w:lineRule="auto"/>
              <w:ind w:left="1001"/>
              <w:rPr>
                <w:sz w:val="22"/>
                <w:szCs w:val="22"/>
              </w:rPr>
            </w:pPr>
            <w:r>
              <w:rPr>
                <w:spacing w:val="-2"/>
                <w:sz w:val="22"/>
                <w:szCs w:val="22"/>
              </w:rPr>
              <w:t>本项目不涉及</w:t>
            </w:r>
          </w:p>
        </w:tc>
        <w:tc>
          <w:tcPr>
            <w:tcW w:w="820" w:type="dxa"/>
            <w:vAlign w:val="top"/>
          </w:tcPr>
          <w:p w14:paraId="3FDBD2D3">
            <w:pPr>
              <w:pStyle w:val="6"/>
              <w:spacing w:before="177" w:line="220" w:lineRule="auto"/>
              <w:ind w:left="202"/>
              <w:rPr>
                <w:sz w:val="22"/>
                <w:szCs w:val="22"/>
              </w:rPr>
            </w:pPr>
            <w:r>
              <w:rPr>
                <w:spacing w:val="-5"/>
                <w:sz w:val="22"/>
                <w:szCs w:val="22"/>
              </w:rPr>
              <w:t>符合</w:t>
            </w:r>
          </w:p>
        </w:tc>
        <w:tc>
          <w:tcPr>
            <w:tcW w:w="113" w:type="dxa"/>
            <w:tcBorders>
              <w:top w:val="nil"/>
            </w:tcBorders>
            <w:vAlign w:val="top"/>
          </w:tcPr>
          <w:p w14:paraId="12910453">
            <w:pPr>
              <w:rPr>
                <w:rFonts w:ascii="Arial"/>
                <w:sz w:val="21"/>
              </w:rPr>
            </w:pPr>
          </w:p>
        </w:tc>
      </w:tr>
    </w:tbl>
    <w:p w14:paraId="55D26E24">
      <w:pPr>
        <w:pStyle w:val="2"/>
        <w:rPr>
          <w:sz w:val="21"/>
        </w:rPr>
      </w:pPr>
    </w:p>
    <w:p w14:paraId="2F89244B">
      <w:pPr>
        <w:rPr>
          <w:sz w:val="21"/>
          <w:szCs w:val="21"/>
        </w:rPr>
        <w:sectPr>
          <w:footerReference r:id="rId28" w:type="default"/>
          <w:pgSz w:w="16839" w:h="11906"/>
          <w:pgMar w:top="400" w:right="1588" w:bottom="1006" w:left="1588" w:header="0" w:footer="774" w:gutter="0"/>
          <w:cols w:space="720" w:num="1"/>
        </w:sectPr>
      </w:pPr>
    </w:p>
    <w:p w14:paraId="3E7BF4C9">
      <w:pPr>
        <w:spacing w:before="42"/>
      </w:pPr>
    </w:p>
    <w:p w14:paraId="333690CB">
      <w:pPr>
        <w:spacing w:before="41"/>
      </w:pPr>
    </w:p>
    <w:p w14:paraId="167A33BD">
      <w:pPr>
        <w:spacing w:before="41"/>
      </w:pPr>
    </w:p>
    <w:p w14:paraId="24813EEA">
      <w:pPr>
        <w:spacing w:before="41"/>
      </w:pPr>
    </w:p>
    <w:tbl>
      <w:tblPr>
        <w:tblStyle w:val="5"/>
        <w:tblW w:w="13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2"/>
        <w:gridCol w:w="849"/>
        <w:gridCol w:w="7586"/>
        <w:gridCol w:w="3306"/>
        <w:gridCol w:w="820"/>
        <w:gridCol w:w="113"/>
      </w:tblGrid>
      <w:tr w14:paraId="6B09D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82" w:type="dxa"/>
            <w:vMerge w:val="restart"/>
            <w:tcBorders>
              <w:bottom w:val="nil"/>
            </w:tcBorders>
            <w:vAlign w:val="top"/>
          </w:tcPr>
          <w:p w14:paraId="1E6A491C">
            <w:pPr>
              <w:rPr>
                <w:rFonts w:ascii="Arial"/>
                <w:sz w:val="21"/>
              </w:rPr>
            </w:pPr>
          </w:p>
        </w:tc>
        <w:tc>
          <w:tcPr>
            <w:tcW w:w="849" w:type="dxa"/>
            <w:vMerge w:val="restart"/>
            <w:tcBorders>
              <w:bottom w:val="nil"/>
            </w:tcBorders>
            <w:vAlign w:val="top"/>
          </w:tcPr>
          <w:p w14:paraId="31A5E5B8">
            <w:pPr>
              <w:rPr>
                <w:rFonts w:ascii="Arial"/>
                <w:sz w:val="21"/>
              </w:rPr>
            </w:pPr>
          </w:p>
        </w:tc>
        <w:tc>
          <w:tcPr>
            <w:tcW w:w="7586" w:type="dxa"/>
            <w:vAlign w:val="top"/>
          </w:tcPr>
          <w:p w14:paraId="095E2053">
            <w:pPr>
              <w:pStyle w:val="6"/>
              <w:spacing w:before="46" w:line="219" w:lineRule="auto"/>
              <w:ind w:left="112"/>
              <w:rPr>
                <w:sz w:val="22"/>
                <w:szCs w:val="22"/>
              </w:rPr>
            </w:pPr>
            <w:r>
              <w:rPr>
                <w:spacing w:val="-3"/>
                <w:sz w:val="22"/>
                <w:szCs w:val="22"/>
              </w:rPr>
              <w:t>装餐饮油烟在线监控设施，将露天烧烤纳入网格化管理，加强对科园四路、奥</w:t>
            </w:r>
          </w:p>
          <w:p w14:paraId="1B4652AA">
            <w:pPr>
              <w:pStyle w:val="6"/>
              <w:spacing w:before="25" w:line="208" w:lineRule="auto"/>
              <w:ind w:left="940"/>
              <w:rPr>
                <w:sz w:val="22"/>
                <w:szCs w:val="22"/>
              </w:rPr>
            </w:pPr>
            <w:r>
              <w:rPr>
                <w:spacing w:val="-1"/>
                <w:sz w:val="22"/>
                <w:szCs w:val="22"/>
              </w:rPr>
              <w:t>体运动街等夜市和重点区域无油烟净化设施露天摊位的管理</w:t>
            </w:r>
          </w:p>
        </w:tc>
        <w:tc>
          <w:tcPr>
            <w:tcW w:w="3306" w:type="dxa"/>
            <w:vAlign w:val="top"/>
          </w:tcPr>
          <w:p w14:paraId="08FA2FC5">
            <w:pPr>
              <w:rPr>
                <w:rFonts w:ascii="Arial"/>
                <w:sz w:val="21"/>
              </w:rPr>
            </w:pPr>
          </w:p>
        </w:tc>
        <w:tc>
          <w:tcPr>
            <w:tcW w:w="820" w:type="dxa"/>
            <w:vAlign w:val="top"/>
          </w:tcPr>
          <w:p w14:paraId="653C2AF9">
            <w:pPr>
              <w:rPr>
                <w:rFonts w:ascii="Arial"/>
                <w:sz w:val="21"/>
              </w:rPr>
            </w:pPr>
          </w:p>
        </w:tc>
        <w:tc>
          <w:tcPr>
            <w:tcW w:w="113" w:type="dxa"/>
            <w:tcBorders>
              <w:bottom w:val="nil"/>
            </w:tcBorders>
            <w:vAlign w:val="top"/>
          </w:tcPr>
          <w:p w14:paraId="3DFB4A1D">
            <w:pPr>
              <w:rPr>
                <w:rFonts w:ascii="Arial"/>
                <w:sz w:val="21"/>
              </w:rPr>
            </w:pPr>
          </w:p>
        </w:tc>
      </w:tr>
      <w:tr w14:paraId="7176A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0" w:hRule="atLeast"/>
        </w:trPr>
        <w:tc>
          <w:tcPr>
            <w:tcW w:w="982" w:type="dxa"/>
            <w:vMerge w:val="continue"/>
            <w:tcBorders>
              <w:top w:val="nil"/>
              <w:bottom w:val="nil"/>
            </w:tcBorders>
            <w:vAlign w:val="top"/>
          </w:tcPr>
          <w:p w14:paraId="3A1B7817">
            <w:pPr>
              <w:rPr>
                <w:rFonts w:ascii="Arial"/>
                <w:sz w:val="21"/>
              </w:rPr>
            </w:pPr>
          </w:p>
        </w:tc>
        <w:tc>
          <w:tcPr>
            <w:tcW w:w="849" w:type="dxa"/>
            <w:vMerge w:val="continue"/>
            <w:tcBorders>
              <w:top w:val="nil"/>
              <w:bottom w:val="nil"/>
            </w:tcBorders>
            <w:vAlign w:val="top"/>
          </w:tcPr>
          <w:p w14:paraId="42042136">
            <w:pPr>
              <w:rPr>
                <w:rFonts w:ascii="Arial"/>
                <w:sz w:val="21"/>
              </w:rPr>
            </w:pPr>
          </w:p>
        </w:tc>
        <w:tc>
          <w:tcPr>
            <w:tcW w:w="7586" w:type="dxa"/>
            <w:vAlign w:val="top"/>
          </w:tcPr>
          <w:p w14:paraId="4CF22BC6">
            <w:pPr>
              <w:pStyle w:val="6"/>
              <w:spacing w:before="32" w:line="220" w:lineRule="auto"/>
              <w:ind w:left="253"/>
              <w:rPr>
                <w:sz w:val="22"/>
                <w:szCs w:val="22"/>
              </w:rPr>
            </w:pPr>
            <w:r>
              <w:rPr>
                <w:rFonts w:ascii="Times New Roman" w:hAnsi="Times New Roman" w:eastAsia="Times New Roman" w:cs="Times New Roman"/>
                <w:sz w:val="22"/>
                <w:szCs w:val="22"/>
              </w:rPr>
              <w:t>5.</w:t>
            </w:r>
            <w:r>
              <w:rPr>
                <w:sz w:val="22"/>
                <w:szCs w:val="22"/>
              </w:rPr>
              <w:t>加快淘汰国三及以下排放标准柴油车、汽油车，以</w:t>
            </w:r>
            <w:r>
              <w:rPr>
                <w:spacing w:val="-1"/>
                <w:sz w:val="22"/>
                <w:szCs w:val="22"/>
              </w:rPr>
              <w:t>运输企业和用车大户为</w:t>
            </w:r>
          </w:p>
          <w:p w14:paraId="252304F4">
            <w:pPr>
              <w:pStyle w:val="6"/>
              <w:spacing w:before="23" w:line="219" w:lineRule="auto"/>
              <w:ind w:left="113"/>
              <w:rPr>
                <w:sz w:val="22"/>
                <w:szCs w:val="22"/>
              </w:rPr>
            </w:pPr>
            <w:r>
              <w:rPr>
                <w:spacing w:val="-3"/>
                <w:sz w:val="22"/>
                <w:szCs w:val="22"/>
              </w:rPr>
              <w:t>重点，建立车辆档案并制定淘汰计划。以石桥</w:t>
            </w:r>
            <w:r>
              <w:rPr>
                <w:spacing w:val="-4"/>
                <w:sz w:val="22"/>
                <w:szCs w:val="22"/>
              </w:rPr>
              <w:t>铺等货运物流市场为重点，持续</w:t>
            </w:r>
          </w:p>
          <w:p w14:paraId="30FA6958">
            <w:pPr>
              <w:pStyle w:val="6"/>
              <w:spacing w:before="22" w:line="219" w:lineRule="auto"/>
              <w:ind w:left="112"/>
              <w:rPr>
                <w:sz w:val="22"/>
                <w:szCs w:val="22"/>
              </w:rPr>
            </w:pPr>
            <w:r>
              <w:rPr>
                <w:spacing w:val="-3"/>
                <w:sz w:val="22"/>
                <w:szCs w:val="22"/>
              </w:rPr>
              <w:t>加强货运车辆限行路段的闯禁执法管理，严格落</w:t>
            </w:r>
            <w:r>
              <w:rPr>
                <w:spacing w:val="-4"/>
                <w:sz w:val="22"/>
                <w:szCs w:val="22"/>
              </w:rPr>
              <w:t>实中心城区高排放车辆限行措</w:t>
            </w:r>
          </w:p>
          <w:p w14:paraId="063593D7">
            <w:pPr>
              <w:pStyle w:val="6"/>
              <w:spacing w:before="24" w:line="220" w:lineRule="auto"/>
              <w:ind w:left="111"/>
              <w:rPr>
                <w:sz w:val="22"/>
                <w:szCs w:val="22"/>
              </w:rPr>
            </w:pPr>
            <w:r>
              <w:rPr>
                <w:spacing w:val="-3"/>
                <w:sz w:val="22"/>
                <w:szCs w:val="22"/>
              </w:rPr>
              <w:t>施。大力推广新能源车，推广公交车、出租车、网</w:t>
            </w:r>
            <w:r>
              <w:rPr>
                <w:spacing w:val="-4"/>
                <w:sz w:val="22"/>
                <w:szCs w:val="22"/>
              </w:rPr>
              <w:t>约车等公共领域用车纯电动</w:t>
            </w:r>
          </w:p>
          <w:p w14:paraId="5119A008">
            <w:pPr>
              <w:pStyle w:val="6"/>
              <w:spacing w:before="23" w:line="219" w:lineRule="auto"/>
              <w:ind w:left="113"/>
              <w:rPr>
                <w:sz w:val="22"/>
                <w:szCs w:val="22"/>
              </w:rPr>
            </w:pPr>
            <w:r>
              <w:rPr>
                <w:spacing w:val="-3"/>
                <w:sz w:val="22"/>
                <w:szCs w:val="22"/>
              </w:rPr>
              <w:t>化，机关单位示范带动新能源车使用，推进充</w:t>
            </w:r>
            <w:r>
              <w:rPr>
                <w:spacing w:val="-4"/>
                <w:sz w:val="22"/>
                <w:szCs w:val="22"/>
              </w:rPr>
              <w:t>电站等新能源汽车充换电及加氢</w:t>
            </w:r>
          </w:p>
          <w:p w14:paraId="68DB4AC6">
            <w:pPr>
              <w:pStyle w:val="6"/>
              <w:spacing w:before="24" w:line="220" w:lineRule="auto"/>
              <w:ind w:left="112"/>
              <w:rPr>
                <w:sz w:val="22"/>
                <w:szCs w:val="22"/>
              </w:rPr>
            </w:pPr>
            <w:r>
              <w:rPr>
                <w:spacing w:val="-3"/>
                <w:sz w:val="22"/>
                <w:szCs w:val="22"/>
              </w:rPr>
              <w:t>配套基础设施建设。加快发展城市轨道交通、智</w:t>
            </w:r>
            <w:r>
              <w:rPr>
                <w:spacing w:val="-4"/>
                <w:sz w:val="22"/>
                <w:szCs w:val="22"/>
              </w:rPr>
              <w:t>能交通和慢行交通，加快建设</w:t>
            </w:r>
          </w:p>
          <w:p w14:paraId="48656247">
            <w:pPr>
              <w:pStyle w:val="6"/>
              <w:spacing w:before="23" w:line="207" w:lineRule="auto"/>
              <w:ind w:left="2588"/>
              <w:rPr>
                <w:sz w:val="22"/>
                <w:szCs w:val="22"/>
              </w:rPr>
            </w:pPr>
            <w:r>
              <w:rPr>
                <w:spacing w:val="-1"/>
                <w:sz w:val="22"/>
                <w:szCs w:val="22"/>
              </w:rPr>
              <w:t>滨江步道，鼓励绿色出行</w:t>
            </w:r>
          </w:p>
        </w:tc>
        <w:tc>
          <w:tcPr>
            <w:tcW w:w="3306" w:type="dxa"/>
            <w:vAlign w:val="top"/>
          </w:tcPr>
          <w:p w14:paraId="003CAE0A">
            <w:pPr>
              <w:spacing w:line="270" w:lineRule="auto"/>
              <w:rPr>
                <w:rFonts w:ascii="Arial"/>
                <w:sz w:val="21"/>
              </w:rPr>
            </w:pPr>
          </w:p>
          <w:p w14:paraId="300598B6">
            <w:pPr>
              <w:spacing w:line="270" w:lineRule="auto"/>
              <w:rPr>
                <w:rFonts w:ascii="Arial"/>
                <w:sz w:val="21"/>
              </w:rPr>
            </w:pPr>
          </w:p>
          <w:p w14:paraId="67D07545">
            <w:pPr>
              <w:spacing w:line="270" w:lineRule="auto"/>
              <w:rPr>
                <w:rFonts w:ascii="Arial"/>
                <w:sz w:val="21"/>
              </w:rPr>
            </w:pPr>
          </w:p>
          <w:p w14:paraId="16D1611B">
            <w:pPr>
              <w:pStyle w:val="6"/>
              <w:spacing w:before="72" w:line="219" w:lineRule="auto"/>
              <w:ind w:left="1001"/>
              <w:rPr>
                <w:sz w:val="22"/>
                <w:szCs w:val="22"/>
              </w:rPr>
            </w:pPr>
            <w:r>
              <w:rPr>
                <w:spacing w:val="-2"/>
                <w:sz w:val="22"/>
                <w:szCs w:val="22"/>
              </w:rPr>
              <w:t>本项目不涉及</w:t>
            </w:r>
          </w:p>
        </w:tc>
        <w:tc>
          <w:tcPr>
            <w:tcW w:w="820" w:type="dxa"/>
            <w:vAlign w:val="top"/>
          </w:tcPr>
          <w:p w14:paraId="61AE328B">
            <w:pPr>
              <w:spacing w:line="270" w:lineRule="auto"/>
              <w:rPr>
                <w:rFonts w:ascii="Arial"/>
                <w:sz w:val="21"/>
              </w:rPr>
            </w:pPr>
          </w:p>
          <w:p w14:paraId="46527ACF">
            <w:pPr>
              <w:spacing w:line="270" w:lineRule="auto"/>
              <w:rPr>
                <w:rFonts w:ascii="Arial"/>
                <w:sz w:val="21"/>
              </w:rPr>
            </w:pPr>
          </w:p>
          <w:p w14:paraId="3CA48419">
            <w:pPr>
              <w:spacing w:line="270" w:lineRule="auto"/>
              <w:rPr>
                <w:rFonts w:ascii="Arial"/>
                <w:sz w:val="21"/>
              </w:rPr>
            </w:pPr>
          </w:p>
          <w:p w14:paraId="6D31FBB3">
            <w:pPr>
              <w:pStyle w:val="6"/>
              <w:spacing w:before="71" w:line="220" w:lineRule="auto"/>
              <w:ind w:left="202"/>
              <w:rPr>
                <w:sz w:val="22"/>
                <w:szCs w:val="22"/>
              </w:rPr>
            </w:pPr>
            <w:r>
              <w:rPr>
                <w:spacing w:val="-5"/>
                <w:sz w:val="22"/>
                <w:szCs w:val="22"/>
              </w:rPr>
              <w:t>符合</w:t>
            </w:r>
          </w:p>
        </w:tc>
        <w:tc>
          <w:tcPr>
            <w:tcW w:w="113" w:type="dxa"/>
            <w:tcBorders>
              <w:top w:val="nil"/>
              <w:bottom w:val="nil"/>
            </w:tcBorders>
            <w:vAlign w:val="top"/>
          </w:tcPr>
          <w:p w14:paraId="0DD84486">
            <w:pPr>
              <w:rPr>
                <w:rFonts w:ascii="Arial"/>
                <w:sz w:val="21"/>
              </w:rPr>
            </w:pPr>
          </w:p>
        </w:tc>
      </w:tr>
      <w:tr w14:paraId="1688A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82" w:type="dxa"/>
            <w:vMerge w:val="continue"/>
            <w:tcBorders>
              <w:top w:val="nil"/>
              <w:bottom w:val="nil"/>
            </w:tcBorders>
            <w:vAlign w:val="top"/>
          </w:tcPr>
          <w:p w14:paraId="28743BEA">
            <w:pPr>
              <w:rPr>
                <w:rFonts w:ascii="Arial"/>
                <w:sz w:val="21"/>
              </w:rPr>
            </w:pPr>
          </w:p>
        </w:tc>
        <w:tc>
          <w:tcPr>
            <w:tcW w:w="849" w:type="dxa"/>
            <w:vMerge w:val="continue"/>
            <w:tcBorders>
              <w:top w:val="nil"/>
            </w:tcBorders>
            <w:vAlign w:val="top"/>
          </w:tcPr>
          <w:p w14:paraId="41062237">
            <w:pPr>
              <w:rPr>
                <w:rFonts w:ascii="Arial"/>
                <w:sz w:val="21"/>
              </w:rPr>
            </w:pPr>
          </w:p>
        </w:tc>
        <w:tc>
          <w:tcPr>
            <w:tcW w:w="7586" w:type="dxa"/>
            <w:vAlign w:val="top"/>
          </w:tcPr>
          <w:p w14:paraId="0599C77C">
            <w:pPr>
              <w:pStyle w:val="6"/>
              <w:spacing w:before="33" w:line="220" w:lineRule="auto"/>
              <w:ind w:left="252"/>
              <w:rPr>
                <w:sz w:val="22"/>
                <w:szCs w:val="22"/>
              </w:rPr>
            </w:pPr>
            <w:r>
              <w:rPr>
                <w:rFonts w:ascii="Times New Roman" w:hAnsi="Times New Roman" w:eastAsia="Times New Roman" w:cs="Times New Roman"/>
                <w:spacing w:val="-2"/>
                <w:sz w:val="22"/>
                <w:szCs w:val="22"/>
              </w:rPr>
              <w:t>6.</w:t>
            </w:r>
            <w:r>
              <w:rPr>
                <w:rFonts w:ascii="Times New Roman" w:hAnsi="Times New Roman" w:eastAsia="Times New Roman" w:cs="Times New Roman"/>
                <w:spacing w:val="-12"/>
                <w:sz w:val="22"/>
                <w:szCs w:val="22"/>
              </w:rPr>
              <w:t xml:space="preserve"> </w:t>
            </w:r>
            <w:r>
              <w:rPr>
                <w:spacing w:val="-2"/>
                <w:sz w:val="22"/>
                <w:szCs w:val="22"/>
              </w:rPr>
              <w:t>以九龙半岛为重点，加强施工扬尘监管，逐步推进建筑面积</w:t>
            </w:r>
            <w:r>
              <w:rPr>
                <w:spacing w:val="-53"/>
                <w:sz w:val="22"/>
                <w:szCs w:val="22"/>
              </w:rPr>
              <w:t xml:space="preserve"> </w:t>
            </w:r>
            <w:r>
              <w:rPr>
                <w:rFonts w:ascii="Times New Roman" w:hAnsi="Times New Roman" w:eastAsia="Times New Roman" w:cs="Times New Roman"/>
                <w:spacing w:val="-2"/>
                <w:sz w:val="22"/>
                <w:szCs w:val="22"/>
              </w:rPr>
              <w:t>2</w:t>
            </w:r>
            <w:r>
              <w:rPr>
                <w:rFonts w:ascii="Times New Roman" w:hAnsi="Times New Roman" w:eastAsia="Times New Roman" w:cs="Times New Roman"/>
                <w:spacing w:val="14"/>
                <w:w w:val="101"/>
                <w:sz w:val="22"/>
                <w:szCs w:val="22"/>
              </w:rPr>
              <w:t xml:space="preserve"> </w:t>
            </w:r>
            <w:r>
              <w:rPr>
                <w:spacing w:val="-2"/>
                <w:sz w:val="22"/>
                <w:szCs w:val="22"/>
              </w:rPr>
              <w:t>万平方米以</w:t>
            </w:r>
          </w:p>
          <w:p w14:paraId="1E92B1BC">
            <w:pPr>
              <w:pStyle w:val="6"/>
              <w:spacing w:before="23" w:line="206" w:lineRule="auto"/>
              <w:ind w:left="2480"/>
              <w:rPr>
                <w:sz w:val="22"/>
                <w:szCs w:val="22"/>
              </w:rPr>
            </w:pPr>
            <w:r>
              <w:rPr>
                <w:spacing w:val="-1"/>
                <w:sz w:val="22"/>
                <w:szCs w:val="22"/>
              </w:rPr>
              <w:t>上的工地安装在线监控系统</w:t>
            </w:r>
          </w:p>
        </w:tc>
        <w:tc>
          <w:tcPr>
            <w:tcW w:w="3306" w:type="dxa"/>
            <w:vAlign w:val="top"/>
          </w:tcPr>
          <w:p w14:paraId="4AD5310C">
            <w:pPr>
              <w:pStyle w:val="6"/>
              <w:spacing w:before="175" w:line="219" w:lineRule="auto"/>
              <w:ind w:left="1001"/>
              <w:rPr>
                <w:sz w:val="22"/>
                <w:szCs w:val="22"/>
              </w:rPr>
            </w:pPr>
            <w:r>
              <w:rPr>
                <w:spacing w:val="-2"/>
                <w:sz w:val="22"/>
                <w:szCs w:val="22"/>
              </w:rPr>
              <w:t>本项目不涉及</w:t>
            </w:r>
          </w:p>
        </w:tc>
        <w:tc>
          <w:tcPr>
            <w:tcW w:w="820" w:type="dxa"/>
            <w:vAlign w:val="top"/>
          </w:tcPr>
          <w:p w14:paraId="6FF058C9">
            <w:pPr>
              <w:pStyle w:val="6"/>
              <w:spacing w:before="175" w:line="220" w:lineRule="auto"/>
              <w:ind w:left="202"/>
              <w:rPr>
                <w:sz w:val="22"/>
                <w:szCs w:val="22"/>
              </w:rPr>
            </w:pPr>
            <w:r>
              <w:rPr>
                <w:spacing w:val="-5"/>
                <w:sz w:val="22"/>
                <w:szCs w:val="22"/>
              </w:rPr>
              <w:t>符合</w:t>
            </w:r>
          </w:p>
        </w:tc>
        <w:tc>
          <w:tcPr>
            <w:tcW w:w="113" w:type="dxa"/>
            <w:tcBorders>
              <w:top w:val="nil"/>
              <w:bottom w:val="nil"/>
            </w:tcBorders>
            <w:vAlign w:val="top"/>
          </w:tcPr>
          <w:p w14:paraId="295ADBA5">
            <w:pPr>
              <w:rPr>
                <w:rFonts w:ascii="Arial"/>
                <w:sz w:val="21"/>
              </w:rPr>
            </w:pPr>
          </w:p>
        </w:tc>
      </w:tr>
      <w:tr w14:paraId="5AD9B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982" w:type="dxa"/>
            <w:vMerge w:val="continue"/>
            <w:tcBorders>
              <w:top w:val="nil"/>
              <w:bottom w:val="nil"/>
            </w:tcBorders>
            <w:vAlign w:val="top"/>
          </w:tcPr>
          <w:p w14:paraId="37502FA3">
            <w:pPr>
              <w:rPr>
                <w:rFonts w:ascii="Arial"/>
                <w:sz w:val="21"/>
              </w:rPr>
            </w:pPr>
          </w:p>
        </w:tc>
        <w:tc>
          <w:tcPr>
            <w:tcW w:w="849" w:type="dxa"/>
            <w:vMerge w:val="restart"/>
            <w:tcBorders>
              <w:bottom w:val="nil"/>
            </w:tcBorders>
            <w:vAlign w:val="top"/>
          </w:tcPr>
          <w:p w14:paraId="0C937129">
            <w:pPr>
              <w:spacing w:line="252" w:lineRule="auto"/>
              <w:rPr>
                <w:rFonts w:ascii="Arial"/>
                <w:sz w:val="21"/>
              </w:rPr>
            </w:pPr>
          </w:p>
          <w:p w14:paraId="77E7CCF7">
            <w:pPr>
              <w:pStyle w:val="6"/>
              <w:spacing w:before="72" w:line="241" w:lineRule="auto"/>
              <w:ind w:left="210" w:right="200"/>
              <w:jc w:val="both"/>
              <w:rPr>
                <w:sz w:val="22"/>
                <w:szCs w:val="22"/>
              </w:rPr>
            </w:pPr>
            <w:r>
              <w:rPr>
                <w:spacing w:val="-4"/>
                <w:sz w:val="22"/>
                <w:szCs w:val="22"/>
              </w:rPr>
              <w:t>环境风险防控</w:t>
            </w:r>
          </w:p>
        </w:tc>
        <w:tc>
          <w:tcPr>
            <w:tcW w:w="7586" w:type="dxa"/>
            <w:vAlign w:val="top"/>
          </w:tcPr>
          <w:p w14:paraId="15A35C77">
            <w:pPr>
              <w:pStyle w:val="6"/>
              <w:spacing w:before="176" w:line="220" w:lineRule="auto"/>
              <w:ind w:left="129"/>
              <w:rPr>
                <w:sz w:val="22"/>
                <w:szCs w:val="22"/>
              </w:rPr>
            </w:pPr>
            <w:r>
              <w:rPr>
                <w:rFonts w:ascii="Times New Roman" w:hAnsi="Times New Roman" w:eastAsia="Times New Roman" w:cs="Times New Roman"/>
                <w:spacing w:val="-2"/>
                <w:sz w:val="22"/>
                <w:szCs w:val="22"/>
              </w:rPr>
              <w:t>1.</w:t>
            </w:r>
            <w:r>
              <w:rPr>
                <w:spacing w:val="-2"/>
                <w:sz w:val="22"/>
                <w:szCs w:val="22"/>
              </w:rPr>
              <w:t>九龙工业园区禁止新建、扩建排放重金属（铬、镉、汞、</w:t>
            </w:r>
            <w:r>
              <w:rPr>
                <w:spacing w:val="-3"/>
                <w:sz w:val="22"/>
                <w:szCs w:val="22"/>
              </w:rPr>
              <w:t>砷、铅等五类重金</w:t>
            </w:r>
          </w:p>
          <w:p w14:paraId="6167BA8B">
            <w:pPr>
              <w:pStyle w:val="6"/>
              <w:spacing w:before="23" w:line="219" w:lineRule="auto"/>
              <w:ind w:left="1491"/>
              <w:rPr>
                <w:sz w:val="22"/>
                <w:szCs w:val="22"/>
              </w:rPr>
            </w:pPr>
            <w:r>
              <w:rPr>
                <w:spacing w:val="-1"/>
                <w:sz w:val="22"/>
                <w:szCs w:val="22"/>
              </w:rPr>
              <w:t>属）、剧毒物质和持久性有机污染物的工业项目</w:t>
            </w:r>
          </w:p>
        </w:tc>
        <w:tc>
          <w:tcPr>
            <w:tcW w:w="3306" w:type="dxa"/>
            <w:vAlign w:val="top"/>
          </w:tcPr>
          <w:p w14:paraId="48E26A0D">
            <w:pPr>
              <w:pStyle w:val="6"/>
              <w:spacing w:before="34" w:line="228" w:lineRule="auto"/>
              <w:ind w:left="123" w:right="105"/>
              <w:jc w:val="both"/>
              <w:rPr>
                <w:sz w:val="22"/>
                <w:szCs w:val="22"/>
              </w:rPr>
            </w:pPr>
            <w:r>
              <w:rPr>
                <w:spacing w:val="-1"/>
                <w:sz w:val="22"/>
                <w:szCs w:val="22"/>
              </w:rPr>
              <w:t>本项目不位于九龙工业园区，且不属于前述涉重金属、剧毒物质和持久性有机污染物的工业项目</w:t>
            </w:r>
          </w:p>
        </w:tc>
        <w:tc>
          <w:tcPr>
            <w:tcW w:w="820" w:type="dxa"/>
            <w:vAlign w:val="top"/>
          </w:tcPr>
          <w:p w14:paraId="0AF75A93">
            <w:pPr>
              <w:spacing w:line="247" w:lineRule="auto"/>
              <w:rPr>
                <w:rFonts w:ascii="Arial"/>
                <w:sz w:val="21"/>
              </w:rPr>
            </w:pPr>
          </w:p>
          <w:p w14:paraId="75B3480E">
            <w:pPr>
              <w:pStyle w:val="6"/>
              <w:spacing w:before="71" w:line="220" w:lineRule="auto"/>
              <w:ind w:left="202"/>
              <w:rPr>
                <w:sz w:val="22"/>
                <w:szCs w:val="22"/>
              </w:rPr>
            </w:pPr>
            <w:r>
              <w:rPr>
                <w:spacing w:val="-5"/>
                <w:sz w:val="22"/>
                <w:szCs w:val="22"/>
              </w:rPr>
              <w:t>符合</w:t>
            </w:r>
          </w:p>
        </w:tc>
        <w:tc>
          <w:tcPr>
            <w:tcW w:w="113" w:type="dxa"/>
            <w:tcBorders>
              <w:top w:val="nil"/>
              <w:bottom w:val="nil"/>
            </w:tcBorders>
            <w:vAlign w:val="top"/>
          </w:tcPr>
          <w:p w14:paraId="449CC29E">
            <w:pPr>
              <w:rPr>
                <w:rFonts w:ascii="Arial"/>
                <w:sz w:val="21"/>
              </w:rPr>
            </w:pPr>
          </w:p>
        </w:tc>
      </w:tr>
      <w:tr w14:paraId="4967E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82" w:type="dxa"/>
            <w:vMerge w:val="continue"/>
            <w:tcBorders>
              <w:top w:val="nil"/>
              <w:bottom w:val="nil"/>
            </w:tcBorders>
            <w:vAlign w:val="top"/>
          </w:tcPr>
          <w:p w14:paraId="036878CD">
            <w:pPr>
              <w:rPr>
                <w:rFonts w:ascii="Arial"/>
                <w:sz w:val="21"/>
              </w:rPr>
            </w:pPr>
          </w:p>
        </w:tc>
        <w:tc>
          <w:tcPr>
            <w:tcW w:w="849" w:type="dxa"/>
            <w:vMerge w:val="continue"/>
            <w:tcBorders>
              <w:top w:val="nil"/>
            </w:tcBorders>
            <w:vAlign w:val="top"/>
          </w:tcPr>
          <w:p w14:paraId="2CC56F7B">
            <w:pPr>
              <w:rPr>
                <w:rFonts w:ascii="Arial"/>
                <w:sz w:val="21"/>
              </w:rPr>
            </w:pPr>
          </w:p>
        </w:tc>
        <w:tc>
          <w:tcPr>
            <w:tcW w:w="7586" w:type="dxa"/>
            <w:vAlign w:val="top"/>
          </w:tcPr>
          <w:p w14:paraId="33C3D11C">
            <w:pPr>
              <w:pStyle w:val="6"/>
              <w:spacing w:before="35" w:line="219" w:lineRule="auto"/>
              <w:ind w:left="108"/>
              <w:rPr>
                <w:sz w:val="22"/>
                <w:szCs w:val="22"/>
              </w:rPr>
            </w:pPr>
            <w:r>
              <w:rPr>
                <w:rFonts w:ascii="Times New Roman" w:hAnsi="Times New Roman" w:eastAsia="Times New Roman" w:cs="Times New Roman"/>
                <w:spacing w:val="-2"/>
                <w:sz w:val="22"/>
                <w:szCs w:val="22"/>
              </w:rPr>
              <w:t>2.</w:t>
            </w:r>
            <w:r>
              <w:rPr>
                <w:spacing w:val="-2"/>
                <w:sz w:val="22"/>
                <w:szCs w:val="22"/>
              </w:rPr>
              <w:t>未达到土壤污染风险评估报告确定的风险管控、修复目标的地块，禁止开工</w:t>
            </w:r>
          </w:p>
          <w:p w14:paraId="6212274E">
            <w:pPr>
              <w:pStyle w:val="6"/>
              <w:spacing w:before="25" w:line="205" w:lineRule="auto"/>
              <w:ind w:left="1931"/>
              <w:rPr>
                <w:sz w:val="22"/>
                <w:szCs w:val="22"/>
              </w:rPr>
            </w:pPr>
            <w:r>
              <w:rPr>
                <w:spacing w:val="-1"/>
                <w:sz w:val="22"/>
                <w:szCs w:val="22"/>
              </w:rPr>
              <w:t>建设任何与风险管控、修复无关的项目</w:t>
            </w:r>
          </w:p>
        </w:tc>
        <w:tc>
          <w:tcPr>
            <w:tcW w:w="3306" w:type="dxa"/>
            <w:vAlign w:val="top"/>
          </w:tcPr>
          <w:p w14:paraId="272647A1">
            <w:pPr>
              <w:pStyle w:val="6"/>
              <w:spacing w:before="36" w:line="222" w:lineRule="auto"/>
              <w:ind w:left="348" w:right="105" w:hanging="225"/>
              <w:rPr>
                <w:sz w:val="22"/>
                <w:szCs w:val="22"/>
              </w:rPr>
            </w:pPr>
            <w:r>
              <w:rPr>
                <w:spacing w:val="-1"/>
                <w:sz w:val="22"/>
                <w:szCs w:val="22"/>
              </w:rPr>
              <w:t>本项目在现有加油站地块上进行</w:t>
            </w:r>
            <w:r>
              <w:rPr>
                <w:spacing w:val="-2"/>
                <w:sz w:val="22"/>
                <w:szCs w:val="22"/>
              </w:rPr>
              <w:t>改造，不涉及土壤污染地块</w:t>
            </w:r>
          </w:p>
        </w:tc>
        <w:tc>
          <w:tcPr>
            <w:tcW w:w="820" w:type="dxa"/>
            <w:vAlign w:val="top"/>
          </w:tcPr>
          <w:p w14:paraId="08718D14">
            <w:pPr>
              <w:pStyle w:val="6"/>
              <w:spacing w:before="177" w:line="220" w:lineRule="auto"/>
              <w:ind w:left="202"/>
              <w:rPr>
                <w:sz w:val="22"/>
                <w:szCs w:val="22"/>
              </w:rPr>
            </w:pPr>
            <w:r>
              <w:rPr>
                <w:spacing w:val="-5"/>
                <w:sz w:val="22"/>
                <w:szCs w:val="22"/>
              </w:rPr>
              <w:t>符合</w:t>
            </w:r>
          </w:p>
        </w:tc>
        <w:tc>
          <w:tcPr>
            <w:tcW w:w="113" w:type="dxa"/>
            <w:tcBorders>
              <w:top w:val="nil"/>
              <w:bottom w:val="nil"/>
            </w:tcBorders>
            <w:vAlign w:val="top"/>
          </w:tcPr>
          <w:p w14:paraId="390F50D8">
            <w:pPr>
              <w:rPr>
                <w:rFonts w:ascii="Arial"/>
                <w:sz w:val="21"/>
              </w:rPr>
            </w:pPr>
          </w:p>
        </w:tc>
      </w:tr>
      <w:tr w14:paraId="5102B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82" w:type="dxa"/>
            <w:vMerge w:val="continue"/>
            <w:tcBorders>
              <w:top w:val="nil"/>
              <w:bottom w:val="nil"/>
            </w:tcBorders>
            <w:vAlign w:val="top"/>
          </w:tcPr>
          <w:p w14:paraId="1CB6A094">
            <w:pPr>
              <w:rPr>
                <w:rFonts w:ascii="Arial"/>
                <w:sz w:val="21"/>
              </w:rPr>
            </w:pPr>
          </w:p>
        </w:tc>
        <w:tc>
          <w:tcPr>
            <w:tcW w:w="849" w:type="dxa"/>
            <w:vMerge w:val="restart"/>
            <w:tcBorders>
              <w:bottom w:val="nil"/>
            </w:tcBorders>
            <w:vAlign w:val="top"/>
          </w:tcPr>
          <w:p w14:paraId="2E72986A">
            <w:pPr>
              <w:spacing w:line="287" w:lineRule="auto"/>
              <w:rPr>
                <w:rFonts w:ascii="Arial"/>
                <w:sz w:val="21"/>
              </w:rPr>
            </w:pPr>
          </w:p>
          <w:p w14:paraId="7369C4A8">
            <w:pPr>
              <w:spacing w:line="287" w:lineRule="auto"/>
              <w:rPr>
                <w:rFonts w:ascii="Arial"/>
                <w:sz w:val="21"/>
              </w:rPr>
            </w:pPr>
          </w:p>
          <w:p w14:paraId="7120E459">
            <w:pPr>
              <w:pStyle w:val="6"/>
              <w:spacing w:before="71"/>
              <w:ind w:left="211" w:right="200" w:firstLine="8"/>
              <w:jc w:val="both"/>
              <w:rPr>
                <w:sz w:val="22"/>
                <w:szCs w:val="22"/>
              </w:rPr>
            </w:pPr>
            <w:r>
              <w:rPr>
                <w:spacing w:val="-9"/>
                <w:sz w:val="22"/>
                <w:szCs w:val="22"/>
              </w:rPr>
              <w:t>资源</w:t>
            </w:r>
            <w:r>
              <w:rPr>
                <w:spacing w:val="-4"/>
                <w:sz w:val="22"/>
                <w:szCs w:val="22"/>
              </w:rPr>
              <w:t>开发效率要求</w:t>
            </w:r>
          </w:p>
        </w:tc>
        <w:tc>
          <w:tcPr>
            <w:tcW w:w="7586" w:type="dxa"/>
            <w:vAlign w:val="top"/>
          </w:tcPr>
          <w:p w14:paraId="7E3D5B55">
            <w:pPr>
              <w:pStyle w:val="6"/>
              <w:spacing w:before="177" w:line="220" w:lineRule="auto"/>
              <w:ind w:left="765"/>
              <w:rPr>
                <w:sz w:val="22"/>
                <w:szCs w:val="22"/>
              </w:rPr>
            </w:pPr>
            <w:r>
              <w:rPr>
                <w:rFonts w:ascii="Times New Roman" w:hAnsi="Times New Roman" w:eastAsia="Times New Roman" w:cs="Times New Roman"/>
                <w:spacing w:val="-1"/>
                <w:sz w:val="22"/>
                <w:szCs w:val="22"/>
              </w:rPr>
              <w:t>1.</w:t>
            </w:r>
            <w:r>
              <w:rPr>
                <w:spacing w:val="-1"/>
                <w:sz w:val="22"/>
                <w:szCs w:val="22"/>
              </w:rPr>
              <w:t>新建和改、扩建的工业项目清洁生产水平应达到国内先进水平</w:t>
            </w:r>
          </w:p>
        </w:tc>
        <w:tc>
          <w:tcPr>
            <w:tcW w:w="3306" w:type="dxa"/>
            <w:vAlign w:val="top"/>
          </w:tcPr>
          <w:p w14:paraId="63CD1C46">
            <w:pPr>
              <w:pStyle w:val="6"/>
              <w:spacing w:before="36" w:line="219" w:lineRule="auto"/>
              <w:ind w:left="123"/>
              <w:rPr>
                <w:sz w:val="22"/>
                <w:szCs w:val="22"/>
              </w:rPr>
            </w:pPr>
            <w:r>
              <w:rPr>
                <w:spacing w:val="-1"/>
                <w:sz w:val="22"/>
                <w:szCs w:val="22"/>
              </w:rPr>
              <w:t>本项目将严格执行节水、节能、</w:t>
            </w:r>
          </w:p>
          <w:p w14:paraId="188E5587">
            <w:pPr>
              <w:pStyle w:val="6"/>
              <w:spacing w:before="24" w:line="205" w:lineRule="auto"/>
              <w:ind w:left="899"/>
              <w:rPr>
                <w:sz w:val="22"/>
                <w:szCs w:val="22"/>
              </w:rPr>
            </w:pPr>
            <w:r>
              <w:rPr>
                <w:spacing w:val="-3"/>
                <w:sz w:val="22"/>
                <w:szCs w:val="22"/>
              </w:rPr>
              <w:t>资源化利用要求</w:t>
            </w:r>
          </w:p>
        </w:tc>
        <w:tc>
          <w:tcPr>
            <w:tcW w:w="820" w:type="dxa"/>
            <w:vAlign w:val="top"/>
          </w:tcPr>
          <w:p w14:paraId="5815B428">
            <w:pPr>
              <w:pStyle w:val="6"/>
              <w:spacing w:before="177" w:line="220" w:lineRule="auto"/>
              <w:ind w:left="202"/>
              <w:rPr>
                <w:sz w:val="22"/>
                <w:szCs w:val="22"/>
              </w:rPr>
            </w:pPr>
            <w:r>
              <w:rPr>
                <w:spacing w:val="-5"/>
                <w:sz w:val="22"/>
                <w:szCs w:val="22"/>
              </w:rPr>
              <w:t>符合</w:t>
            </w:r>
          </w:p>
        </w:tc>
        <w:tc>
          <w:tcPr>
            <w:tcW w:w="113" w:type="dxa"/>
            <w:tcBorders>
              <w:top w:val="nil"/>
              <w:bottom w:val="nil"/>
            </w:tcBorders>
            <w:vAlign w:val="top"/>
          </w:tcPr>
          <w:p w14:paraId="6E278181">
            <w:pPr>
              <w:rPr>
                <w:rFonts w:ascii="Arial"/>
                <w:sz w:val="21"/>
              </w:rPr>
            </w:pPr>
          </w:p>
        </w:tc>
      </w:tr>
      <w:tr w14:paraId="396CD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982" w:type="dxa"/>
            <w:vMerge w:val="continue"/>
            <w:tcBorders>
              <w:top w:val="nil"/>
              <w:bottom w:val="nil"/>
            </w:tcBorders>
            <w:vAlign w:val="top"/>
          </w:tcPr>
          <w:p w14:paraId="3FD7659A">
            <w:pPr>
              <w:rPr>
                <w:rFonts w:ascii="Arial"/>
                <w:sz w:val="21"/>
              </w:rPr>
            </w:pPr>
          </w:p>
        </w:tc>
        <w:tc>
          <w:tcPr>
            <w:tcW w:w="849" w:type="dxa"/>
            <w:vMerge w:val="continue"/>
            <w:tcBorders>
              <w:top w:val="nil"/>
              <w:bottom w:val="nil"/>
            </w:tcBorders>
            <w:vAlign w:val="top"/>
          </w:tcPr>
          <w:p w14:paraId="2F757A47">
            <w:pPr>
              <w:rPr>
                <w:rFonts w:ascii="Arial"/>
                <w:sz w:val="21"/>
              </w:rPr>
            </w:pPr>
          </w:p>
        </w:tc>
        <w:tc>
          <w:tcPr>
            <w:tcW w:w="7586" w:type="dxa"/>
            <w:vAlign w:val="top"/>
          </w:tcPr>
          <w:p w14:paraId="10A91F46">
            <w:pPr>
              <w:spacing w:line="245" w:lineRule="auto"/>
              <w:rPr>
                <w:rFonts w:ascii="Arial"/>
                <w:sz w:val="21"/>
              </w:rPr>
            </w:pPr>
          </w:p>
          <w:p w14:paraId="32D3411E">
            <w:pPr>
              <w:pStyle w:val="6"/>
              <w:spacing w:before="72" w:line="220" w:lineRule="auto"/>
              <w:ind w:left="302"/>
              <w:rPr>
                <w:sz w:val="22"/>
                <w:szCs w:val="22"/>
              </w:rPr>
            </w:pPr>
            <w:r>
              <w:rPr>
                <w:rFonts w:ascii="Times New Roman" w:hAnsi="Times New Roman" w:eastAsia="Times New Roman" w:cs="Times New Roman"/>
                <w:sz w:val="22"/>
                <w:szCs w:val="22"/>
              </w:rPr>
              <w:t>2.</w:t>
            </w:r>
            <w:r>
              <w:rPr>
                <w:sz w:val="22"/>
                <w:szCs w:val="22"/>
              </w:rPr>
              <w:t>加强工业节水改造，限制高耗水行业发展，加强重点监控用</w:t>
            </w:r>
            <w:r>
              <w:rPr>
                <w:spacing w:val="-1"/>
                <w:sz w:val="22"/>
                <w:szCs w:val="22"/>
              </w:rPr>
              <w:t>水单位监管</w:t>
            </w:r>
          </w:p>
        </w:tc>
        <w:tc>
          <w:tcPr>
            <w:tcW w:w="3306" w:type="dxa"/>
            <w:vAlign w:val="top"/>
          </w:tcPr>
          <w:p w14:paraId="0DD5276D">
            <w:pPr>
              <w:pStyle w:val="6"/>
              <w:spacing w:before="35" w:line="219" w:lineRule="auto"/>
              <w:ind w:left="123"/>
              <w:rPr>
                <w:sz w:val="22"/>
                <w:szCs w:val="22"/>
              </w:rPr>
            </w:pPr>
            <w:r>
              <w:rPr>
                <w:spacing w:val="-1"/>
                <w:sz w:val="22"/>
                <w:szCs w:val="22"/>
              </w:rPr>
              <w:t>本项目涉水环节主要为生活用水</w:t>
            </w:r>
          </w:p>
          <w:p w14:paraId="28708843">
            <w:pPr>
              <w:pStyle w:val="6"/>
              <w:spacing w:before="24" w:line="220" w:lineRule="auto"/>
              <w:ind w:left="121"/>
              <w:rPr>
                <w:sz w:val="22"/>
                <w:szCs w:val="22"/>
              </w:rPr>
            </w:pPr>
            <w:r>
              <w:rPr>
                <w:spacing w:val="-1"/>
                <w:sz w:val="22"/>
                <w:szCs w:val="22"/>
              </w:rPr>
              <w:t>及场地冲洗用水，不属于重点监</w:t>
            </w:r>
          </w:p>
          <w:p w14:paraId="069193D3">
            <w:pPr>
              <w:pStyle w:val="6"/>
              <w:spacing w:before="21" w:line="206" w:lineRule="auto"/>
              <w:ind w:left="1110"/>
              <w:rPr>
                <w:sz w:val="22"/>
                <w:szCs w:val="22"/>
              </w:rPr>
            </w:pPr>
            <w:r>
              <w:rPr>
                <w:spacing w:val="-2"/>
                <w:sz w:val="22"/>
                <w:szCs w:val="22"/>
              </w:rPr>
              <w:t>控用水单位</w:t>
            </w:r>
          </w:p>
        </w:tc>
        <w:tc>
          <w:tcPr>
            <w:tcW w:w="820" w:type="dxa"/>
            <w:vAlign w:val="top"/>
          </w:tcPr>
          <w:p w14:paraId="7F746182">
            <w:pPr>
              <w:spacing w:line="245" w:lineRule="auto"/>
              <w:rPr>
                <w:rFonts w:ascii="Arial"/>
                <w:sz w:val="21"/>
              </w:rPr>
            </w:pPr>
          </w:p>
          <w:p w14:paraId="3BD814AF">
            <w:pPr>
              <w:pStyle w:val="6"/>
              <w:spacing w:before="72" w:line="220" w:lineRule="auto"/>
              <w:ind w:left="202"/>
              <w:rPr>
                <w:sz w:val="22"/>
                <w:szCs w:val="22"/>
              </w:rPr>
            </w:pPr>
            <w:r>
              <w:rPr>
                <w:spacing w:val="-5"/>
                <w:sz w:val="22"/>
                <w:szCs w:val="22"/>
              </w:rPr>
              <w:t>符合</w:t>
            </w:r>
          </w:p>
        </w:tc>
        <w:tc>
          <w:tcPr>
            <w:tcW w:w="113" w:type="dxa"/>
            <w:tcBorders>
              <w:top w:val="nil"/>
              <w:bottom w:val="nil"/>
            </w:tcBorders>
            <w:vAlign w:val="top"/>
          </w:tcPr>
          <w:p w14:paraId="74530AD5">
            <w:pPr>
              <w:rPr>
                <w:rFonts w:ascii="Arial"/>
                <w:sz w:val="21"/>
              </w:rPr>
            </w:pPr>
          </w:p>
        </w:tc>
      </w:tr>
      <w:tr w14:paraId="3A0C3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82" w:type="dxa"/>
            <w:vMerge w:val="continue"/>
            <w:tcBorders>
              <w:top w:val="nil"/>
              <w:bottom w:val="nil"/>
            </w:tcBorders>
            <w:vAlign w:val="top"/>
          </w:tcPr>
          <w:p w14:paraId="178C79C7">
            <w:pPr>
              <w:rPr>
                <w:rFonts w:ascii="Arial"/>
                <w:sz w:val="21"/>
              </w:rPr>
            </w:pPr>
          </w:p>
        </w:tc>
        <w:tc>
          <w:tcPr>
            <w:tcW w:w="849" w:type="dxa"/>
            <w:vMerge w:val="continue"/>
            <w:tcBorders>
              <w:top w:val="nil"/>
              <w:bottom w:val="nil"/>
            </w:tcBorders>
            <w:vAlign w:val="top"/>
          </w:tcPr>
          <w:p w14:paraId="5E350A3B">
            <w:pPr>
              <w:rPr>
                <w:rFonts w:ascii="Arial"/>
                <w:sz w:val="21"/>
              </w:rPr>
            </w:pPr>
          </w:p>
        </w:tc>
        <w:tc>
          <w:tcPr>
            <w:tcW w:w="7586" w:type="dxa"/>
            <w:vAlign w:val="top"/>
          </w:tcPr>
          <w:p w14:paraId="77386A88">
            <w:pPr>
              <w:pStyle w:val="6"/>
              <w:spacing w:before="36" w:line="220" w:lineRule="auto"/>
              <w:ind w:left="252"/>
              <w:rPr>
                <w:sz w:val="22"/>
                <w:szCs w:val="22"/>
              </w:rPr>
            </w:pPr>
            <w:r>
              <w:rPr>
                <w:rFonts w:ascii="Times New Roman" w:hAnsi="Times New Roman" w:eastAsia="Times New Roman" w:cs="Times New Roman"/>
                <w:sz w:val="22"/>
                <w:szCs w:val="22"/>
              </w:rPr>
              <w:t>3.</w:t>
            </w:r>
            <w:r>
              <w:rPr>
                <w:sz w:val="22"/>
                <w:szCs w:val="22"/>
              </w:rPr>
              <w:t>推进桃花溪流域中水回用工程建设，加快扬声桥污水处</w:t>
            </w:r>
            <w:r>
              <w:rPr>
                <w:spacing w:val="-1"/>
                <w:sz w:val="22"/>
                <w:szCs w:val="22"/>
              </w:rPr>
              <w:t>理厂尾水再生利用</w:t>
            </w:r>
          </w:p>
          <w:p w14:paraId="184767AF">
            <w:pPr>
              <w:pStyle w:val="6"/>
              <w:spacing w:before="20" w:line="206" w:lineRule="auto"/>
              <w:ind w:left="3031"/>
              <w:rPr>
                <w:sz w:val="22"/>
                <w:szCs w:val="22"/>
              </w:rPr>
            </w:pPr>
            <w:r>
              <w:rPr>
                <w:spacing w:val="-2"/>
                <w:sz w:val="22"/>
                <w:szCs w:val="22"/>
              </w:rPr>
              <w:t>设施和管网建设</w:t>
            </w:r>
          </w:p>
        </w:tc>
        <w:tc>
          <w:tcPr>
            <w:tcW w:w="3306" w:type="dxa"/>
            <w:vAlign w:val="top"/>
          </w:tcPr>
          <w:p w14:paraId="4F790296">
            <w:pPr>
              <w:pStyle w:val="6"/>
              <w:spacing w:before="178" w:line="219" w:lineRule="auto"/>
              <w:ind w:left="1001"/>
              <w:rPr>
                <w:sz w:val="22"/>
                <w:szCs w:val="22"/>
              </w:rPr>
            </w:pPr>
            <w:r>
              <w:rPr>
                <w:spacing w:val="-2"/>
                <w:sz w:val="22"/>
                <w:szCs w:val="22"/>
              </w:rPr>
              <w:t>本项目不涉及</w:t>
            </w:r>
          </w:p>
        </w:tc>
        <w:tc>
          <w:tcPr>
            <w:tcW w:w="820" w:type="dxa"/>
            <w:vAlign w:val="top"/>
          </w:tcPr>
          <w:p w14:paraId="4AC00C54">
            <w:pPr>
              <w:pStyle w:val="6"/>
              <w:spacing w:before="178" w:line="220" w:lineRule="auto"/>
              <w:ind w:left="202"/>
              <w:rPr>
                <w:sz w:val="22"/>
                <w:szCs w:val="22"/>
              </w:rPr>
            </w:pPr>
            <w:r>
              <w:rPr>
                <w:spacing w:val="-5"/>
                <w:sz w:val="22"/>
                <w:szCs w:val="22"/>
              </w:rPr>
              <w:t>符合</w:t>
            </w:r>
          </w:p>
        </w:tc>
        <w:tc>
          <w:tcPr>
            <w:tcW w:w="113" w:type="dxa"/>
            <w:tcBorders>
              <w:top w:val="nil"/>
              <w:bottom w:val="nil"/>
            </w:tcBorders>
            <w:vAlign w:val="top"/>
          </w:tcPr>
          <w:p w14:paraId="1CBC6F72">
            <w:pPr>
              <w:rPr>
                <w:rFonts w:ascii="Arial"/>
                <w:sz w:val="21"/>
              </w:rPr>
            </w:pPr>
          </w:p>
        </w:tc>
      </w:tr>
      <w:tr w14:paraId="37ED1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982" w:type="dxa"/>
            <w:vMerge w:val="continue"/>
            <w:tcBorders>
              <w:top w:val="nil"/>
            </w:tcBorders>
            <w:vAlign w:val="top"/>
          </w:tcPr>
          <w:p w14:paraId="458629ED">
            <w:pPr>
              <w:rPr>
                <w:rFonts w:ascii="Arial"/>
                <w:sz w:val="21"/>
              </w:rPr>
            </w:pPr>
          </w:p>
        </w:tc>
        <w:tc>
          <w:tcPr>
            <w:tcW w:w="849" w:type="dxa"/>
            <w:vMerge w:val="continue"/>
            <w:tcBorders>
              <w:top w:val="nil"/>
            </w:tcBorders>
            <w:vAlign w:val="top"/>
          </w:tcPr>
          <w:p w14:paraId="7C63B897">
            <w:pPr>
              <w:rPr>
                <w:rFonts w:ascii="Arial"/>
                <w:sz w:val="21"/>
              </w:rPr>
            </w:pPr>
          </w:p>
        </w:tc>
        <w:tc>
          <w:tcPr>
            <w:tcW w:w="7586" w:type="dxa"/>
            <w:vAlign w:val="top"/>
          </w:tcPr>
          <w:p w14:paraId="24F6E567">
            <w:pPr>
              <w:pStyle w:val="6"/>
              <w:spacing w:before="64" w:line="219" w:lineRule="auto"/>
              <w:ind w:left="467"/>
              <w:rPr>
                <w:sz w:val="22"/>
                <w:szCs w:val="22"/>
              </w:rPr>
            </w:pPr>
            <w:r>
              <w:rPr>
                <w:rFonts w:ascii="Times New Roman" w:hAnsi="Times New Roman" w:eastAsia="Times New Roman" w:cs="Times New Roman"/>
                <w:sz w:val="22"/>
                <w:szCs w:val="22"/>
              </w:rPr>
              <w:t>4.</w:t>
            </w:r>
            <w:r>
              <w:rPr>
                <w:sz w:val="22"/>
                <w:szCs w:val="22"/>
              </w:rPr>
              <w:t>加强城镇节水，开展公共建筑节水改造、城镇供水管网漏损治</w:t>
            </w:r>
            <w:r>
              <w:rPr>
                <w:spacing w:val="-1"/>
                <w:sz w:val="22"/>
                <w:szCs w:val="22"/>
              </w:rPr>
              <w:t>理工程</w:t>
            </w:r>
          </w:p>
        </w:tc>
        <w:tc>
          <w:tcPr>
            <w:tcW w:w="3306" w:type="dxa"/>
            <w:vAlign w:val="top"/>
          </w:tcPr>
          <w:p w14:paraId="27C85F55">
            <w:pPr>
              <w:pStyle w:val="6"/>
              <w:spacing w:before="64" w:line="219" w:lineRule="auto"/>
              <w:ind w:left="1001"/>
              <w:rPr>
                <w:sz w:val="22"/>
                <w:szCs w:val="22"/>
              </w:rPr>
            </w:pPr>
            <w:r>
              <w:rPr>
                <w:spacing w:val="-2"/>
                <w:sz w:val="22"/>
                <w:szCs w:val="22"/>
              </w:rPr>
              <w:t>本项目不涉及</w:t>
            </w:r>
          </w:p>
        </w:tc>
        <w:tc>
          <w:tcPr>
            <w:tcW w:w="820" w:type="dxa"/>
            <w:vAlign w:val="top"/>
          </w:tcPr>
          <w:p w14:paraId="56E34BC2">
            <w:pPr>
              <w:pStyle w:val="6"/>
              <w:spacing w:before="64" w:line="220" w:lineRule="auto"/>
              <w:ind w:left="202"/>
              <w:rPr>
                <w:sz w:val="22"/>
                <w:szCs w:val="22"/>
              </w:rPr>
            </w:pPr>
            <w:r>
              <w:rPr>
                <w:spacing w:val="-5"/>
                <w:sz w:val="22"/>
                <w:szCs w:val="22"/>
              </w:rPr>
              <w:t>符合</w:t>
            </w:r>
          </w:p>
        </w:tc>
        <w:tc>
          <w:tcPr>
            <w:tcW w:w="113" w:type="dxa"/>
            <w:tcBorders>
              <w:top w:val="nil"/>
            </w:tcBorders>
            <w:vAlign w:val="top"/>
          </w:tcPr>
          <w:p w14:paraId="6E289761">
            <w:pPr>
              <w:rPr>
                <w:rFonts w:ascii="Arial"/>
                <w:sz w:val="21"/>
              </w:rPr>
            </w:pPr>
          </w:p>
        </w:tc>
      </w:tr>
    </w:tbl>
    <w:p w14:paraId="01FEB351">
      <w:pPr>
        <w:pStyle w:val="2"/>
        <w:rPr>
          <w:sz w:val="21"/>
        </w:rPr>
      </w:pPr>
    </w:p>
    <w:p w14:paraId="0582B141">
      <w:pPr>
        <w:rPr>
          <w:sz w:val="21"/>
          <w:szCs w:val="21"/>
        </w:rPr>
        <w:sectPr>
          <w:footerReference r:id="rId29" w:type="default"/>
          <w:pgSz w:w="16839" w:h="11906"/>
          <w:pgMar w:top="400" w:right="1588" w:bottom="1006" w:left="1588" w:header="0" w:footer="768" w:gutter="0"/>
          <w:cols w:space="720" w:num="1"/>
        </w:sectPr>
      </w:pPr>
    </w:p>
    <w:p w14:paraId="1F545A1D">
      <w:pPr>
        <w:spacing w:before="19"/>
      </w:pPr>
    </w:p>
    <w:p w14:paraId="4C8F8C69">
      <w:pPr>
        <w:spacing w:before="19"/>
      </w:pPr>
    </w:p>
    <w:p w14:paraId="5F53966C">
      <w:pPr>
        <w:spacing w:before="19"/>
      </w:pPr>
    </w:p>
    <w:p w14:paraId="0857D6B1">
      <w:pPr>
        <w:spacing w:before="18"/>
      </w:pPr>
    </w:p>
    <w:p w14:paraId="5B41DA6A">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6"/>
        <w:gridCol w:w="8098"/>
      </w:tblGrid>
      <w:tr w14:paraId="78FEB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47" w:hRule="atLeast"/>
        </w:trPr>
        <w:tc>
          <w:tcPr>
            <w:tcW w:w="776" w:type="dxa"/>
            <w:tcBorders>
              <w:right w:val="single" w:color="000000" w:sz="2" w:space="0"/>
            </w:tcBorders>
            <w:vAlign w:val="top"/>
          </w:tcPr>
          <w:p w14:paraId="534B8D58">
            <w:pPr>
              <w:spacing w:line="246" w:lineRule="auto"/>
              <w:rPr>
                <w:rFonts w:ascii="Arial"/>
                <w:sz w:val="21"/>
              </w:rPr>
            </w:pPr>
          </w:p>
          <w:p w14:paraId="0E9ADFB8">
            <w:pPr>
              <w:spacing w:line="246" w:lineRule="auto"/>
              <w:rPr>
                <w:rFonts w:ascii="Arial"/>
                <w:sz w:val="21"/>
              </w:rPr>
            </w:pPr>
          </w:p>
          <w:p w14:paraId="61572CE5">
            <w:pPr>
              <w:spacing w:line="246" w:lineRule="auto"/>
              <w:rPr>
                <w:rFonts w:ascii="Arial"/>
                <w:sz w:val="21"/>
              </w:rPr>
            </w:pPr>
          </w:p>
          <w:p w14:paraId="66ADC787">
            <w:pPr>
              <w:spacing w:line="246" w:lineRule="auto"/>
              <w:rPr>
                <w:rFonts w:ascii="Arial"/>
                <w:sz w:val="21"/>
              </w:rPr>
            </w:pPr>
          </w:p>
          <w:p w14:paraId="3C456507">
            <w:pPr>
              <w:spacing w:line="246" w:lineRule="auto"/>
              <w:rPr>
                <w:rFonts w:ascii="Arial"/>
                <w:sz w:val="21"/>
              </w:rPr>
            </w:pPr>
          </w:p>
          <w:p w14:paraId="407F95EF">
            <w:pPr>
              <w:spacing w:line="246" w:lineRule="auto"/>
              <w:rPr>
                <w:rFonts w:ascii="Arial"/>
                <w:sz w:val="21"/>
              </w:rPr>
            </w:pPr>
          </w:p>
          <w:p w14:paraId="5D1CF7D0">
            <w:pPr>
              <w:spacing w:line="246" w:lineRule="auto"/>
              <w:rPr>
                <w:rFonts w:ascii="Arial"/>
                <w:sz w:val="21"/>
              </w:rPr>
            </w:pPr>
          </w:p>
          <w:p w14:paraId="51FF71E7">
            <w:pPr>
              <w:spacing w:line="246" w:lineRule="auto"/>
              <w:rPr>
                <w:rFonts w:ascii="Arial"/>
                <w:sz w:val="21"/>
              </w:rPr>
            </w:pPr>
          </w:p>
          <w:p w14:paraId="7AAB8591">
            <w:pPr>
              <w:spacing w:line="247" w:lineRule="auto"/>
              <w:rPr>
                <w:rFonts w:ascii="Arial"/>
                <w:sz w:val="21"/>
              </w:rPr>
            </w:pPr>
          </w:p>
          <w:p w14:paraId="35114DAB">
            <w:pPr>
              <w:spacing w:line="247" w:lineRule="auto"/>
              <w:rPr>
                <w:rFonts w:ascii="Arial"/>
                <w:sz w:val="21"/>
              </w:rPr>
            </w:pPr>
          </w:p>
          <w:p w14:paraId="65EC2D72">
            <w:pPr>
              <w:spacing w:line="247" w:lineRule="auto"/>
              <w:rPr>
                <w:rFonts w:ascii="Arial"/>
                <w:sz w:val="21"/>
              </w:rPr>
            </w:pPr>
          </w:p>
          <w:p w14:paraId="49708BF0">
            <w:pPr>
              <w:spacing w:line="247" w:lineRule="auto"/>
              <w:rPr>
                <w:rFonts w:ascii="Arial"/>
                <w:sz w:val="21"/>
              </w:rPr>
            </w:pPr>
          </w:p>
          <w:p w14:paraId="41F01D17">
            <w:pPr>
              <w:spacing w:line="247" w:lineRule="auto"/>
              <w:rPr>
                <w:rFonts w:ascii="Arial"/>
                <w:sz w:val="21"/>
              </w:rPr>
            </w:pPr>
          </w:p>
          <w:p w14:paraId="1F46B039">
            <w:pPr>
              <w:spacing w:line="247" w:lineRule="auto"/>
              <w:rPr>
                <w:rFonts w:ascii="Arial"/>
                <w:sz w:val="21"/>
              </w:rPr>
            </w:pPr>
          </w:p>
          <w:p w14:paraId="36FB1919">
            <w:pPr>
              <w:spacing w:line="247" w:lineRule="auto"/>
              <w:rPr>
                <w:rFonts w:ascii="Arial"/>
                <w:sz w:val="21"/>
              </w:rPr>
            </w:pPr>
          </w:p>
          <w:p w14:paraId="6A9D2E5E">
            <w:pPr>
              <w:spacing w:line="247" w:lineRule="auto"/>
              <w:rPr>
                <w:rFonts w:ascii="Arial"/>
                <w:sz w:val="21"/>
              </w:rPr>
            </w:pPr>
          </w:p>
          <w:p w14:paraId="4C9F4068">
            <w:pPr>
              <w:spacing w:line="247" w:lineRule="auto"/>
              <w:rPr>
                <w:rFonts w:ascii="Arial"/>
                <w:sz w:val="21"/>
              </w:rPr>
            </w:pPr>
          </w:p>
          <w:p w14:paraId="7ED43ACD">
            <w:pPr>
              <w:spacing w:line="247" w:lineRule="auto"/>
              <w:rPr>
                <w:rFonts w:ascii="Arial"/>
                <w:sz w:val="21"/>
              </w:rPr>
            </w:pPr>
          </w:p>
          <w:p w14:paraId="7EB1CFD8">
            <w:pPr>
              <w:spacing w:line="247" w:lineRule="auto"/>
              <w:rPr>
                <w:rFonts w:ascii="Arial"/>
                <w:sz w:val="21"/>
              </w:rPr>
            </w:pPr>
          </w:p>
          <w:p w14:paraId="79143CE5">
            <w:pPr>
              <w:spacing w:line="247" w:lineRule="auto"/>
              <w:rPr>
                <w:rFonts w:ascii="Arial"/>
                <w:sz w:val="21"/>
              </w:rPr>
            </w:pPr>
          </w:p>
          <w:p w14:paraId="123E325F">
            <w:pPr>
              <w:spacing w:line="247" w:lineRule="auto"/>
              <w:rPr>
                <w:rFonts w:ascii="Arial"/>
                <w:sz w:val="21"/>
              </w:rPr>
            </w:pPr>
          </w:p>
          <w:p w14:paraId="706C4930">
            <w:pPr>
              <w:spacing w:line="247" w:lineRule="auto"/>
              <w:rPr>
                <w:rFonts w:ascii="Arial"/>
                <w:sz w:val="21"/>
              </w:rPr>
            </w:pPr>
          </w:p>
          <w:p w14:paraId="27144607">
            <w:pPr>
              <w:spacing w:line="247" w:lineRule="auto"/>
              <w:rPr>
                <w:rFonts w:ascii="Arial"/>
                <w:sz w:val="21"/>
              </w:rPr>
            </w:pPr>
          </w:p>
          <w:p w14:paraId="7BEB8F4D">
            <w:pPr>
              <w:spacing w:line="247" w:lineRule="auto"/>
              <w:rPr>
                <w:rFonts w:ascii="Arial"/>
                <w:sz w:val="21"/>
              </w:rPr>
            </w:pPr>
          </w:p>
          <w:p w14:paraId="01A1576E">
            <w:pPr>
              <w:pStyle w:val="6"/>
              <w:spacing w:before="81" w:line="250" w:lineRule="auto"/>
              <w:ind w:left="130" w:right="129" w:hanging="1"/>
              <w:jc w:val="both"/>
            </w:pPr>
            <w:r>
              <w:rPr>
                <w:spacing w:val="3"/>
              </w:rPr>
              <w:t>其他符合性分</w:t>
            </w:r>
            <w:r>
              <w:rPr>
                <w:spacing w:val="43"/>
                <w:w w:val="133"/>
              </w:rPr>
              <w:t>析</w:t>
            </w:r>
          </w:p>
        </w:tc>
        <w:tc>
          <w:tcPr>
            <w:tcW w:w="8098" w:type="dxa"/>
            <w:tcBorders>
              <w:left w:val="single" w:color="000000" w:sz="2" w:space="0"/>
            </w:tcBorders>
            <w:vAlign w:val="top"/>
          </w:tcPr>
          <w:p w14:paraId="487CE2E5">
            <w:pPr>
              <w:pStyle w:val="6"/>
              <w:spacing w:before="150" w:line="225" w:lineRule="auto"/>
              <w:ind w:left="115"/>
            </w:pPr>
            <w:r>
              <w:rPr>
                <w:rFonts w:ascii="Times New Roman" w:hAnsi="Times New Roman" w:eastAsia="Times New Roman" w:cs="Times New Roman"/>
                <w:b/>
                <w:bCs/>
                <w:spacing w:val="6"/>
              </w:rPr>
              <w:t>1.11</w:t>
            </w:r>
            <w:r>
              <w:rPr>
                <w:b/>
                <w:bCs/>
                <w:spacing w:val="6"/>
              </w:rPr>
              <w:t>选址及平面布置合理性分析</w:t>
            </w:r>
          </w:p>
          <w:p w14:paraId="3740D6EE">
            <w:pPr>
              <w:pStyle w:val="6"/>
              <w:spacing w:before="155" w:line="226" w:lineRule="auto"/>
              <w:ind w:left="640"/>
            </w:pPr>
            <w:r>
              <w:rPr>
                <w:spacing w:val="7"/>
              </w:rPr>
              <w:t>（</w:t>
            </w:r>
            <w:r>
              <w:rPr>
                <w:rFonts w:ascii="Times New Roman" w:hAnsi="Times New Roman" w:eastAsia="Times New Roman" w:cs="Times New Roman"/>
                <w:spacing w:val="7"/>
              </w:rPr>
              <w:t>1</w:t>
            </w:r>
            <w:r>
              <w:rPr>
                <w:spacing w:val="7"/>
              </w:rPr>
              <w:t>）行业主管批复</w:t>
            </w:r>
          </w:p>
          <w:p w14:paraId="36DD6B5B">
            <w:pPr>
              <w:pStyle w:val="6"/>
              <w:spacing w:before="153" w:line="340" w:lineRule="auto"/>
              <w:ind w:left="109" w:right="103" w:firstLine="520"/>
            </w:pPr>
            <w:r>
              <w:rPr>
                <w:spacing w:val="12"/>
              </w:rPr>
              <w:t>本项目为加油站原址改扩建项目，不新增占地，在原有地块将现</w:t>
            </w:r>
            <w:r>
              <w:rPr>
                <w:spacing w:val="8"/>
              </w:rPr>
              <w:t>有</w:t>
            </w:r>
            <w:r>
              <w:rPr>
                <w:rFonts w:ascii="Times New Roman" w:hAnsi="Times New Roman" w:eastAsia="Times New Roman" w:cs="Times New Roman"/>
                <w:spacing w:val="8"/>
              </w:rPr>
              <w:t>30m</w:t>
            </w:r>
            <w:r>
              <w:rPr>
                <w:spacing w:val="8"/>
              </w:rPr>
              <w:t>³柴油罐更换为</w:t>
            </w:r>
            <w:r>
              <w:rPr>
                <w:rFonts w:ascii="Times New Roman" w:hAnsi="Times New Roman" w:eastAsia="Times New Roman" w:cs="Times New Roman"/>
                <w:spacing w:val="8"/>
              </w:rPr>
              <w:t>30m</w:t>
            </w:r>
            <w:r>
              <w:rPr>
                <w:spacing w:val="8"/>
              </w:rPr>
              <w:t>³汽油罐，现有工程近三年无环保投诉。</w:t>
            </w:r>
          </w:p>
          <w:p w14:paraId="5420D47D">
            <w:pPr>
              <w:pStyle w:val="6"/>
              <w:spacing w:line="226" w:lineRule="auto"/>
              <w:ind w:left="640"/>
            </w:pPr>
            <w:r>
              <w:rPr>
                <w:spacing w:val="7"/>
              </w:rPr>
              <w:t>（</w:t>
            </w:r>
            <w:r>
              <w:rPr>
                <w:rFonts w:ascii="Times New Roman" w:hAnsi="Times New Roman" w:eastAsia="Times New Roman" w:cs="Times New Roman"/>
                <w:spacing w:val="7"/>
              </w:rPr>
              <w:t>2</w:t>
            </w:r>
            <w:r>
              <w:rPr>
                <w:spacing w:val="7"/>
              </w:rPr>
              <w:t>）区域环境质量</w:t>
            </w:r>
          </w:p>
          <w:p w14:paraId="4F5CFDB9">
            <w:pPr>
              <w:pStyle w:val="6"/>
              <w:spacing w:before="151" w:line="224" w:lineRule="auto"/>
              <w:ind w:left="629"/>
              <w:outlineLvl w:val="1"/>
            </w:pPr>
            <w:r>
              <w:rPr>
                <w:spacing w:val="12"/>
              </w:rPr>
              <w:t>根据环境质量现状评价：①本项目所在区域九龙坡区属于大气环</w:t>
            </w:r>
          </w:p>
          <w:p w14:paraId="5184489C">
            <w:pPr>
              <w:pStyle w:val="6"/>
              <w:spacing w:before="159" w:line="339" w:lineRule="auto"/>
              <w:ind w:left="109" w:right="105"/>
            </w:pPr>
            <w:r>
              <w:rPr>
                <w:spacing w:val="12"/>
              </w:rPr>
              <w:t>境质量达标区；现状监测非甲烷总烃满足河北省地方标准《环境空气</w:t>
            </w:r>
            <w:r>
              <w:rPr>
                <w:spacing w:val="7"/>
              </w:rPr>
              <w:t>质量非甲烷总烃限值》（</w:t>
            </w:r>
            <w:r>
              <w:rPr>
                <w:rFonts w:ascii="Times New Roman" w:hAnsi="Times New Roman" w:eastAsia="Times New Roman" w:cs="Times New Roman"/>
              </w:rPr>
              <w:t>DB</w:t>
            </w:r>
            <w:r>
              <w:rPr>
                <w:rFonts w:ascii="Times New Roman" w:hAnsi="Times New Roman" w:eastAsia="Times New Roman" w:cs="Times New Roman"/>
                <w:spacing w:val="7"/>
              </w:rPr>
              <w:t>13/1577-2012</w:t>
            </w:r>
            <w:r>
              <w:rPr>
                <w:spacing w:val="7"/>
              </w:rPr>
              <w:t>）标准限值。</w:t>
            </w:r>
          </w:p>
          <w:p w14:paraId="2B399D8F">
            <w:pPr>
              <w:pStyle w:val="6"/>
              <w:spacing w:before="1" w:line="340" w:lineRule="auto"/>
              <w:ind w:left="119" w:right="120" w:firstLine="507"/>
              <w:outlineLvl w:val="1"/>
            </w:pPr>
            <w:r>
              <w:rPr>
                <w:spacing w:val="32"/>
              </w:rPr>
              <w:t>②跳蹬河断面的各监测因子均满足《地表水环境质量标准》</w:t>
            </w:r>
            <w:r>
              <w:rPr>
                <w:spacing w:val="7"/>
              </w:rPr>
              <w:t xml:space="preserve"> </w:t>
            </w:r>
            <w:r>
              <w:rPr>
                <w:spacing w:val="6"/>
              </w:rPr>
              <w:t>（</w:t>
            </w:r>
            <w:r>
              <w:rPr>
                <w:rFonts w:ascii="Times New Roman" w:hAnsi="Times New Roman" w:eastAsia="Times New Roman" w:cs="Times New Roman"/>
              </w:rPr>
              <w:t>GB</w:t>
            </w:r>
            <w:r>
              <w:rPr>
                <w:rFonts w:ascii="Times New Roman" w:hAnsi="Times New Roman" w:eastAsia="Times New Roman" w:cs="Times New Roman"/>
                <w:spacing w:val="6"/>
              </w:rPr>
              <w:t>3838-2002</w:t>
            </w:r>
            <w:r>
              <w:rPr>
                <w:spacing w:val="6"/>
              </w:rPr>
              <w:t>）中的Ⅴ类水域标准。</w:t>
            </w:r>
          </w:p>
          <w:p w14:paraId="6B9E6D74">
            <w:pPr>
              <w:pStyle w:val="6"/>
              <w:spacing w:before="1" w:line="339" w:lineRule="auto"/>
              <w:ind w:left="119" w:right="118" w:firstLine="507"/>
              <w:outlineLvl w:val="1"/>
            </w:pPr>
            <w:r>
              <w:rPr>
                <w:spacing w:val="-8"/>
              </w:rPr>
              <w:t>③</w:t>
            </w:r>
            <w:r>
              <w:rPr>
                <w:spacing w:val="-34"/>
              </w:rPr>
              <w:t xml:space="preserve"> </w:t>
            </w:r>
            <w:r>
              <w:rPr>
                <w:spacing w:val="-8"/>
              </w:rPr>
              <w:t>本</w:t>
            </w:r>
            <w:r>
              <w:rPr>
                <w:spacing w:val="-32"/>
              </w:rPr>
              <w:t xml:space="preserve"> </w:t>
            </w:r>
            <w:r>
              <w:rPr>
                <w:spacing w:val="-8"/>
              </w:rPr>
              <w:t>项 目</w:t>
            </w:r>
            <w:r>
              <w:rPr>
                <w:spacing w:val="-35"/>
              </w:rPr>
              <w:t xml:space="preserve"> </w:t>
            </w:r>
            <w:r>
              <w:rPr>
                <w:spacing w:val="-8"/>
              </w:rPr>
              <w:t>所</w:t>
            </w:r>
            <w:r>
              <w:rPr>
                <w:spacing w:val="-37"/>
              </w:rPr>
              <w:t xml:space="preserve"> </w:t>
            </w:r>
            <w:r>
              <w:rPr>
                <w:spacing w:val="-8"/>
              </w:rPr>
              <w:t>在 区</w:t>
            </w:r>
            <w:r>
              <w:rPr>
                <w:spacing w:val="-34"/>
              </w:rPr>
              <w:t xml:space="preserve"> </w:t>
            </w:r>
            <w:r>
              <w:rPr>
                <w:spacing w:val="-8"/>
              </w:rPr>
              <w:t>域</w:t>
            </w:r>
            <w:r>
              <w:rPr>
                <w:spacing w:val="-36"/>
              </w:rPr>
              <w:t xml:space="preserve"> </w:t>
            </w:r>
            <w:r>
              <w:rPr>
                <w:spacing w:val="-8"/>
              </w:rPr>
              <w:t>地</w:t>
            </w:r>
            <w:r>
              <w:rPr>
                <w:spacing w:val="-27"/>
              </w:rPr>
              <w:t xml:space="preserve"> </w:t>
            </w:r>
            <w:r>
              <w:rPr>
                <w:spacing w:val="-8"/>
              </w:rPr>
              <w:t>下</w:t>
            </w:r>
            <w:r>
              <w:rPr>
                <w:spacing w:val="-33"/>
              </w:rPr>
              <w:t xml:space="preserve"> </w:t>
            </w:r>
            <w:r>
              <w:rPr>
                <w:spacing w:val="-8"/>
              </w:rPr>
              <w:t>水</w:t>
            </w:r>
            <w:r>
              <w:rPr>
                <w:spacing w:val="-33"/>
              </w:rPr>
              <w:t xml:space="preserve"> </w:t>
            </w:r>
            <w:r>
              <w:rPr>
                <w:spacing w:val="-8"/>
              </w:rPr>
              <w:t>符</w:t>
            </w:r>
            <w:r>
              <w:rPr>
                <w:spacing w:val="-34"/>
              </w:rPr>
              <w:t xml:space="preserve"> </w:t>
            </w:r>
            <w:r>
              <w:rPr>
                <w:spacing w:val="-8"/>
              </w:rPr>
              <w:t>合</w:t>
            </w:r>
            <w:r>
              <w:rPr>
                <w:spacing w:val="-41"/>
              </w:rPr>
              <w:t xml:space="preserve"> </w:t>
            </w:r>
            <w:r>
              <w:rPr>
                <w:spacing w:val="-8"/>
              </w:rPr>
              <w:t>《 地</w:t>
            </w:r>
            <w:r>
              <w:rPr>
                <w:spacing w:val="-28"/>
              </w:rPr>
              <w:t xml:space="preserve"> </w:t>
            </w:r>
            <w:r>
              <w:rPr>
                <w:spacing w:val="-8"/>
              </w:rPr>
              <w:t>下</w:t>
            </w:r>
            <w:r>
              <w:rPr>
                <w:spacing w:val="-32"/>
              </w:rPr>
              <w:t xml:space="preserve"> </w:t>
            </w:r>
            <w:r>
              <w:rPr>
                <w:spacing w:val="-8"/>
              </w:rPr>
              <w:t>水</w:t>
            </w:r>
            <w:r>
              <w:rPr>
                <w:spacing w:val="-34"/>
              </w:rPr>
              <w:t xml:space="preserve"> </w:t>
            </w:r>
            <w:r>
              <w:rPr>
                <w:spacing w:val="-8"/>
              </w:rPr>
              <w:t>质</w:t>
            </w:r>
            <w:r>
              <w:rPr>
                <w:spacing w:val="-36"/>
              </w:rPr>
              <w:t xml:space="preserve"> </w:t>
            </w:r>
            <w:r>
              <w:rPr>
                <w:spacing w:val="-8"/>
              </w:rPr>
              <w:t>量</w:t>
            </w:r>
            <w:r>
              <w:rPr>
                <w:spacing w:val="-34"/>
              </w:rPr>
              <w:t xml:space="preserve"> </w:t>
            </w:r>
            <w:r>
              <w:rPr>
                <w:spacing w:val="-8"/>
              </w:rPr>
              <w:t>标</w:t>
            </w:r>
            <w:r>
              <w:rPr>
                <w:spacing w:val="-34"/>
              </w:rPr>
              <w:t xml:space="preserve"> </w:t>
            </w:r>
            <w:r>
              <w:rPr>
                <w:spacing w:val="-8"/>
              </w:rPr>
              <w:t>准</w:t>
            </w:r>
            <w:r>
              <w:rPr>
                <w:spacing w:val="-9"/>
              </w:rPr>
              <w:t xml:space="preserve"> 》</w:t>
            </w:r>
            <w:r>
              <w:t xml:space="preserve"> </w:t>
            </w:r>
            <w:r>
              <w:rPr>
                <w:spacing w:val="6"/>
              </w:rPr>
              <w:t>（</w:t>
            </w:r>
            <w:r>
              <w:rPr>
                <w:rFonts w:ascii="Times New Roman" w:hAnsi="Times New Roman" w:eastAsia="Times New Roman" w:cs="Times New Roman"/>
              </w:rPr>
              <w:t>GB</w:t>
            </w:r>
            <w:r>
              <w:rPr>
                <w:rFonts w:ascii="Times New Roman" w:hAnsi="Times New Roman" w:eastAsia="Times New Roman" w:cs="Times New Roman"/>
                <w:spacing w:val="6"/>
              </w:rPr>
              <w:t>/T14848-2017</w:t>
            </w:r>
            <w:r>
              <w:rPr>
                <w:spacing w:val="6"/>
              </w:rPr>
              <w:t>）</w:t>
            </w:r>
            <w:r>
              <w:rPr>
                <w:rFonts w:ascii="Times New Roman" w:hAnsi="Times New Roman" w:eastAsia="Times New Roman" w:cs="Times New Roman"/>
                <w:spacing w:val="6"/>
              </w:rPr>
              <w:t>Ⅲ</w:t>
            </w:r>
            <w:r>
              <w:rPr>
                <w:spacing w:val="6"/>
              </w:rPr>
              <w:t>类水质标准的要求；</w:t>
            </w:r>
          </w:p>
          <w:p w14:paraId="23E74F98">
            <w:pPr>
              <w:pStyle w:val="6"/>
              <w:spacing w:before="1" w:line="339" w:lineRule="auto"/>
              <w:ind w:left="110" w:right="103" w:firstLine="516"/>
              <w:outlineLvl w:val="1"/>
            </w:pPr>
            <w:r>
              <w:rPr>
                <w:spacing w:val="13"/>
              </w:rPr>
              <w:t>④本项目厂界外代表性声环境点位监测值均满</w:t>
            </w:r>
            <w:r>
              <w:rPr>
                <w:spacing w:val="12"/>
              </w:rPr>
              <w:t>足《声环境质量标</w:t>
            </w:r>
            <w:r>
              <w:rPr>
                <w:spacing w:val="7"/>
              </w:rPr>
              <w:t>准》（</w:t>
            </w:r>
            <w:r>
              <w:rPr>
                <w:rFonts w:ascii="Times New Roman" w:hAnsi="Times New Roman" w:eastAsia="Times New Roman" w:cs="Times New Roman"/>
              </w:rPr>
              <w:t>GB</w:t>
            </w:r>
            <w:r>
              <w:rPr>
                <w:rFonts w:ascii="Times New Roman" w:hAnsi="Times New Roman" w:eastAsia="Times New Roman" w:cs="Times New Roman"/>
                <w:spacing w:val="7"/>
              </w:rPr>
              <w:t>3096-2008</w:t>
            </w:r>
            <w:r>
              <w:rPr>
                <w:spacing w:val="7"/>
              </w:rPr>
              <w:t>）中的</w:t>
            </w:r>
            <w:r>
              <w:rPr>
                <w:spacing w:val="-55"/>
              </w:rPr>
              <w:t xml:space="preserve"> </w:t>
            </w:r>
            <w:r>
              <w:rPr>
                <w:rFonts w:ascii="Times New Roman" w:hAnsi="Times New Roman" w:eastAsia="Times New Roman" w:cs="Times New Roman"/>
                <w:spacing w:val="7"/>
              </w:rPr>
              <w:t xml:space="preserve">2 </w:t>
            </w:r>
            <w:r>
              <w:rPr>
                <w:spacing w:val="7"/>
              </w:rPr>
              <w:t>类、</w:t>
            </w:r>
            <w:r>
              <w:rPr>
                <w:rFonts w:ascii="Times New Roman" w:hAnsi="Times New Roman" w:eastAsia="Times New Roman" w:cs="Times New Roman"/>
                <w:spacing w:val="7"/>
              </w:rPr>
              <w:t>4</w:t>
            </w:r>
            <w:r>
              <w:rPr>
                <w:rFonts w:ascii="Times New Roman" w:hAnsi="Times New Roman" w:eastAsia="Times New Roman" w:cs="Times New Roman"/>
                <w:spacing w:val="6"/>
              </w:rPr>
              <w:t xml:space="preserve">a </w:t>
            </w:r>
            <w:r>
              <w:rPr>
                <w:spacing w:val="6"/>
              </w:rPr>
              <w:t>类标准要求；</w:t>
            </w:r>
          </w:p>
          <w:p w14:paraId="026B63DF">
            <w:pPr>
              <w:pStyle w:val="6"/>
              <w:spacing w:before="1" w:line="340" w:lineRule="auto"/>
              <w:ind w:left="112" w:right="103" w:firstLine="514"/>
              <w:outlineLvl w:val="1"/>
            </w:pPr>
            <w:r>
              <w:rPr>
                <w:spacing w:val="7"/>
              </w:rPr>
              <w:t>⑤项目场区内土壤环境质量监测点位中</w:t>
            </w:r>
            <w:r>
              <w:rPr>
                <w:spacing w:val="-42"/>
              </w:rPr>
              <w:t xml:space="preserve"> </w:t>
            </w:r>
            <w:r>
              <w:rPr>
                <w:rFonts w:ascii="Times New Roman" w:hAnsi="Times New Roman" w:eastAsia="Times New Roman" w:cs="Times New Roman"/>
                <w:spacing w:val="7"/>
              </w:rPr>
              <w:t xml:space="preserve">45 </w:t>
            </w:r>
            <w:r>
              <w:rPr>
                <w:spacing w:val="7"/>
              </w:rPr>
              <w:t>项基本因子、石油烃满</w:t>
            </w:r>
            <w:r>
              <w:rPr>
                <w:spacing w:val="34"/>
              </w:rPr>
              <w:t>足《</w:t>
            </w:r>
            <w:r>
              <w:rPr>
                <w:spacing w:val="-41"/>
              </w:rPr>
              <w:t xml:space="preserve"> </w:t>
            </w:r>
            <w:r>
              <w:rPr>
                <w:spacing w:val="34"/>
              </w:rPr>
              <w:t>土壤环境质量建设用地土壤污染风险管控标准（试行）</w:t>
            </w:r>
            <w:r>
              <w:rPr>
                <w:spacing w:val="-24"/>
              </w:rPr>
              <w:t xml:space="preserve"> </w:t>
            </w:r>
            <w:r>
              <w:rPr>
                <w:spacing w:val="34"/>
              </w:rPr>
              <w:t>》</w:t>
            </w:r>
          </w:p>
          <w:p w14:paraId="0AE51986">
            <w:pPr>
              <w:pStyle w:val="6"/>
              <w:spacing w:before="1" w:line="225" w:lineRule="auto"/>
              <w:ind w:left="119"/>
            </w:pPr>
            <w:r>
              <w:rPr>
                <w:spacing w:val="6"/>
              </w:rPr>
              <w:t>（</w:t>
            </w:r>
            <w:r>
              <w:rPr>
                <w:rFonts w:ascii="Times New Roman" w:hAnsi="Times New Roman" w:eastAsia="Times New Roman" w:cs="Times New Roman"/>
              </w:rPr>
              <w:t>GB</w:t>
            </w:r>
            <w:r>
              <w:rPr>
                <w:rFonts w:ascii="Times New Roman" w:hAnsi="Times New Roman" w:eastAsia="Times New Roman" w:cs="Times New Roman"/>
                <w:spacing w:val="6"/>
              </w:rPr>
              <w:t>36600-2018</w:t>
            </w:r>
            <w:r>
              <w:rPr>
                <w:spacing w:val="6"/>
              </w:rPr>
              <w:t>）中筛选值标准。</w:t>
            </w:r>
          </w:p>
          <w:p w14:paraId="161DA504">
            <w:pPr>
              <w:pStyle w:val="6"/>
              <w:spacing w:before="153" w:line="340" w:lineRule="auto"/>
              <w:ind w:left="109" w:right="103" w:firstLine="522"/>
              <w:outlineLvl w:val="1"/>
            </w:pPr>
            <w:r>
              <w:rPr>
                <w:spacing w:val="12"/>
              </w:rPr>
              <w:t>综上，项目选址区域环境质量总体较好，无较大制约项目建设因</w:t>
            </w:r>
            <w:r>
              <w:rPr>
                <w:spacing w:val="4"/>
              </w:rPr>
              <w:t>子存在。</w:t>
            </w:r>
          </w:p>
          <w:p w14:paraId="47C3884D">
            <w:pPr>
              <w:pStyle w:val="6"/>
              <w:spacing w:before="1" w:line="226" w:lineRule="auto"/>
              <w:ind w:left="640"/>
            </w:pPr>
            <w:r>
              <w:rPr>
                <w:spacing w:val="6"/>
              </w:rPr>
              <w:t>（</w:t>
            </w:r>
            <w:r>
              <w:rPr>
                <w:rFonts w:ascii="Times New Roman" w:hAnsi="Times New Roman" w:eastAsia="Times New Roman" w:cs="Times New Roman"/>
                <w:spacing w:val="6"/>
              </w:rPr>
              <w:t>3</w:t>
            </w:r>
            <w:r>
              <w:rPr>
                <w:spacing w:val="6"/>
              </w:rPr>
              <w:t>）外环境关系</w:t>
            </w:r>
          </w:p>
          <w:p w14:paraId="4051B342">
            <w:pPr>
              <w:pStyle w:val="6"/>
              <w:spacing w:before="152" w:line="340" w:lineRule="auto"/>
              <w:ind w:left="109" w:right="103" w:firstLine="523"/>
            </w:pPr>
            <w:r>
              <w:rPr>
                <w:spacing w:val="12"/>
              </w:rPr>
              <w:t>项目选址不涉及自然保护区、风景名胜区、森林公园、文物古迹</w:t>
            </w:r>
            <w:r>
              <w:rPr>
                <w:spacing w:val="8"/>
              </w:rPr>
              <w:t>和饮用水源保护区等敏感保护目标。</w:t>
            </w:r>
          </w:p>
          <w:p w14:paraId="1295BEBD">
            <w:pPr>
              <w:pStyle w:val="6"/>
              <w:spacing w:before="2" w:line="339" w:lineRule="auto"/>
              <w:ind w:left="109" w:right="103" w:firstLine="531"/>
            </w:pPr>
            <w:r>
              <w:rPr>
                <w:spacing w:val="5"/>
              </w:rPr>
              <w:t>（</w:t>
            </w:r>
            <w:r>
              <w:rPr>
                <w:rFonts w:ascii="Times New Roman" w:hAnsi="Times New Roman" w:eastAsia="Times New Roman" w:cs="Times New Roman"/>
                <w:spacing w:val="5"/>
              </w:rPr>
              <w:t>4</w:t>
            </w:r>
            <w:r>
              <w:rPr>
                <w:spacing w:val="5"/>
              </w:rPr>
              <w:t>）《汽车加油加气加氢站技术标准》（</w:t>
            </w:r>
            <w:r>
              <w:rPr>
                <w:rFonts w:ascii="Times New Roman" w:hAnsi="Times New Roman" w:eastAsia="Times New Roman" w:cs="Times New Roman"/>
              </w:rPr>
              <w:t>GB</w:t>
            </w:r>
            <w:r>
              <w:rPr>
                <w:rFonts w:ascii="Times New Roman" w:hAnsi="Times New Roman" w:eastAsia="Times New Roman" w:cs="Times New Roman"/>
                <w:spacing w:val="5"/>
              </w:rPr>
              <w:t>50156-2021</w:t>
            </w:r>
            <w:r>
              <w:rPr>
                <w:spacing w:val="5"/>
              </w:rPr>
              <w:t>）</w:t>
            </w:r>
            <w:r>
              <w:rPr>
                <w:spacing w:val="4"/>
              </w:rPr>
              <w:t>站址符</w:t>
            </w:r>
            <w:r>
              <w:rPr>
                <w:spacing w:val="6"/>
              </w:rPr>
              <w:t>合性分析</w:t>
            </w:r>
          </w:p>
          <w:p w14:paraId="53E7F852">
            <w:pPr>
              <w:pStyle w:val="6"/>
              <w:spacing w:before="4" w:line="339" w:lineRule="auto"/>
              <w:ind w:left="107" w:right="103" w:firstLine="525"/>
              <w:jc w:val="both"/>
            </w:pPr>
            <w:r>
              <w:rPr>
                <w:spacing w:val="12"/>
              </w:rPr>
              <w:t>项目平面布置无外部制约因素，加油站总平面建、构筑物布置紧凑，卸油区、储油区与加油区等分区较为明确，加油区场地宽敞，有利于各类车辆进出。项目属于三级加油站，靠近城市道路，且未建设</w:t>
            </w:r>
            <w:r>
              <w:rPr>
                <w:spacing w:val="8"/>
              </w:rPr>
              <w:t>在城市干道的交叉路口。</w:t>
            </w:r>
          </w:p>
          <w:p w14:paraId="029E814C">
            <w:pPr>
              <w:pStyle w:val="6"/>
              <w:spacing w:before="1" w:line="224" w:lineRule="auto"/>
              <w:ind w:left="635"/>
            </w:pPr>
            <w:r>
              <w:rPr>
                <w:spacing w:val="12"/>
              </w:rPr>
              <w:t>结合本项目方案设计及安全现状评价报告，改建后加油站汽油设</w:t>
            </w:r>
          </w:p>
        </w:tc>
      </w:tr>
    </w:tbl>
    <w:p w14:paraId="504E3035">
      <w:pPr>
        <w:pStyle w:val="2"/>
        <w:rPr>
          <w:sz w:val="21"/>
        </w:rPr>
      </w:pPr>
    </w:p>
    <w:p w14:paraId="77C96A4A">
      <w:pPr>
        <w:rPr>
          <w:sz w:val="21"/>
          <w:szCs w:val="21"/>
        </w:rPr>
        <w:sectPr>
          <w:footerReference r:id="rId30" w:type="default"/>
          <w:pgSz w:w="11906" w:h="16839"/>
          <w:pgMar w:top="400" w:right="1508" w:bottom="1006" w:left="1508" w:header="0" w:footer="774" w:gutter="0"/>
          <w:cols w:space="720" w:num="1"/>
        </w:sectPr>
      </w:pPr>
    </w:p>
    <w:p w14:paraId="4B65B26D">
      <w:pPr>
        <w:spacing w:before="19"/>
      </w:pPr>
    </w:p>
    <w:p w14:paraId="5AD6C5A5">
      <w:pPr>
        <w:spacing w:before="19"/>
      </w:pPr>
    </w:p>
    <w:p w14:paraId="42654DD8">
      <w:pPr>
        <w:spacing w:before="19"/>
      </w:pPr>
    </w:p>
    <w:p w14:paraId="5B5DAD3E">
      <w:pPr>
        <w:spacing w:before="18"/>
      </w:pPr>
    </w:p>
    <w:p w14:paraId="1D5BE35D">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6"/>
        <w:gridCol w:w="110"/>
        <w:gridCol w:w="430"/>
        <w:gridCol w:w="1499"/>
        <w:gridCol w:w="152"/>
        <w:gridCol w:w="701"/>
        <w:gridCol w:w="340"/>
        <w:gridCol w:w="403"/>
        <w:gridCol w:w="733"/>
        <w:gridCol w:w="708"/>
        <w:gridCol w:w="46"/>
        <w:gridCol w:w="737"/>
        <w:gridCol w:w="578"/>
        <w:gridCol w:w="155"/>
        <w:gridCol w:w="695"/>
        <w:gridCol w:w="696"/>
        <w:gridCol w:w="115"/>
      </w:tblGrid>
      <w:tr w14:paraId="1F4DD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9" w:hRule="atLeast"/>
        </w:trPr>
        <w:tc>
          <w:tcPr>
            <w:tcW w:w="776" w:type="dxa"/>
            <w:vMerge w:val="restart"/>
            <w:tcBorders>
              <w:top w:val="single" w:color="000000" w:sz="6" w:space="0"/>
              <w:left w:val="single" w:color="000000" w:sz="6" w:space="0"/>
              <w:bottom w:val="nil"/>
            </w:tcBorders>
            <w:vAlign w:val="top"/>
          </w:tcPr>
          <w:p w14:paraId="794ED79B">
            <w:pPr>
              <w:rPr>
                <w:rFonts w:ascii="Arial"/>
                <w:sz w:val="21"/>
              </w:rPr>
            </w:pPr>
          </w:p>
        </w:tc>
        <w:tc>
          <w:tcPr>
            <w:tcW w:w="8098" w:type="dxa"/>
            <w:gridSpan w:val="16"/>
            <w:tcBorders>
              <w:top w:val="single" w:color="000000" w:sz="6" w:space="0"/>
              <w:right w:val="single" w:color="000000" w:sz="6" w:space="0"/>
            </w:tcBorders>
            <w:vAlign w:val="top"/>
          </w:tcPr>
          <w:p w14:paraId="1ADCAD96">
            <w:pPr>
              <w:pStyle w:val="6"/>
              <w:spacing w:before="150" w:line="226" w:lineRule="auto"/>
              <w:ind w:left="111"/>
            </w:pPr>
            <w:r>
              <w:rPr>
                <w:spacing w:val="9"/>
              </w:rPr>
              <w:t>备与站外建（构）筑物的安全间距及站内设施安全间距见下表。</w:t>
            </w:r>
          </w:p>
          <w:p w14:paraId="09311320">
            <w:pPr>
              <w:pStyle w:val="6"/>
              <w:spacing w:before="155" w:line="219" w:lineRule="auto"/>
              <w:ind w:left="148"/>
            </w:pPr>
            <w:r>
              <w:rPr>
                <w:spacing w:val="7"/>
              </w:rPr>
              <w:t>表</w:t>
            </w:r>
            <w:r>
              <w:rPr>
                <w:rFonts w:ascii="Times New Roman" w:hAnsi="Times New Roman" w:eastAsia="Times New Roman" w:cs="Times New Roman"/>
                <w:spacing w:val="7"/>
              </w:rPr>
              <w:t>1.11-</w:t>
            </w:r>
            <w:r>
              <w:rPr>
                <w:rFonts w:ascii="Times New Roman" w:hAnsi="Times New Roman" w:eastAsia="Times New Roman" w:cs="Times New Roman"/>
                <w:spacing w:val="-33"/>
              </w:rPr>
              <w:t xml:space="preserve"> </w:t>
            </w:r>
            <w:r>
              <w:rPr>
                <w:rFonts w:ascii="Times New Roman" w:hAnsi="Times New Roman" w:eastAsia="Times New Roman" w:cs="Times New Roman"/>
                <w:spacing w:val="7"/>
              </w:rPr>
              <w:t xml:space="preserve">1    </w:t>
            </w:r>
            <w:r>
              <w:rPr>
                <w:spacing w:val="7"/>
              </w:rPr>
              <w:t>改建后加油站汽油设</w:t>
            </w:r>
            <w:r>
              <w:rPr>
                <w:spacing w:val="6"/>
              </w:rPr>
              <w:t>备与站外建</w:t>
            </w:r>
            <w:r>
              <w:rPr>
                <w:rFonts w:ascii="Times New Roman" w:hAnsi="Times New Roman" w:eastAsia="Times New Roman" w:cs="Times New Roman"/>
                <w:spacing w:val="6"/>
              </w:rPr>
              <w:t>(</w:t>
            </w:r>
            <w:r>
              <w:rPr>
                <w:spacing w:val="6"/>
              </w:rPr>
              <w:t>构</w:t>
            </w:r>
            <w:r>
              <w:rPr>
                <w:rFonts w:ascii="Times New Roman" w:hAnsi="Times New Roman" w:eastAsia="Times New Roman" w:cs="Times New Roman"/>
                <w:spacing w:val="6"/>
              </w:rPr>
              <w:t>)</w:t>
            </w:r>
            <w:r>
              <w:rPr>
                <w:spacing w:val="6"/>
              </w:rPr>
              <w:t>筑物安全间距表（</w:t>
            </w:r>
            <w:r>
              <w:rPr>
                <w:rFonts w:ascii="Times New Roman" w:hAnsi="Times New Roman" w:eastAsia="Times New Roman" w:cs="Times New Roman"/>
                <w:spacing w:val="6"/>
              </w:rPr>
              <w:t>m</w:t>
            </w:r>
            <w:r>
              <w:rPr>
                <w:spacing w:val="6"/>
              </w:rPr>
              <w:t>）</w:t>
            </w:r>
          </w:p>
        </w:tc>
      </w:tr>
      <w:tr w14:paraId="38093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76" w:type="dxa"/>
            <w:vMerge w:val="continue"/>
            <w:tcBorders>
              <w:top w:val="nil"/>
              <w:left w:val="single" w:color="000000" w:sz="6" w:space="0"/>
              <w:bottom w:val="nil"/>
            </w:tcBorders>
            <w:vAlign w:val="top"/>
          </w:tcPr>
          <w:p w14:paraId="7A856D4D">
            <w:pPr>
              <w:rPr>
                <w:rFonts w:ascii="Arial"/>
                <w:sz w:val="21"/>
              </w:rPr>
            </w:pPr>
          </w:p>
        </w:tc>
        <w:tc>
          <w:tcPr>
            <w:tcW w:w="110" w:type="dxa"/>
            <w:tcBorders>
              <w:top w:val="nil"/>
              <w:bottom w:val="nil"/>
            </w:tcBorders>
            <w:vAlign w:val="top"/>
          </w:tcPr>
          <w:p w14:paraId="092699F9">
            <w:pPr>
              <w:rPr>
                <w:rFonts w:ascii="Arial"/>
                <w:sz w:val="21"/>
              </w:rPr>
            </w:pPr>
          </w:p>
        </w:tc>
        <w:tc>
          <w:tcPr>
            <w:tcW w:w="430" w:type="dxa"/>
            <w:vMerge w:val="restart"/>
            <w:tcBorders>
              <w:bottom w:val="nil"/>
            </w:tcBorders>
            <w:textDirection w:val="tbRlV"/>
            <w:vAlign w:val="top"/>
          </w:tcPr>
          <w:p w14:paraId="5856549C">
            <w:pPr>
              <w:pStyle w:val="6"/>
              <w:spacing w:before="107" w:line="210" w:lineRule="auto"/>
              <w:ind w:left="321"/>
              <w:rPr>
                <w:sz w:val="22"/>
                <w:szCs w:val="22"/>
              </w:rPr>
            </w:pPr>
            <w:r>
              <w:rPr>
                <w:spacing w:val="33"/>
                <w:sz w:val="22"/>
                <w:szCs w:val="22"/>
              </w:rPr>
              <w:t>方位</w:t>
            </w:r>
          </w:p>
        </w:tc>
        <w:tc>
          <w:tcPr>
            <w:tcW w:w="1651" w:type="dxa"/>
            <w:gridSpan w:val="2"/>
            <w:vMerge w:val="restart"/>
            <w:tcBorders>
              <w:bottom w:val="nil"/>
            </w:tcBorders>
            <w:vAlign w:val="top"/>
          </w:tcPr>
          <w:p w14:paraId="015666DB">
            <w:pPr>
              <w:spacing w:line="391" w:lineRule="auto"/>
              <w:rPr>
                <w:rFonts w:ascii="Arial"/>
                <w:sz w:val="21"/>
              </w:rPr>
            </w:pPr>
          </w:p>
          <w:p w14:paraId="1105431B">
            <w:pPr>
              <w:pStyle w:val="6"/>
              <w:spacing w:before="72" w:line="221" w:lineRule="auto"/>
              <w:ind w:left="609"/>
              <w:rPr>
                <w:sz w:val="22"/>
                <w:szCs w:val="22"/>
              </w:rPr>
            </w:pPr>
            <w:r>
              <w:rPr>
                <w:spacing w:val="-6"/>
                <w:sz w:val="22"/>
                <w:szCs w:val="22"/>
              </w:rPr>
              <w:t>项目</w:t>
            </w:r>
          </w:p>
        </w:tc>
        <w:tc>
          <w:tcPr>
            <w:tcW w:w="1444" w:type="dxa"/>
            <w:gridSpan w:val="3"/>
            <w:vAlign w:val="top"/>
          </w:tcPr>
          <w:p w14:paraId="3ECE22A5">
            <w:pPr>
              <w:pStyle w:val="6"/>
              <w:spacing w:before="175" w:line="220" w:lineRule="auto"/>
              <w:ind w:left="285"/>
              <w:rPr>
                <w:sz w:val="22"/>
                <w:szCs w:val="22"/>
              </w:rPr>
            </w:pPr>
            <w:r>
              <w:rPr>
                <w:spacing w:val="-3"/>
                <w:sz w:val="22"/>
                <w:szCs w:val="22"/>
              </w:rPr>
              <w:t>埋地油罐</w:t>
            </w:r>
          </w:p>
        </w:tc>
        <w:tc>
          <w:tcPr>
            <w:tcW w:w="1487" w:type="dxa"/>
            <w:gridSpan w:val="3"/>
            <w:vAlign w:val="top"/>
          </w:tcPr>
          <w:p w14:paraId="52A3F7BE">
            <w:pPr>
              <w:pStyle w:val="6"/>
              <w:spacing w:before="175" w:line="220" w:lineRule="auto"/>
              <w:ind w:left="199"/>
              <w:rPr>
                <w:sz w:val="22"/>
                <w:szCs w:val="22"/>
              </w:rPr>
            </w:pPr>
            <w:r>
              <w:rPr>
                <w:spacing w:val="-2"/>
                <w:sz w:val="22"/>
                <w:szCs w:val="22"/>
              </w:rPr>
              <w:t>通气管管口</w:t>
            </w:r>
          </w:p>
        </w:tc>
        <w:tc>
          <w:tcPr>
            <w:tcW w:w="1470" w:type="dxa"/>
            <w:gridSpan w:val="3"/>
            <w:vAlign w:val="top"/>
          </w:tcPr>
          <w:p w14:paraId="3B2E56A8">
            <w:pPr>
              <w:pStyle w:val="6"/>
              <w:spacing w:before="176" w:line="219" w:lineRule="auto"/>
              <w:ind w:left="413"/>
              <w:rPr>
                <w:sz w:val="22"/>
                <w:szCs w:val="22"/>
              </w:rPr>
            </w:pPr>
            <w:r>
              <w:rPr>
                <w:spacing w:val="-3"/>
                <w:sz w:val="22"/>
                <w:szCs w:val="22"/>
              </w:rPr>
              <w:t>加油机</w:t>
            </w:r>
          </w:p>
        </w:tc>
        <w:tc>
          <w:tcPr>
            <w:tcW w:w="1391" w:type="dxa"/>
            <w:gridSpan w:val="2"/>
            <w:vAlign w:val="top"/>
          </w:tcPr>
          <w:p w14:paraId="50232F6E">
            <w:pPr>
              <w:pStyle w:val="6"/>
              <w:spacing w:before="34" w:line="221" w:lineRule="auto"/>
              <w:ind w:left="376" w:right="137" w:hanging="217"/>
              <w:rPr>
                <w:sz w:val="22"/>
                <w:szCs w:val="22"/>
              </w:rPr>
            </w:pPr>
            <w:r>
              <w:rPr>
                <w:spacing w:val="-3"/>
                <w:sz w:val="22"/>
                <w:szCs w:val="22"/>
              </w:rPr>
              <w:t>油气回收处</w:t>
            </w:r>
            <w:r>
              <w:rPr>
                <w:spacing w:val="-4"/>
                <w:sz w:val="22"/>
                <w:szCs w:val="22"/>
              </w:rPr>
              <w:t>理装置</w:t>
            </w:r>
          </w:p>
        </w:tc>
        <w:tc>
          <w:tcPr>
            <w:tcW w:w="115" w:type="dxa"/>
            <w:tcBorders>
              <w:top w:val="nil"/>
              <w:bottom w:val="nil"/>
              <w:right w:val="single" w:color="000000" w:sz="6" w:space="0"/>
            </w:tcBorders>
            <w:vAlign w:val="top"/>
          </w:tcPr>
          <w:p w14:paraId="615AEDFF">
            <w:pPr>
              <w:rPr>
                <w:rFonts w:ascii="Arial"/>
                <w:sz w:val="21"/>
              </w:rPr>
            </w:pPr>
          </w:p>
        </w:tc>
      </w:tr>
      <w:tr w14:paraId="501E2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776" w:type="dxa"/>
            <w:vMerge w:val="continue"/>
            <w:tcBorders>
              <w:top w:val="nil"/>
              <w:left w:val="single" w:color="000000" w:sz="6" w:space="0"/>
              <w:bottom w:val="nil"/>
            </w:tcBorders>
            <w:vAlign w:val="top"/>
          </w:tcPr>
          <w:p w14:paraId="2F429C76">
            <w:pPr>
              <w:rPr>
                <w:rFonts w:ascii="Arial"/>
                <w:sz w:val="21"/>
              </w:rPr>
            </w:pPr>
          </w:p>
        </w:tc>
        <w:tc>
          <w:tcPr>
            <w:tcW w:w="110" w:type="dxa"/>
            <w:tcBorders>
              <w:top w:val="nil"/>
              <w:bottom w:val="nil"/>
            </w:tcBorders>
            <w:vAlign w:val="top"/>
          </w:tcPr>
          <w:p w14:paraId="2A09010A">
            <w:pPr>
              <w:rPr>
                <w:rFonts w:ascii="Arial"/>
                <w:sz w:val="21"/>
              </w:rPr>
            </w:pPr>
          </w:p>
        </w:tc>
        <w:tc>
          <w:tcPr>
            <w:tcW w:w="430" w:type="dxa"/>
            <w:vMerge w:val="continue"/>
            <w:tcBorders>
              <w:top w:val="nil"/>
            </w:tcBorders>
            <w:textDirection w:val="tbRlV"/>
            <w:vAlign w:val="top"/>
          </w:tcPr>
          <w:p w14:paraId="727B2DD9">
            <w:pPr>
              <w:rPr>
                <w:rFonts w:ascii="Arial"/>
                <w:sz w:val="21"/>
              </w:rPr>
            </w:pPr>
          </w:p>
        </w:tc>
        <w:tc>
          <w:tcPr>
            <w:tcW w:w="1651" w:type="dxa"/>
            <w:gridSpan w:val="2"/>
            <w:vMerge w:val="continue"/>
            <w:tcBorders>
              <w:top w:val="nil"/>
            </w:tcBorders>
            <w:vAlign w:val="top"/>
          </w:tcPr>
          <w:p w14:paraId="34B540E6">
            <w:pPr>
              <w:rPr>
                <w:rFonts w:ascii="Arial"/>
                <w:sz w:val="21"/>
              </w:rPr>
            </w:pPr>
          </w:p>
        </w:tc>
        <w:tc>
          <w:tcPr>
            <w:tcW w:w="701" w:type="dxa"/>
            <w:vAlign w:val="top"/>
          </w:tcPr>
          <w:p w14:paraId="10396C14">
            <w:pPr>
              <w:pStyle w:val="6"/>
              <w:spacing w:before="36" w:line="222" w:lineRule="auto"/>
              <w:ind w:left="134"/>
              <w:rPr>
                <w:sz w:val="22"/>
                <w:szCs w:val="22"/>
              </w:rPr>
            </w:pPr>
            <w:r>
              <w:rPr>
                <w:spacing w:val="-4"/>
                <w:sz w:val="22"/>
                <w:szCs w:val="22"/>
              </w:rPr>
              <w:t>规范</w:t>
            </w:r>
          </w:p>
          <w:p w14:paraId="137D9A6E">
            <w:pPr>
              <w:pStyle w:val="6"/>
              <w:spacing w:before="21" w:line="206" w:lineRule="auto"/>
              <w:ind w:left="132"/>
              <w:rPr>
                <w:sz w:val="22"/>
                <w:szCs w:val="22"/>
              </w:rPr>
            </w:pPr>
            <w:r>
              <w:rPr>
                <w:spacing w:val="-3"/>
                <w:sz w:val="22"/>
                <w:szCs w:val="22"/>
              </w:rPr>
              <w:t>距离</w:t>
            </w:r>
          </w:p>
        </w:tc>
        <w:tc>
          <w:tcPr>
            <w:tcW w:w="743" w:type="dxa"/>
            <w:gridSpan w:val="2"/>
            <w:vAlign w:val="top"/>
          </w:tcPr>
          <w:p w14:paraId="1C36AFA0">
            <w:pPr>
              <w:pStyle w:val="6"/>
              <w:spacing w:before="36" w:line="221" w:lineRule="auto"/>
              <w:ind w:left="160"/>
              <w:rPr>
                <w:sz w:val="22"/>
                <w:szCs w:val="22"/>
              </w:rPr>
            </w:pPr>
            <w:r>
              <w:rPr>
                <w:spacing w:val="-7"/>
                <w:sz w:val="22"/>
                <w:szCs w:val="22"/>
              </w:rPr>
              <w:t>实际</w:t>
            </w:r>
          </w:p>
          <w:p w14:paraId="15FBAA62">
            <w:pPr>
              <w:pStyle w:val="6"/>
              <w:spacing w:before="22" w:line="206" w:lineRule="auto"/>
              <w:ind w:left="154"/>
              <w:rPr>
                <w:sz w:val="22"/>
                <w:szCs w:val="22"/>
              </w:rPr>
            </w:pPr>
            <w:r>
              <w:rPr>
                <w:spacing w:val="-3"/>
                <w:sz w:val="22"/>
                <w:szCs w:val="22"/>
              </w:rPr>
              <w:t>距离</w:t>
            </w:r>
          </w:p>
        </w:tc>
        <w:tc>
          <w:tcPr>
            <w:tcW w:w="733" w:type="dxa"/>
            <w:vAlign w:val="top"/>
          </w:tcPr>
          <w:p w14:paraId="5805B20B">
            <w:pPr>
              <w:pStyle w:val="6"/>
              <w:spacing w:before="36" w:line="222" w:lineRule="auto"/>
              <w:ind w:left="152"/>
              <w:rPr>
                <w:sz w:val="22"/>
                <w:szCs w:val="22"/>
              </w:rPr>
            </w:pPr>
            <w:r>
              <w:rPr>
                <w:spacing w:val="-4"/>
                <w:sz w:val="22"/>
                <w:szCs w:val="22"/>
              </w:rPr>
              <w:t>规范</w:t>
            </w:r>
          </w:p>
          <w:p w14:paraId="787C7897">
            <w:pPr>
              <w:pStyle w:val="6"/>
              <w:spacing w:before="21" w:line="206" w:lineRule="auto"/>
              <w:ind w:left="150"/>
              <w:rPr>
                <w:sz w:val="22"/>
                <w:szCs w:val="22"/>
              </w:rPr>
            </w:pPr>
            <w:r>
              <w:rPr>
                <w:spacing w:val="-3"/>
                <w:sz w:val="22"/>
                <w:szCs w:val="22"/>
              </w:rPr>
              <w:t>距离</w:t>
            </w:r>
          </w:p>
        </w:tc>
        <w:tc>
          <w:tcPr>
            <w:tcW w:w="754" w:type="dxa"/>
            <w:gridSpan w:val="2"/>
            <w:vAlign w:val="top"/>
          </w:tcPr>
          <w:p w14:paraId="7B31EE78">
            <w:pPr>
              <w:pStyle w:val="6"/>
              <w:spacing w:before="36" w:line="221" w:lineRule="auto"/>
              <w:ind w:left="167"/>
              <w:rPr>
                <w:sz w:val="22"/>
                <w:szCs w:val="22"/>
              </w:rPr>
            </w:pPr>
            <w:r>
              <w:rPr>
                <w:spacing w:val="-7"/>
                <w:sz w:val="22"/>
                <w:szCs w:val="22"/>
              </w:rPr>
              <w:t>实际</w:t>
            </w:r>
          </w:p>
          <w:p w14:paraId="52D6DD00">
            <w:pPr>
              <w:pStyle w:val="6"/>
              <w:spacing w:before="22" w:line="206" w:lineRule="auto"/>
              <w:ind w:left="161"/>
              <w:rPr>
                <w:sz w:val="22"/>
                <w:szCs w:val="22"/>
              </w:rPr>
            </w:pPr>
            <w:r>
              <w:rPr>
                <w:spacing w:val="-3"/>
                <w:sz w:val="22"/>
                <w:szCs w:val="22"/>
              </w:rPr>
              <w:t>距离</w:t>
            </w:r>
          </w:p>
        </w:tc>
        <w:tc>
          <w:tcPr>
            <w:tcW w:w="737" w:type="dxa"/>
            <w:vAlign w:val="top"/>
          </w:tcPr>
          <w:p w14:paraId="0812CA49">
            <w:pPr>
              <w:pStyle w:val="6"/>
              <w:spacing w:before="36" w:line="222" w:lineRule="auto"/>
              <w:ind w:left="157"/>
              <w:rPr>
                <w:sz w:val="22"/>
                <w:szCs w:val="22"/>
              </w:rPr>
            </w:pPr>
            <w:r>
              <w:rPr>
                <w:spacing w:val="-4"/>
                <w:sz w:val="22"/>
                <w:szCs w:val="22"/>
              </w:rPr>
              <w:t>规范</w:t>
            </w:r>
          </w:p>
          <w:p w14:paraId="601C5CF0">
            <w:pPr>
              <w:pStyle w:val="6"/>
              <w:spacing w:before="21" w:line="206" w:lineRule="auto"/>
              <w:ind w:left="156"/>
              <w:rPr>
                <w:sz w:val="22"/>
                <w:szCs w:val="22"/>
              </w:rPr>
            </w:pPr>
            <w:r>
              <w:rPr>
                <w:spacing w:val="-3"/>
                <w:sz w:val="22"/>
                <w:szCs w:val="22"/>
              </w:rPr>
              <w:t>距离</w:t>
            </w:r>
          </w:p>
        </w:tc>
        <w:tc>
          <w:tcPr>
            <w:tcW w:w="733" w:type="dxa"/>
            <w:gridSpan w:val="2"/>
            <w:vAlign w:val="top"/>
          </w:tcPr>
          <w:p w14:paraId="10715C71">
            <w:pPr>
              <w:pStyle w:val="6"/>
              <w:spacing w:before="36" w:line="221" w:lineRule="auto"/>
              <w:ind w:left="159"/>
              <w:rPr>
                <w:sz w:val="22"/>
                <w:szCs w:val="22"/>
              </w:rPr>
            </w:pPr>
            <w:r>
              <w:rPr>
                <w:spacing w:val="-7"/>
                <w:sz w:val="22"/>
                <w:szCs w:val="22"/>
              </w:rPr>
              <w:t>实际</w:t>
            </w:r>
          </w:p>
          <w:p w14:paraId="1AB85C6E">
            <w:pPr>
              <w:pStyle w:val="6"/>
              <w:spacing w:before="22" w:line="206" w:lineRule="auto"/>
              <w:ind w:left="153"/>
              <w:rPr>
                <w:sz w:val="22"/>
                <w:szCs w:val="22"/>
              </w:rPr>
            </w:pPr>
            <w:r>
              <w:rPr>
                <w:spacing w:val="-3"/>
                <w:sz w:val="22"/>
                <w:szCs w:val="22"/>
              </w:rPr>
              <w:t>距离</w:t>
            </w:r>
          </w:p>
        </w:tc>
        <w:tc>
          <w:tcPr>
            <w:tcW w:w="695" w:type="dxa"/>
            <w:vAlign w:val="top"/>
          </w:tcPr>
          <w:p w14:paraId="2AEFC7A4">
            <w:pPr>
              <w:pStyle w:val="6"/>
              <w:spacing w:before="36" w:line="222" w:lineRule="auto"/>
              <w:ind w:left="137"/>
              <w:rPr>
                <w:sz w:val="22"/>
                <w:szCs w:val="22"/>
              </w:rPr>
            </w:pPr>
            <w:r>
              <w:rPr>
                <w:spacing w:val="-4"/>
                <w:sz w:val="22"/>
                <w:szCs w:val="22"/>
              </w:rPr>
              <w:t>规范</w:t>
            </w:r>
          </w:p>
          <w:p w14:paraId="500F09BD">
            <w:pPr>
              <w:pStyle w:val="6"/>
              <w:spacing w:before="21" w:line="206" w:lineRule="auto"/>
              <w:ind w:left="135"/>
              <w:rPr>
                <w:sz w:val="22"/>
                <w:szCs w:val="22"/>
              </w:rPr>
            </w:pPr>
            <w:r>
              <w:rPr>
                <w:spacing w:val="-3"/>
                <w:sz w:val="22"/>
                <w:szCs w:val="22"/>
              </w:rPr>
              <w:t>距离</w:t>
            </w:r>
          </w:p>
        </w:tc>
        <w:tc>
          <w:tcPr>
            <w:tcW w:w="696" w:type="dxa"/>
            <w:vAlign w:val="top"/>
          </w:tcPr>
          <w:p w14:paraId="173DAF73">
            <w:pPr>
              <w:pStyle w:val="6"/>
              <w:spacing w:before="36" w:line="221" w:lineRule="auto"/>
              <w:ind w:left="142"/>
              <w:rPr>
                <w:sz w:val="22"/>
                <w:szCs w:val="22"/>
              </w:rPr>
            </w:pPr>
            <w:r>
              <w:rPr>
                <w:spacing w:val="-7"/>
                <w:sz w:val="22"/>
                <w:szCs w:val="22"/>
              </w:rPr>
              <w:t>实际</w:t>
            </w:r>
          </w:p>
          <w:p w14:paraId="1370D54D">
            <w:pPr>
              <w:pStyle w:val="6"/>
              <w:spacing w:before="22" w:line="206" w:lineRule="auto"/>
              <w:ind w:left="136"/>
              <w:rPr>
                <w:sz w:val="22"/>
                <w:szCs w:val="22"/>
              </w:rPr>
            </w:pPr>
            <w:r>
              <w:rPr>
                <w:spacing w:val="-3"/>
                <w:sz w:val="22"/>
                <w:szCs w:val="22"/>
              </w:rPr>
              <w:t>距离</w:t>
            </w:r>
          </w:p>
        </w:tc>
        <w:tc>
          <w:tcPr>
            <w:tcW w:w="115" w:type="dxa"/>
            <w:tcBorders>
              <w:top w:val="nil"/>
              <w:bottom w:val="nil"/>
              <w:right w:val="single" w:color="000000" w:sz="6" w:space="0"/>
            </w:tcBorders>
            <w:vAlign w:val="top"/>
          </w:tcPr>
          <w:p w14:paraId="767A39B0">
            <w:pPr>
              <w:rPr>
                <w:rFonts w:ascii="Arial"/>
                <w:sz w:val="21"/>
              </w:rPr>
            </w:pPr>
          </w:p>
        </w:tc>
      </w:tr>
      <w:tr w14:paraId="7B995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76" w:type="dxa"/>
            <w:vMerge w:val="continue"/>
            <w:tcBorders>
              <w:top w:val="nil"/>
              <w:left w:val="single" w:color="000000" w:sz="6" w:space="0"/>
              <w:bottom w:val="nil"/>
            </w:tcBorders>
            <w:vAlign w:val="top"/>
          </w:tcPr>
          <w:p w14:paraId="725470A2">
            <w:pPr>
              <w:rPr>
                <w:rFonts w:ascii="Arial"/>
                <w:sz w:val="21"/>
              </w:rPr>
            </w:pPr>
          </w:p>
        </w:tc>
        <w:tc>
          <w:tcPr>
            <w:tcW w:w="110" w:type="dxa"/>
            <w:tcBorders>
              <w:top w:val="nil"/>
              <w:bottom w:val="nil"/>
            </w:tcBorders>
            <w:vAlign w:val="top"/>
          </w:tcPr>
          <w:p w14:paraId="368B3576">
            <w:pPr>
              <w:rPr>
                <w:rFonts w:ascii="Arial"/>
                <w:sz w:val="21"/>
              </w:rPr>
            </w:pPr>
          </w:p>
        </w:tc>
        <w:tc>
          <w:tcPr>
            <w:tcW w:w="430" w:type="dxa"/>
            <w:textDirection w:val="tbRlV"/>
            <w:vAlign w:val="top"/>
          </w:tcPr>
          <w:p w14:paraId="2724E044">
            <w:pPr>
              <w:pStyle w:val="6"/>
              <w:spacing w:before="107" w:line="209" w:lineRule="auto"/>
              <w:ind w:left="34"/>
              <w:rPr>
                <w:sz w:val="22"/>
                <w:szCs w:val="22"/>
              </w:rPr>
            </w:pPr>
            <w:r>
              <w:rPr>
                <w:spacing w:val="33"/>
                <w:sz w:val="22"/>
                <w:szCs w:val="22"/>
              </w:rPr>
              <w:t>北面</w:t>
            </w:r>
          </w:p>
        </w:tc>
        <w:tc>
          <w:tcPr>
            <w:tcW w:w="1651" w:type="dxa"/>
            <w:gridSpan w:val="2"/>
            <w:vAlign w:val="top"/>
          </w:tcPr>
          <w:p w14:paraId="41B0C3A1">
            <w:pPr>
              <w:pStyle w:val="6"/>
              <w:spacing w:before="33" w:line="223" w:lineRule="auto"/>
              <w:ind w:left="281" w:right="292" w:firstLine="241"/>
              <w:rPr>
                <w:sz w:val="22"/>
                <w:szCs w:val="22"/>
              </w:rPr>
            </w:pPr>
            <w:r>
              <w:rPr>
                <w:spacing w:val="-12"/>
                <w:sz w:val="22"/>
                <w:szCs w:val="22"/>
              </w:rPr>
              <w:t>田福路</w:t>
            </w:r>
            <w:r>
              <w:rPr>
                <w:spacing w:val="-6"/>
                <w:sz w:val="22"/>
                <w:szCs w:val="22"/>
              </w:rPr>
              <w:t>（主干道）</w:t>
            </w:r>
          </w:p>
        </w:tc>
        <w:tc>
          <w:tcPr>
            <w:tcW w:w="701" w:type="dxa"/>
            <w:vAlign w:val="top"/>
          </w:tcPr>
          <w:p w14:paraId="38264108">
            <w:pPr>
              <w:spacing w:before="216" w:line="186" w:lineRule="auto"/>
              <w:ind w:left="21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5.5</w:t>
            </w:r>
          </w:p>
        </w:tc>
        <w:tc>
          <w:tcPr>
            <w:tcW w:w="743" w:type="dxa"/>
            <w:gridSpan w:val="2"/>
            <w:vAlign w:val="top"/>
          </w:tcPr>
          <w:p w14:paraId="105EF4D1">
            <w:pPr>
              <w:spacing w:before="213"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15.2</w:t>
            </w:r>
          </w:p>
        </w:tc>
        <w:tc>
          <w:tcPr>
            <w:tcW w:w="733" w:type="dxa"/>
            <w:vAlign w:val="top"/>
          </w:tcPr>
          <w:p w14:paraId="383DA055">
            <w:pPr>
              <w:spacing w:before="216" w:line="186" w:lineRule="auto"/>
              <w:ind w:left="318"/>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754" w:type="dxa"/>
            <w:gridSpan w:val="2"/>
            <w:vAlign w:val="top"/>
          </w:tcPr>
          <w:p w14:paraId="1ECF8BBA">
            <w:pPr>
              <w:spacing w:before="213" w:line="189" w:lineRule="auto"/>
              <w:ind w:left="208"/>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12.7</w:t>
            </w:r>
          </w:p>
        </w:tc>
        <w:tc>
          <w:tcPr>
            <w:tcW w:w="737" w:type="dxa"/>
            <w:vAlign w:val="top"/>
          </w:tcPr>
          <w:p w14:paraId="00915285">
            <w:pPr>
              <w:spacing w:before="216" w:line="186" w:lineRule="auto"/>
              <w:ind w:left="322"/>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733" w:type="dxa"/>
            <w:gridSpan w:val="2"/>
            <w:vAlign w:val="top"/>
          </w:tcPr>
          <w:p w14:paraId="19513727">
            <w:pPr>
              <w:spacing w:before="213" w:line="189" w:lineRule="auto"/>
              <w:ind w:left="200"/>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12.7</w:t>
            </w:r>
          </w:p>
        </w:tc>
        <w:tc>
          <w:tcPr>
            <w:tcW w:w="695" w:type="dxa"/>
            <w:vAlign w:val="top"/>
          </w:tcPr>
          <w:p w14:paraId="694D5CED">
            <w:pPr>
              <w:spacing w:before="216" w:line="186" w:lineRule="auto"/>
              <w:ind w:left="304"/>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696" w:type="dxa"/>
            <w:vAlign w:val="top"/>
          </w:tcPr>
          <w:p w14:paraId="459ED790">
            <w:pPr>
              <w:spacing w:before="213" w:line="189" w:lineRule="auto"/>
              <w:ind w:left="183"/>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12.7</w:t>
            </w:r>
          </w:p>
        </w:tc>
        <w:tc>
          <w:tcPr>
            <w:tcW w:w="115" w:type="dxa"/>
            <w:tcBorders>
              <w:top w:val="nil"/>
              <w:bottom w:val="nil"/>
              <w:right w:val="single" w:color="000000" w:sz="6" w:space="0"/>
            </w:tcBorders>
            <w:vAlign w:val="top"/>
          </w:tcPr>
          <w:p w14:paraId="4A7B1246">
            <w:pPr>
              <w:rPr>
                <w:rFonts w:ascii="Arial"/>
                <w:sz w:val="21"/>
              </w:rPr>
            </w:pPr>
          </w:p>
        </w:tc>
      </w:tr>
      <w:tr w14:paraId="28C66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776" w:type="dxa"/>
            <w:vMerge w:val="continue"/>
            <w:tcBorders>
              <w:top w:val="nil"/>
              <w:left w:val="single" w:color="000000" w:sz="6" w:space="0"/>
              <w:bottom w:val="nil"/>
            </w:tcBorders>
            <w:vAlign w:val="top"/>
          </w:tcPr>
          <w:p w14:paraId="4AC697E8">
            <w:pPr>
              <w:rPr>
                <w:rFonts w:ascii="Arial"/>
                <w:sz w:val="21"/>
              </w:rPr>
            </w:pPr>
          </w:p>
        </w:tc>
        <w:tc>
          <w:tcPr>
            <w:tcW w:w="110" w:type="dxa"/>
            <w:tcBorders>
              <w:top w:val="nil"/>
              <w:bottom w:val="nil"/>
            </w:tcBorders>
            <w:vAlign w:val="top"/>
          </w:tcPr>
          <w:p w14:paraId="5A353607">
            <w:pPr>
              <w:rPr>
                <w:rFonts w:ascii="Arial"/>
                <w:sz w:val="21"/>
              </w:rPr>
            </w:pPr>
          </w:p>
        </w:tc>
        <w:tc>
          <w:tcPr>
            <w:tcW w:w="430" w:type="dxa"/>
            <w:vMerge w:val="restart"/>
            <w:tcBorders>
              <w:bottom w:val="nil"/>
            </w:tcBorders>
            <w:textDirection w:val="tbRlV"/>
            <w:vAlign w:val="top"/>
          </w:tcPr>
          <w:p w14:paraId="430FDCAD">
            <w:pPr>
              <w:pStyle w:val="6"/>
              <w:spacing w:before="107" w:line="209" w:lineRule="auto"/>
              <w:ind w:left="615"/>
              <w:rPr>
                <w:sz w:val="22"/>
                <w:szCs w:val="22"/>
              </w:rPr>
            </w:pPr>
            <w:r>
              <w:rPr>
                <w:spacing w:val="31"/>
                <w:sz w:val="22"/>
                <w:szCs w:val="22"/>
              </w:rPr>
              <w:t>西面</w:t>
            </w:r>
          </w:p>
        </w:tc>
        <w:tc>
          <w:tcPr>
            <w:tcW w:w="1651" w:type="dxa"/>
            <w:gridSpan w:val="2"/>
            <w:vAlign w:val="top"/>
          </w:tcPr>
          <w:p w14:paraId="1B0DF4CF">
            <w:pPr>
              <w:pStyle w:val="6"/>
              <w:spacing w:before="34" w:line="220" w:lineRule="auto"/>
              <w:ind w:left="391" w:right="403" w:firstLine="221"/>
              <w:rPr>
                <w:sz w:val="22"/>
                <w:szCs w:val="22"/>
              </w:rPr>
            </w:pPr>
            <w:r>
              <w:rPr>
                <w:spacing w:val="-7"/>
                <w:sz w:val="22"/>
                <w:szCs w:val="22"/>
              </w:rPr>
              <w:t>公路</w:t>
            </w:r>
            <w:r>
              <w:rPr>
                <w:spacing w:val="-8"/>
                <w:sz w:val="22"/>
                <w:szCs w:val="22"/>
              </w:rPr>
              <w:t>（支路）</w:t>
            </w:r>
          </w:p>
        </w:tc>
        <w:tc>
          <w:tcPr>
            <w:tcW w:w="701" w:type="dxa"/>
            <w:vAlign w:val="top"/>
          </w:tcPr>
          <w:p w14:paraId="4B034FC5">
            <w:pPr>
              <w:spacing w:before="217" w:line="186" w:lineRule="auto"/>
              <w:ind w:left="301"/>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743" w:type="dxa"/>
            <w:gridSpan w:val="2"/>
            <w:vAlign w:val="top"/>
          </w:tcPr>
          <w:p w14:paraId="2460EF82">
            <w:pPr>
              <w:spacing w:before="214"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11.8</w:t>
            </w:r>
          </w:p>
        </w:tc>
        <w:tc>
          <w:tcPr>
            <w:tcW w:w="733" w:type="dxa"/>
            <w:vAlign w:val="top"/>
          </w:tcPr>
          <w:p w14:paraId="28C0ADA4">
            <w:pPr>
              <w:spacing w:before="217" w:line="186" w:lineRule="auto"/>
              <w:ind w:left="318"/>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754" w:type="dxa"/>
            <w:gridSpan w:val="2"/>
            <w:vAlign w:val="top"/>
          </w:tcPr>
          <w:p w14:paraId="1459FD65">
            <w:pPr>
              <w:spacing w:before="214" w:line="189" w:lineRule="auto"/>
              <w:ind w:left="18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20.7</w:t>
            </w:r>
          </w:p>
        </w:tc>
        <w:tc>
          <w:tcPr>
            <w:tcW w:w="737" w:type="dxa"/>
            <w:vAlign w:val="top"/>
          </w:tcPr>
          <w:p w14:paraId="20577536">
            <w:pPr>
              <w:spacing w:before="217" w:line="186" w:lineRule="auto"/>
              <w:ind w:left="322"/>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733" w:type="dxa"/>
            <w:gridSpan w:val="2"/>
            <w:vAlign w:val="top"/>
          </w:tcPr>
          <w:p w14:paraId="2CFFAAF4">
            <w:pPr>
              <w:spacing w:before="214" w:line="189" w:lineRule="auto"/>
              <w:ind w:left="200"/>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14.4</w:t>
            </w:r>
          </w:p>
        </w:tc>
        <w:tc>
          <w:tcPr>
            <w:tcW w:w="695" w:type="dxa"/>
            <w:vAlign w:val="top"/>
          </w:tcPr>
          <w:p w14:paraId="790B7D20">
            <w:pPr>
              <w:spacing w:before="217" w:line="186" w:lineRule="auto"/>
              <w:ind w:left="304"/>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696" w:type="dxa"/>
            <w:vAlign w:val="top"/>
          </w:tcPr>
          <w:p w14:paraId="7C20CFC0">
            <w:pPr>
              <w:spacing w:before="214" w:line="189" w:lineRule="auto"/>
              <w:ind w:left="16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25.4</w:t>
            </w:r>
          </w:p>
        </w:tc>
        <w:tc>
          <w:tcPr>
            <w:tcW w:w="115" w:type="dxa"/>
            <w:tcBorders>
              <w:top w:val="nil"/>
              <w:bottom w:val="nil"/>
              <w:right w:val="single" w:color="000000" w:sz="6" w:space="0"/>
            </w:tcBorders>
            <w:vAlign w:val="top"/>
          </w:tcPr>
          <w:p w14:paraId="067C41FE">
            <w:pPr>
              <w:rPr>
                <w:rFonts w:ascii="Arial"/>
                <w:sz w:val="21"/>
              </w:rPr>
            </w:pPr>
          </w:p>
        </w:tc>
      </w:tr>
      <w:tr w14:paraId="266F0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76" w:type="dxa"/>
            <w:vMerge w:val="continue"/>
            <w:tcBorders>
              <w:top w:val="nil"/>
              <w:left w:val="single" w:color="000000" w:sz="6" w:space="0"/>
              <w:bottom w:val="nil"/>
            </w:tcBorders>
            <w:vAlign w:val="top"/>
          </w:tcPr>
          <w:p w14:paraId="04834B6C">
            <w:pPr>
              <w:rPr>
                <w:rFonts w:ascii="Arial"/>
                <w:sz w:val="21"/>
              </w:rPr>
            </w:pPr>
          </w:p>
        </w:tc>
        <w:tc>
          <w:tcPr>
            <w:tcW w:w="110" w:type="dxa"/>
            <w:tcBorders>
              <w:top w:val="nil"/>
              <w:bottom w:val="nil"/>
            </w:tcBorders>
            <w:vAlign w:val="top"/>
          </w:tcPr>
          <w:p w14:paraId="140B860F">
            <w:pPr>
              <w:rPr>
                <w:rFonts w:ascii="Arial"/>
                <w:sz w:val="21"/>
              </w:rPr>
            </w:pPr>
          </w:p>
        </w:tc>
        <w:tc>
          <w:tcPr>
            <w:tcW w:w="430" w:type="dxa"/>
            <w:vMerge w:val="continue"/>
            <w:tcBorders>
              <w:top w:val="nil"/>
              <w:bottom w:val="nil"/>
            </w:tcBorders>
            <w:textDirection w:val="tbRlV"/>
            <w:vAlign w:val="top"/>
          </w:tcPr>
          <w:p w14:paraId="079B08D4">
            <w:pPr>
              <w:rPr>
                <w:rFonts w:ascii="Arial"/>
                <w:sz w:val="21"/>
              </w:rPr>
            </w:pPr>
          </w:p>
        </w:tc>
        <w:tc>
          <w:tcPr>
            <w:tcW w:w="1651" w:type="dxa"/>
            <w:gridSpan w:val="2"/>
            <w:vAlign w:val="top"/>
          </w:tcPr>
          <w:p w14:paraId="67CF9CF9">
            <w:pPr>
              <w:pStyle w:val="6"/>
              <w:spacing w:before="41" w:line="221" w:lineRule="auto"/>
              <w:ind w:left="627"/>
              <w:rPr>
                <w:sz w:val="22"/>
                <w:szCs w:val="22"/>
              </w:rPr>
            </w:pPr>
            <w:r>
              <w:rPr>
                <w:spacing w:val="-15"/>
                <w:sz w:val="22"/>
                <w:szCs w:val="22"/>
              </w:rPr>
              <w:t>民房</w:t>
            </w:r>
          </w:p>
          <w:p w14:paraId="39D803FE">
            <w:pPr>
              <w:pStyle w:val="6"/>
              <w:spacing w:before="22" w:line="198" w:lineRule="auto"/>
              <w:ind w:right="7"/>
              <w:jc w:val="right"/>
              <w:rPr>
                <w:sz w:val="22"/>
                <w:szCs w:val="22"/>
              </w:rPr>
            </w:pPr>
            <w:r>
              <w:rPr>
                <w:spacing w:val="-3"/>
                <w:sz w:val="22"/>
                <w:szCs w:val="22"/>
              </w:rPr>
              <w:t>（三类保护物）</w:t>
            </w:r>
          </w:p>
        </w:tc>
        <w:tc>
          <w:tcPr>
            <w:tcW w:w="701" w:type="dxa"/>
            <w:vAlign w:val="top"/>
          </w:tcPr>
          <w:p w14:paraId="556B7014">
            <w:pPr>
              <w:spacing w:before="224" w:line="186" w:lineRule="auto"/>
              <w:ind w:left="298"/>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743" w:type="dxa"/>
            <w:gridSpan w:val="2"/>
            <w:vAlign w:val="top"/>
          </w:tcPr>
          <w:p w14:paraId="65D21A84">
            <w:pPr>
              <w:spacing w:before="221" w:line="189" w:lineRule="auto"/>
              <w:ind w:left="17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21.2</w:t>
            </w:r>
          </w:p>
        </w:tc>
        <w:tc>
          <w:tcPr>
            <w:tcW w:w="733" w:type="dxa"/>
            <w:vAlign w:val="top"/>
          </w:tcPr>
          <w:p w14:paraId="30F59E0F">
            <w:pPr>
              <w:spacing w:before="224" w:line="186" w:lineRule="auto"/>
              <w:ind w:left="316"/>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754" w:type="dxa"/>
            <w:gridSpan w:val="2"/>
            <w:vAlign w:val="top"/>
          </w:tcPr>
          <w:p w14:paraId="172D7F57">
            <w:pPr>
              <w:spacing w:before="221" w:line="189" w:lineRule="auto"/>
              <w:ind w:left="18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29.8</w:t>
            </w:r>
          </w:p>
        </w:tc>
        <w:tc>
          <w:tcPr>
            <w:tcW w:w="737" w:type="dxa"/>
            <w:vAlign w:val="top"/>
          </w:tcPr>
          <w:p w14:paraId="5E536A2C">
            <w:pPr>
              <w:spacing w:before="224" w:line="186" w:lineRule="auto"/>
              <w:ind w:left="319"/>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733" w:type="dxa"/>
            <w:gridSpan w:val="2"/>
            <w:vAlign w:val="top"/>
          </w:tcPr>
          <w:p w14:paraId="561837AA">
            <w:pPr>
              <w:spacing w:before="221" w:line="189" w:lineRule="auto"/>
              <w:ind w:left="17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21.4</w:t>
            </w:r>
          </w:p>
        </w:tc>
        <w:tc>
          <w:tcPr>
            <w:tcW w:w="695" w:type="dxa"/>
            <w:vAlign w:val="top"/>
          </w:tcPr>
          <w:p w14:paraId="6D489BAB">
            <w:pPr>
              <w:spacing w:before="224" w:line="186" w:lineRule="auto"/>
              <w:ind w:left="301"/>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696" w:type="dxa"/>
            <w:vAlign w:val="top"/>
          </w:tcPr>
          <w:p w14:paraId="510E5C99">
            <w:pPr>
              <w:spacing w:before="221" w:line="189" w:lineRule="auto"/>
              <w:ind w:left="16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31.1</w:t>
            </w:r>
          </w:p>
        </w:tc>
        <w:tc>
          <w:tcPr>
            <w:tcW w:w="115" w:type="dxa"/>
            <w:tcBorders>
              <w:top w:val="nil"/>
              <w:bottom w:val="nil"/>
              <w:right w:val="single" w:color="000000" w:sz="6" w:space="0"/>
            </w:tcBorders>
            <w:vAlign w:val="top"/>
          </w:tcPr>
          <w:p w14:paraId="31846722">
            <w:pPr>
              <w:rPr>
                <w:rFonts w:ascii="Arial"/>
                <w:sz w:val="21"/>
              </w:rPr>
            </w:pPr>
          </w:p>
        </w:tc>
      </w:tr>
      <w:tr w14:paraId="0C4DE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776" w:type="dxa"/>
            <w:vMerge w:val="continue"/>
            <w:tcBorders>
              <w:top w:val="nil"/>
              <w:left w:val="single" w:color="000000" w:sz="6" w:space="0"/>
              <w:bottom w:val="nil"/>
            </w:tcBorders>
            <w:vAlign w:val="top"/>
          </w:tcPr>
          <w:p w14:paraId="73A277B9">
            <w:pPr>
              <w:rPr>
                <w:rFonts w:ascii="Arial"/>
                <w:sz w:val="21"/>
              </w:rPr>
            </w:pPr>
          </w:p>
        </w:tc>
        <w:tc>
          <w:tcPr>
            <w:tcW w:w="110" w:type="dxa"/>
            <w:tcBorders>
              <w:top w:val="nil"/>
              <w:bottom w:val="nil"/>
            </w:tcBorders>
            <w:vAlign w:val="top"/>
          </w:tcPr>
          <w:p w14:paraId="317FD859">
            <w:pPr>
              <w:rPr>
                <w:rFonts w:ascii="Arial"/>
                <w:sz w:val="21"/>
              </w:rPr>
            </w:pPr>
          </w:p>
        </w:tc>
        <w:tc>
          <w:tcPr>
            <w:tcW w:w="430" w:type="dxa"/>
            <w:vMerge w:val="continue"/>
            <w:tcBorders>
              <w:top w:val="nil"/>
            </w:tcBorders>
            <w:textDirection w:val="tbRlV"/>
            <w:vAlign w:val="top"/>
          </w:tcPr>
          <w:p w14:paraId="407BCFCB">
            <w:pPr>
              <w:rPr>
                <w:rFonts w:ascii="Arial"/>
                <w:sz w:val="21"/>
              </w:rPr>
            </w:pPr>
          </w:p>
        </w:tc>
        <w:tc>
          <w:tcPr>
            <w:tcW w:w="1651" w:type="dxa"/>
            <w:gridSpan w:val="2"/>
            <w:vAlign w:val="top"/>
          </w:tcPr>
          <w:p w14:paraId="16F3FFCD">
            <w:pPr>
              <w:pStyle w:val="6"/>
              <w:spacing w:before="45" w:line="221" w:lineRule="auto"/>
              <w:ind w:left="173" w:right="182" w:firstLine="102"/>
              <w:rPr>
                <w:sz w:val="22"/>
                <w:szCs w:val="22"/>
              </w:rPr>
            </w:pPr>
            <w:r>
              <w:rPr>
                <w:spacing w:val="-2"/>
                <w:sz w:val="22"/>
                <w:szCs w:val="22"/>
              </w:rPr>
              <w:t>架空电力线</w:t>
            </w:r>
            <w:r>
              <w:rPr>
                <w:spacing w:val="-5"/>
                <w:sz w:val="22"/>
                <w:szCs w:val="22"/>
              </w:rPr>
              <w:t>（无绝缘层）</w:t>
            </w:r>
          </w:p>
        </w:tc>
        <w:tc>
          <w:tcPr>
            <w:tcW w:w="701" w:type="dxa"/>
            <w:vAlign w:val="top"/>
          </w:tcPr>
          <w:p w14:paraId="735826EB">
            <w:pPr>
              <w:spacing w:before="224" w:line="189" w:lineRule="auto"/>
              <w:ind w:left="21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6.5</w:t>
            </w:r>
          </w:p>
        </w:tc>
        <w:tc>
          <w:tcPr>
            <w:tcW w:w="743" w:type="dxa"/>
            <w:gridSpan w:val="2"/>
            <w:vAlign w:val="top"/>
          </w:tcPr>
          <w:p w14:paraId="7F070BA9">
            <w:pPr>
              <w:spacing w:before="224"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16.3</w:t>
            </w:r>
          </w:p>
        </w:tc>
        <w:tc>
          <w:tcPr>
            <w:tcW w:w="733" w:type="dxa"/>
            <w:vAlign w:val="top"/>
          </w:tcPr>
          <w:p w14:paraId="0E68B099">
            <w:pPr>
              <w:spacing w:before="224" w:line="189" w:lineRule="auto"/>
              <w:ind w:left="23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6.5</w:t>
            </w:r>
          </w:p>
        </w:tc>
        <w:tc>
          <w:tcPr>
            <w:tcW w:w="754" w:type="dxa"/>
            <w:gridSpan w:val="2"/>
            <w:vAlign w:val="top"/>
          </w:tcPr>
          <w:p w14:paraId="19C8F40C">
            <w:pPr>
              <w:spacing w:before="224"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34.1</w:t>
            </w:r>
          </w:p>
        </w:tc>
        <w:tc>
          <w:tcPr>
            <w:tcW w:w="737" w:type="dxa"/>
            <w:vAlign w:val="top"/>
          </w:tcPr>
          <w:p w14:paraId="543A8A50">
            <w:pPr>
              <w:spacing w:before="224" w:line="189" w:lineRule="auto"/>
              <w:ind w:left="23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6.5</w:t>
            </w:r>
          </w:p>
        </w:tc>
        <w:tc>
          <w:tcPr>
            <w:tcW w:w="733" w:type="dxa"/>
            <w:gridSpan w:val="2"/>
            <w:vAlign w:val="top"/>
          </w:tcPr>
          <w:p w14:paraId="54703FB2">
            <w:pPr>
              <w:spacing w:before="224" w:line="189" w:lineRule="auto"/>
              <w:ind w:left="17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26.1</w:t>
            </w:r>
          </w:p>
        </w:tc>
        <w:tc>
          <w:tcPr>
            <w:tcW w:w="695" w:type="dxa"/>
            <w:vAlign w:val="top"/>
          </w:tcPr>
          <w:p w14:paraId="50056BC0">
            <w:pPr>
              <w:spacing w:before="224" w:line="189" w:lineRule="auto"/>
              <w:ind w:left="21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6.5</w:t>
            </w:r>
          </w:p>
        </w:tc>
        <w:tc>
          <w:tcPr>
            <w:tcW w:w="696" w:type="dxa"/>
            <w:vAlign w:val="top"/>
          </w:tcPr>
          <w:p w14:paraId="0BD87535">
            <w:pPr>
              <w:spacing w:before="224" w:line="189" w:lineRule="auto"/>
              <w:ind w:left="16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35.3</w:t>
            </w:r>
          </w:p>
        </w:tc>
        <w:tc>
          <w:tcPr>
            <w:tcW w:w="115" w:type="dxa"/>
            <w:tcBorders>
              <w:top w:val="nil"/>
              <w:bottom w:val="nil"/>
              <w:right w:val="single" w:color="000000" w:sz="6" w:space="0"/>
            </w:tcBorders>
            <w:vAlign w:val="top"/>
          </w:tcPr>
          <w:p w14:paraId="774BFEDF">
            <w:pPr>
              <w:rPr>
                <w:rFonts w:ascii="Arial"/>
                <w:sz w:val="21"/>
              </w:rPr>
            </w:pPr>
          </w:p>
        </w:tc>
      </w:tr>
      <w:tr w14:paraId="1BDF5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76" w:type="dxa"/>
            <w:vMerge w:val="continue"/>
            <w:tcBorders>
              <w:top w:val="nil"/>
              <w:left w:val="single" w:color="000000" w:sz="6" w:space="0"/>
              <w:bottom w:val="nil"/>
            </w:tcBorders>
            <w:vAlign w:val="top"/>
          </w:tcPr>
          <w:p w14:paraId="1F22E0E7">
            <w:pPr>
              <w:rPr>
                <w:rFonts w:ascii="Arial"/>
                <w:sz w:val="21"/>
              </w:rPr>
            </w:pPr>
          </w:p>
        </w:tc>
        <w:tc>
          <w:tcPr>
            <w:tcW w:w="110" w:type="dxa"/>
            <w:tcBorders>
              <w:top w:val="nil"/>
              <w:bottom w:val="nil"/>
            </w:tcBorders>
            <w:vAlign w:val="top"/>
          </w:tcPr>
          <w:p w14:paraId="76E249F3">
            <w:pPr>
              <w:rPr>
                <w:rFonts w:ascii="Arial"/>
                <w:sz w:val="21"/>
              </w:rPr>
            </w:pPr>
          </w:p>
        </w:tc>
        <w:tc>
          <w:tcPr>
            <w:tcW w:w="430" w:type="dxa"/>
            <w:vMerge w:val="restart"/>
            <w:tcBorders>
              <w:bottom w:val="nil"/>
            </w:tcBorders>
            <w:textDirection w:val="tbRlV"/>
            <w:vAlign w:val="top"/>
          </w:tcPr>
          <w:p w14:paraId="30A8B723">
            <w:pPr>
              <w:pStyle w:val="6"/>
              <w:spacing w:before="107" w:line="209" w:lineRule="auto"/>
              <w:ind w:left="328"/>
              <w:rPr>
                <w:sz w:val="22"/>
                <w:szCs w:val="22"/>
              </w:rPr>
            </w:pPr>
            <w:r>
              <w:rPr>
                <w:spacing w:val="31"/>
                <w:sz w:val="22"/>
                <w:szCs w:val="22"/>
              </w:rPr>
              <w:t>南面</w:t>
            </w:r>
          </w:p>
        </w:tc>
        <w:tc>
          <w:tcPr>
            <w:tcW w:w="1651" w:type="dxa"/>
            <w:gridSpan w:val="2"/>
            <w:vAlign w:val="top"/>
          </w:tcPr>
          <w:p w14:paraId="1A938E05">
            <w:pPr>
              <w:pStyle w:val="6"/>
              <w:spacing w:before="38" w:line="221" w:lineRule="auto"/>
              <w:ind w:left="627"/>
              <w:rPr>
                <w:sz w:val="22"/>
                <w:szCs w:val="22"/>
              </w:rPr>
            </w:pPr>
            <w:r>
              <w:rPr>
                <w:spacing w:val="-15"/>
                <w:sz w:val="22"/>
                <w:szCs w:val="22"/>
              </w:rPr>
              <w:t>民房</w:t>
            </w:r>
          </w:p>
          <w:p w14:paraId="05CA1BE9">
            <w:pPr>
              <w:pStyle w:val="6"/>
              <w:spacing w:before="21" w:line="201" w:lineRule="auto"/>
              <w:ind w:right="7"/>
              <w:jc w:val="right"/>
              <w:rPr>
                <w:sz w:val="22"/>
                <w:szCs w:val="22"/>
              </w:rPr>
            </w:pPr>
            <w:r>
              <w:rPr>
                <w:spacing w:val="-3"/>
                <w:sz w:val="22"/>
                <w:szCs w:val="22"/>
              </w:rPr>
              <w:t>（三类保护物）</w:t>
            </w:r>
          </w:p>
        </w:tc>
        <w:tc>
          <w:tcPr>
            <w:tcW w:w="701" w:type="dxa"/>
            <w:vAlign w:val="top"/>
          </w:tcPr>
          <w:p w14:paraId="326FA311">
            <w:pPr>
              <w:spacing w:before="221" w:line="186" w:lineRule="auto"/>
              <w:ind w:left="298"/>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743" w:type="dxa"/>
            <w:gridSpan w:val="2"/>
            <w:vAlign w:val="top"/>
          </w:tcPr>
          <w:p w14:paraId="5433298D">
            <w:pPr>
              <w:spacing w:before="218"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19.3</w:t>
            </w:r>
          </w:p>
        </w:tc>
        <w:tc>
          <w:tcPr>
            <w:tcW w:w="733" w:type="dxa"/>
            <w:vAlign w:val="top"/>
          </w:tcPr>
          <w:p w14:paraId="5741E5EE">
            <w:pPr>
              <w:spacing w:before="221" w:line="186" w:lineRule="auto"/>
              <w:ind w:left="316"/>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754" w:type="dxa"/>
            <w:gridSpan w:val="2"/>
            <w:vAlign w:val="top"/>
          </w:tcPr>
          <w:p w14:paraId="64D5D2F4">
            <w:pPr>
              <w:spacing w:before="218"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33.5</w:t>
            </w:r>
          </w:p>
        </w:tc>
        <w:tc>
          <w:tcPr>
            <w:tcW w:w="737" w:type="dxa"/>
            <w:vAlign w:val="top"/>
          </w:tcPr>
          <w:p w14:paraId="12783CFD">
            <w:pPr>
              <w:spacing w:before="221" w:line="186" w:lineRule="auto"/>
              <w:ind w:left="319"/>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733" w:type="dxa"/>
            <w:gridSpan w:val="2"/>
            <w:vAlign w:val="top"/>
          </w:tcPr>
          <w:p w14:paraId="3A200BB7">
            <w:pPr>
              <w:spacing w:before="218" w:line="189" w:lineRule="auto"/>
              <w:ind w:left="17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25.4</w:t>
            </w:r>
          </w:p>
        </w:tc>
        <w:tc>
          <w:tcPr>
            <w:tcW w:w="695" w:type="dxa"/>
            <w:vAlign w:val="top"/>
          </w:tcPr>
          <w:p w14:paraId="2E0DD6CE">
            <w:pPr>
              <w:spacing w:before="221" w:line="186" w:lineRule="auto"/>
              <w:ind w:left="301"/>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696" w:type="dxa"/>
            <w:vAlign w:val="top"/>
          </w:tcPr>
          <w:p w14:paraId="66B4159C">
            <w:pPr>
              <w:spacing w:before="218" w:line="189" w:lineRule="auto"/>
              <w:ind w:left="16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33.5</w:t>
            </w:r>
          </w:p>
        </w:tc>
        <w:tc>
          <w:tcPr>
            <w:tcW w:w="115" w:type="dxa"/>
            <w:tcBorders>
              <w:top w:val="nil"/>
              <w:bottom w:val="nil"/>
              <w:right w:val="single" w:color="000000" w:sz="6" w:space="0"/>
            </w:tcBorders>
            <w:vAlign w:val="top"/>
          </w:tcPr>
          <w:p w14:paraId="5C3D4588">
            <w:pPr>
              <w:rPr>
                <w:rFonts w:ascii="Arial"/>
                <w:sz w:val="21"/>
              </w:rPr>
            </w:pPr>
          </w:p>
        </w:tc>
      </w:tr>
      <w:tr w14:paraId="751F9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76" w:type="dxa"/>
            <w:vMerge w:val="continue"/>
            <w:tcBorders>
              <w:top w:val="nil"/>
              <w:left w:val="single" w:color="000000" w:sz="6" w:space="0"/>
              <w:bottom w:val="nil"/>
            </w:tcBorders>
            <w:vAlign w:val="top"/>
          </w:tcPr>
          <w:p w14:paraId="3181C713">
            <w:pPr>
              <w:rPr>
                <w:rFonts w:ascii="Arial"/>
                <w:sz w:val="21"/>
              </w:rPr>
            </w:pPr>
          </w:p>
        </w:tc>
        <w:tc>
          <w:tcPr>
            <w:tcW w:w="110" w:type="dxa"/>
            <w:tcBorders>
              <w:top w:val="nil"/>
              <w:bottom w:val="nil"/>
            </w:tcBorders>
            <w:vAlign w:val="top"/>
          </w:tcPr>
          <w:p w14:paraId="0EA45277">
            <w:pPr>
              <w:rPr>
                <w:rFonts w:ascii="Arial"/>
                <w:sz w:val="21"/>
              </w:rPr>
            </w:pPr>
          </w:p>
        </w:tc>
        <w:tc>
          <w:tcPr>
            <w:tcW w:w="430" w:type="dxa"/>
            <w:vMerge w:val="continue"/>
            <w:tcBorders>
              <w:top w:val="nil"/>
            </w:tcBorders>
            <w:textDirection w:val="tbRlV"/>
            <w:vAlign w:val="top"/>
          </w:tcPr>
          <w:p w14:paraId="0E6EB8AB">
            <w:pPr>
              <w:rPr>
                <w:rFonts w:ascii="Arial"/>
                <w:sz w:val="21"/>
              </w:rPr>
            </w:pPr>
          </w:p>
        </w:tc>
        <w:tc>
          <w:tcPr>
            <w:tcW w:w="1651" w:type="dxa"/>
            <w:gridSpan w:val="2"/>
            <w:vAlign w:val="top"/>
          </w:tcPr>
          <w:p w14:paraId="41B816F1">
            <w:pPr>
              <w:pStyle w:val="6"/>
              <w:spacing w:before="41" w:line="220" w:lineRule="auto"/>
              <w:ind w:left="173" w:right="182" w:firstLine="102"/>
              <w:rPr>
                <w:sz w:val="22"/>
                <w:szCs w:val="22"/>
              </w:rPr>
            </w:pPr>
            <w:r>
              <w:rPr>
                <w:spacing w:val="-2"/>
                <w:sz w:val="22"/>
                <w:szCs w:val="22"/>
              </w:rPr>
              <w:t>架空电力线</w:t>
            </w:r>
            <w:r>
              <w:rPr>
                <w:spacing w:val="-5"/>
                <w:sz w:val="22"/>
                <w:szCs w:val="22"/>
              </w:rPr>
              <w:t>（无绝缘层）</w:t>
            </w:r>
          </w:p>
        </w:tc>
        <w:tc>
          <w:tcPr>
            <w:tcW w:w="701" w:type="dxa"/>
            <w:vAlign w:val="top"/>
          </w:tcPr>
          <w:p w14:paraId="6720223C">
            <w:pPr>
              <w:spacing w:before="220" w:line="189" w:lineRule="auto"/>
              <w:ind w:left="21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6.5</w:t>
            </w:r>
          </w:p>
        </w:tc>
        <w:tc>
          <w:tcPr>
            <w:tcW w:w="743" w:type="dxa"/>
            <w:gridSpan w:val="2"/>
            <w:vAlign w:val="top"/>
          </w:tcPr>
          <w:p w14:paraId="0960B7DB">
            <w:pPr>
              <w:spacing w:before="220"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12.3</w:t>
            </w:r>
          </w:p>
        </w:tc>
        <w:tc>
          <w:tcPr>
            <w:tcW w:w="733" w:type="dxa"/>
            <w:vAlign w:val="top"/>
          </w:tcPr>
          <w:p w14:paraId="1F1CC4F0">
            <w:pPr>
              <w:spacing w:before="220" w:line="189" w:lineRule="auto"/>
              <w:ind w:left="23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6.5</w:t>
            </w:r>
          </w:p>
        </w:tc>
        <w:tc>
          <w:tcPr>
            <w:tcW w:w="754" w:type="dxa"/>
            <w:gridSpan w:val="2"/>
            <w:vAlign w:val="top"/>
          </w:tcPr>
          <w:p w14:paraId="5442FAC8">
            <w:pPr>
              <w:spacing w:before="220" w:line="189" w:lineRule="auto"/>
              <w:ind w:left="18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26.5</w:t>
            </w:r>
          </w:p>
        </w:tc>
        <w:tc>
          <w:tcPr>
            <w:tcW w:w="737" w:type="dxa"/>
            <w:vAlign w:val="top"/>
          </w:tcPr>
          <w:p w14:paraId="11209FB7">
            <w:pPr>
              <w:spacing w:before="220" w:line="189" w:lineRule="auto"/>
              <w:ind w:left="23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6.5</w:t>
            </w:r>
          </w:p>
        </w:tc>
        <w:tc>
          <w:tcPr>
            <w:tcW w:w="733" w:type="dxa"/>
            <w:gridSpan w:val="2"/>
            <w:vAlign w:val="top"/>
          </w:tcPr>
          <w:p w14:paraId="5C757894">
            <w:pPr>
              <w:spacing w:before="220" w:line="189" w:lineRule="auto"/>
              <w:ind w:left="200"/>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18.4</w:t>
            </w:r>
          </w:p>
        </w:tc>
        <w:tc>
          <w:tcPr>
            <w:tcW w:w="695" w:type="dxa"/>
            <w:vAlign w:val="top"/>
          </w:tcPr>
          <w:p w14:paraId="34B6863C">
            <w:pPr>
              <w:spacing w:before="220" w:line="189" w:lineRule="auto"/>
              <w:ind w:left="21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6.5</w:t>
            </w:r>
          </w:p>
        </w:tc>
        <w:tc>
          <w:tcPr>
            <w:tcW w:w="696" w:type="dxa"/>
            <w:vAlign w:val="top"/>
          </w:tcPr>
          <w:p w14:paraId="34CB5C28">
            <w:pPr>
              <w:spacing w:before="220" w:line="189" w:lineRule="auto"/>
              <w:ind w:left="16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26.5</w:t>
            </w:r>
          </w:p>
        </w:tc>
        <w:tc>
          <w:tcPr>
            <w:tcW w:w="115" w:type="dxa"/>
            <w:tcBorders>
              <w:top w:val="nil"/>
              <w:bottom w:val="nil"/>
              <w:right w:val="single" w:color="000000" w:sz="6" w:space="0"/>
            </w:tcBorders>
            <w:vAlign w:val="top"/>
          </w:tcPr>
          <w:p w14:paraId="332293C0">
            <w:pPr>
              <w:rPr>
                <w:rFonts w:ascii="Arial"/>
                <w:sz w:val="21"/>
              </w:rPr>
            </w:pPr>
          </w:p>
        </w:tc>
      </w:tr>
      <w:tr w14:paraId="345C7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76" w:type="dxa"/>
            <w:vMerge w:val="continue"/>
            <w:tcBorders>
              <w:top w:val="nil"/>
              <w:left w:val="single" w:color="000000" w:sz="6" w:space="0"/>
              <w:bottom w:val="nil"/>
            </w:tcBorders>
            <w:vAlign w:val="top"/>
          </w:tcPr>
          <w:p w14:paraId="70FED796">
            <w:pPr>
              <w:rPr>
                <w:rFonts w:ascii="Arial"/>
                <w:sz w:val="21"/>
              </w:rPr>
            </w:pPr>
          </w:p>
        </w:tc>
        <w:tc>
          <w:tcPr>
            <w:tcW w:w="110" w:type="dxa"/>
            <w:tcBorders>
              <w:top w:val="nil"/>
              <w:bottom w:val="nil"/>
            </w:tcBorders>
            <w:vAlign w:val="top"/>
          </w:tcPr>
          <w:p w14:paraId="1F7735A6">
            <w:pPr>
              <w:rPr>
                <w:rFonts w:ascii="Arial"/>
                <w:sz w:val="21"/>
              </w:rPr>
            </w:pPr>
          </w:p>
        </w:tc>
        <w:tc>
          <w:tcPr>
            <w:tcW w:w="430" w:type="dxa"/>
            <w:textDirection w:val="tbRlV"/>
            <w:vAlign w:val="top"/>
          </w:tcPr>
          <w:p w14:paraId="23C0795B">
            <w:pPr>
              <w:pStyle w:val="6"/>
              <w:spacing w:before="107" w:line="208" w:lineRule="auto"/>
              <w:ind w:left="40"/>
              <w:rPr>
                <w:sz w:val="22"/>
                <w:szCs w:val="22"/>
              </w:rPr>
            </w:pPr>
            <w:r>
              <w:rPr>
                <w:spacing w:val="33"/>
                <w:sz w:val="22"/>
                <w:szCs w:val="22"/>
              </w:rPr>
              <w:t>东面</w:t>
            </w:r>
          </w:p>
        </w:tc>
        <w:tc>
          <w:tcPr>
            <w:tcW w:w="1651" w:type="dxa"/>
            <w:gridSpan w:val="2"/>
            <w:vAlign w:val="top"/>
          </w:tcPr>
          <w:p w14:paraId="07C4972A">
            <w:pPr>
              <w:pStyle w:val="6"/>
              <w:spacing w:before="40" w:line="220" w:lineRule="auto"/>
              <w:ind w:left="173" w:right="182" w:firstLine="102"/>
              <w:rPr>
                <w:sz w:val="22"/>
                <w:szCs w:val="22"/>
              </w:rPr>
            </w:pPr>
            <w:r>
              <w:rPr>
                <w:spacing w:val="-2"/>
                <w:sz w:val="22"/>
                <w:szCs w:val="22"/>
              </w:rPr>
              <w:t>架空电力线</w:t>
            </w:r>
            <w:r>
              <w:rPr>
                <w:spacing w:val="-5"/>
                <w:sz w:val="22"/>
                <w:szCs w:val="22"/>
              </w:rPr>
              <w:t>（无绝缘层）</w:t>
            </w:r>
          </w:p>
        </w:tc>
        <w:tc>
          <w:tcPr>
            <w:tcW w:w="701" w:type="dxa"/>
            <w:vAlign w:val="top"/>
          </w:tcPr>
          <w:p w14:paraId="63F68BDA">
            <w:pPr>
              <w:spacing w:before="220" w:line="189" w:lineRule="auto"/>
              <w:ind w:left="21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6.5</w:t>
            </w:r>
          </w:p>
        </w:tc>
        <w:tc>
          <w:tcPr>
            <w:tcW w:w="743" w:type="dxa"/>
            <w:gridSpan w:val="2"/>
            <w:vAlign w:val="top"/>
          </w:tcPr>
          <w:p w14:paraId="2D665FA6">
            <w:pPr>
              <w:spacing w:before="220" w:line="189" w:lineRule="auto"/>
              <w:ind w:left="17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23.4</w:t>
            </w:r>
          </w:p>
        </w:tc>
        <w:tc>
          <w:tcPr>
            <w:tcW w:w="733" w:type="dxa"/>
            <w:vAlign w:val="top"/>
          </w:tcPr>
          <w:p w14:paraId="18A8BDBA">
            <w:pPr>
              <w:spacing w:before="220" w:line="189" w:lineRule="auto"/>
              <w:ind w:left="23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6.5</w:t>
            </w:r>
          </w:p>
        </w:tc>
        <w:tc>
          <w:tcPr>
            <w:tcW w:w="754" w:type="dxa"/>
            <w:gridSpan w:val="2"/>
            <w:vAlign w:val="top"/>
          </w:tcPr>
          <w:p w14:paraId="5116DFAD">
            <w:pPr>
              <w:spacing w:before="220" w:line="189" w:lineRule="auto"/>
              <w:ind w:left="18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20.4</w:t>
            </w:r>
          </w:p>
        </w:tc>
        <w:tc>
          <w:tcPr>
            <w:tcW w:w="737" w:type="dxa"/>
            <w:vAlign w:val="top"/>
          </w:tcPr>
          <w:p w14:paraId="489DE004">
            <w:pPr>
              <w:spacing w:before="220" w:line="189" w:lineRule="auto"/>
              <w:ind w:left="23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6.5</w:t>
            </w:r>
          </w:p>
        </w:tc>
        <w:tc>
          <w:tcPr>
            <w:tcW w:w="733" w:type="dxa"/>
            <w:gridSpan w:val="2"/>
            <w:vAlign w:val="top"/>
          </w:tcPr>
          <w:p w14:paraId="3ACEC22F">
            <w:pPr>
              <w:spacing w:before="220" w:line="189" w:lineRule="auto"/>
              <w:ind w:left="17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20.7</w:t>
            </w:r>
          </w:p>
        </w:tc>
        <w:tc>
          <w:tcPr>
            <w:tcW w:w="695" w:type="dxa"/>
            <w:vAlign w:val="top"/>
          </w:tcPr>
          <w:p w14:paraId="2092F61E">
            <w:pPr>
              <w:spacing w:before="220" w:line="189" w:lineRule="auto"/>
              <w:ind w:left="21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6.5</w:t>
            </w:r>
          </w:p>
        </w:tc>
        <w:tc>
          <w:tcPr>
            <w:tcW w:w="696" w:type="dxa"/>
            <w:vAlign w:val="top"/>
          </w:tcPr>
          <w:p w14:paraId="646CC753">
            <w:pPr>
              <w:spacing w:before="220" w:line="189" w:lineRule="auto"/>
              <w:ind w:left="183"/>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19.3</w:t>
            </w:r>
          </w:p>
        </w:tc>
        <w:tc>
          <w:tcPr>
            <w:tcW w:w="115" w:type="dxa"/>
            <w:tcBorders>
              <w:top w:val="nil"/>
              <w:bottom w:val="nil"/>
              <w:right w:val="single" w:color="000000" w:sz="6" w:space="0"/>
            </w:tcBorders>
            <w:vAlign w:val="top"/>
          </w:tcPr>
          <w:p w14:paraId="1412A406">
            <w:pPr>
              <w:rPr>
                <w:rFonts w:ascii="Arial"/>
                <w:sz w:val="21"/>
              </w:rPr>
            </w:pPr>
          </w:p>
        </w:tc>
      </w:tr>
      <w:tr w14:paraId="2B238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776" w:type="dxa"/>
            <w:vMerge w:val="continue"/>
            <w:tcBorders>
              <w:top w:val="nil"/>
              <w:left w:val="single" w:color="000000" w:sz="6" w:space="0"/>
              <w:bottom w:val="nil"/>
            </w:tcBorders>
            <w:vAlign w:val="top"/>
          </w:tcPr>
          <w:p w14:paraId="31BBE5BE">
            <w:pPr>
              <w:rPr>
                <w:rFonts w:ascii="Arial"/>
                <w:sz w:val="21"/>
              </w:rPr>
            </w:pPr>
          </w:p>
        </w:tc>
        <w:tc>
          <w:tcPr>
            <w:tcW w:w="8098" w:type="dxa"/>
            <w:gridSpan w:val="16"/>
            <w:tcBorders>
              <w:right w:val="single" w:color="000000" w:sz="6" w:space="0"/>
            </w:tcBorders>
            <w:vAlign w:val="top"/>
          </w:tcPr>
          <w:p w14:paraId="6B43D8C4">
            <w:pPr>
              <w:spacing w:line="264" w:lineRule="auto"/>
              <w:rPr>
                <w:rFonts w:ascii="Arial"/>
                <w:sz w:val="21"/>
              </w:rPr>
            </w:pPr>
          </w:p>
          <w:p w14:paraId="377B0EC8">
            <w:pPr>
              <w:spacing w:line="264" w:lineRule="auto"/>
              <w:rPr>
                <w:rFonts w:ascii="Arial"/>
                <w:sz w:val="21"/>
              </w:rPr>
            </w:pPr>
          </w:p>
          <w:p w14:paraId="7800932D">
            <w:pPr>
              <w:pStyle w:val="6"/>
              <w:spacing w:before="82" w:line="222" w:lineRule="auto"/>
              <w:ind w:left="1273"/>
            </w:pPr>
            <w:r>
              <w:rPr>
                <w:spacing w:val="7"/>
              </w:rPr>
              <w:t>表</w:t>
            </w:r>
            <w:r>
              <w:rPr>
                <w:rFonts w:ascii="Times New Roman" w:hAnsi="Times New Roman" w:eastAsia="Times New Roman" w:cs="Times New Roman"/>
                <w:spacing w:val="7"/>
              </w:rPr>
              <w:t xml:space="preserve">1.11-2    </w:t>
            </w:r>
            <w:r>
              <w:rPr>
                <w:spacing w:val="7"/>
              </w:rPr>
              <w:t>加油站站内设施安全间距一览表</w:t>
            </w:r>
            <w:r>
              <w:rPr>
                <w:spacing w:val="6"/>
              </w:rPr>
              <w:t>（</w:t>
            </w:r>
            <w:r>
              <w:rPr>
                <w:rFonts w:ascii="Times New Roman" w:hAnsi="Times New Roman" w:eastAsia="Times New Roman" w:cs="Times New Roman"/>
                <w:spacing w:val="6"/>
              </w:rPr>
              <w:t>m</w:t>
            </w:r>
            <w:r>
              <w:rPr>
                <w:spacing w:val="6"/>
              </w:rPr>
              <w:t>）</w:t>
            </w:r>
          </w:p>
        </w:tc>
      </w:tr>
      <w:tr w14:paraId="75143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76" w:type="dxa"/>
            <w:vMerge w:val="continue"/>
            <w:tcBorders>
              <w:top w:val="nil"/>
              <w:left w:val="single" w:color="000000" w:sz="6" w:space="0"/>
              <w:bottom w:val="nil"/>
            </w:tcBorders>
            <w:vAlign w:val="top"/>
          </w:tcPr>
          <w:p w14:paraId="4AD03B42">
            <w:pPr>
              <w:rPr>
                <w:rFonts w:ascii="Arial"/>
                <w:sz w:val="21"/>
              </w:rPr>
            </w:pPr>
          </w:p>
        </w:tc>
        <w:tc>
          <w:tcPr>
            <w:tcW w:w="110" w:type="dxa"/>
            <w:tcBorders>
              <w:top w:val="nil"/>
              <w:bottom w:val="nil"/>
            </w:tcBorders>
            <w:vAlign w:val="top"/>
          </w:tcPr>
          <w:p w14:paraId="6E0B46B4">
            <w:pPr>
              <w:rPr>
                <w:rFonts w:ascii="Arial"/>
                <w:sz w:val="21"/>
              </w:rPr>
            </w:pPr>
          </w:p>
        </w:tc>
        <w:tc>
          <w:tcPr>
            <w:tcW w:w="1929" w:type="dxa"/>
            <w:gridSpan w:val="2"/>
            <w:vAlign w:val="top"/>
          </w:tcPr>
          <w:p w14:paraId="2B09D389">
            <w:pPr>
              <w:pStyle w:val="6"/>
              <w:spacing w:before="81" w:line="222" w:lineRule="auto"/>
              <w:ind w:left="533"/>
              <w:rPr>
                <w:sz w:val="22"/>
                <w:szCs w:val="22"/>
              </w:rPr>
            </w:pPr>
            <w:r>
              <w:rPr>
                <w:spacing w:val="-3"/>
                <w:sz w:val="22"/>
                <w:szCs w:val="22"/>
              </w:rPr>
              <w:t>设施名称</w:t>
            </w:r>
          </w:p>
        </w:tc>
        <w:tc>
          <w:tcPr>
            <w:tcW w:w="1193" w:type="dxa"/>
            <w:gridSpan w:val="3"/>
            <w:vAlign w:val="top"/>
          </w:tcPr>
          <w:p w14:paraId="0F56F0E7">
            <w:pPr>
              <w:pStyle w:val="6"/>
              <w:spacing w:before="82" w:line="220" w:lineRule="auto"/>
              <w:ind w:left="273"/>
              <w:rPr>
                <w:sz w:val="22"/>
                <w:szCs w:val="22"/>
              </w:rPr>
            </w:pPr>
            <w:r>
              <w:rPr>
                <w:spacing w:val="-3"/>
                <w:sz w:val="22"/>
                <w:szCs w:val="22"/>
              </w:rPr>
              <w:t>汽油罐</w:t>
            </w:r>
          </w:p>
        </w:tc>
        <w:tc>
          <w:tcPr>
            <w:tcW w:w="1844" w:type="dxa"/>
            <w:gridSpan w:val="3"/>
            <w:vAlign w:val="top"/>
          </w:tcPr>
          <w:p w14:paraId="07333BFD">
            <w:pPr>
              <w:pStyle w:val="6"/>
              <w:spacing w:before="82" w:line="220" w:lineRule="auto"/>
              <w:ind w:left="163"/>
              <w:rPr>
                <w:sz w:val="22"/>
                <w:szCs w:val="22"/>
              </w:rPr>
            </w:pPr>
            <w:r>
              <w:rPr>
                <w:spacing w:val="-2"/>
                <w:sz w:val="22"/>
                <w:szCs w:val="22"/>
              </w:rPr>
              <w:t>汽油通气管管口</w:t>
            </w:r>
          </w:p>
        </w:tc>
        <w:tc>
          <w:tcPr>
            <w:tcW w:w="1361" w:type="dxa"/>
            <w:gridSpan w:val="3"/>
            <w:vAlign w:val="top"/>
          </w:tcPr>
          <w:p w14:paraId="7C25BA06">
            <w:pPr>
              <w:pStyle w:val="6"/>
              <w:spacing w:before="82" w:line="219" w:lineRule="auto"/>
              <w:ind w:left="143"/>
              <w:rPr>
                <w:sz w:val="22"/>
                <w:szCs w:val="22"/>
              </w:rPr>
            </w:pPr>
            <w:r>
              <w:rPr>
                <w:spacing w:val="-2"/>
                <w:sz w:val="22"/>
                <w:szCs w:val="22"/>
              </w:rPr>
              <w:t>汽油加油机</w:t>
            </w:r>
          </w:p>
        </w:tc>
        <w:tc>
          <w:tcPr>
            <w:tcW w:w="1546" w:type="dxa"/>
            <w:gridSpan w:val="3"/>
            <w:vAlign w:val="top"/>
          </w:tcPr>
          <w:p w14:paraId="1B782BC2">
            <w:pPr>
              <w:pStyle w:val="6"/>
              <w:spacing w:before="82" w:line="220" w:lineRule="auto"/>
              <w:ind w:left="242"/>
              <w:rPr>
                <w:sz w:val="22"/>
                <w:szCs w:val="22"/>
              </w:rPr>
            </w:pPr>
            <w:r>
              <w:rPr>
                <w:spacing w:val="-3"/>
                <w:sz w:val="22"/>
                <w:szCs w:val="22"/>
              </w:rPr>
              <w:t>油品卸车点</w:t>
            </w:r>
          </w:p>
        </w:tc>
        <w:tc>
          <w:tcPr>
            <w:tcW w:w="115" w:type="dxa"/>
            <w:tcBorders>
              <w:top w:val="nil"/>
              <w:bottom w:val="nil"/>
              <w:right w:val="single" w:color="000000" w:sz="6" w:space="0"/>
            </w:tcBorders>
            <w:vAlign w:val="top"/>
          </w:tcPr>
          <w:p w14:paraId="3D35F1DA">
            <w:pPr>
              <w:rPr>
                <w:rFonts w:ascii="Arial"/>
                <w:sz w:val="21"/>
              </w:rPr>
            </w:pPr>
          </w:p>
        </w:tc>
      </w:tr>
      <w:tr w14:paraId="37C9B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76" w:type="dxa"/>
            <w:vMerge w:val="continue"/>
            <w:tcBorders>
              <w:top w:val="nil"/>
              <w:left w:val="single" w:color="000000" w:sz="6" w:space="0"/>
              <w:bottom w:val="nil"/>
            </w:tcBorders>
            <w:vAlign w:val="top"/>
          </w:tcPr>
          <w:p w14:paraId="29DC4A96">
            <w:pPr>
              <w:rPr>
                <w:rFonts w:ascii="Arial"/>
                <w:sz w:val="21"/>
              </w:rPr>
            </w:pPr>
          </w:p>
        </w:tc>
        <w:tc>
          <w:tcPr>
            <w:tcW w:w="110" w:type="dxa"/>
            <w:tcBorders>
              <w:top w:val="nil"/>
              <w:bottom w:val="nil"/>
            </w:tcBorders>
            <w:vAlign w:val="top"/>
          </w:tcPr>
          <w:p w14:paraId="258F36FD">
            <w:pPr>
              <w:rPr>
                <w:rFonts w:ascii="Arial"/>
                <w:sz w:val="21"/>
              </w:rPr>
            </w:pPr>
          </w:p>
        </w:tc>
        <w:tc>
          <w:tcPr>
            <w:tcW w:w="1929" w:type="dxa"/>
            <w:gridSpan w:val="2"/>
            <w:vAlign w:val="top"/>
          </w:tcPr>
          <w:p w14:paraId="4F773D9C">
            <w:pPr>
              <w:pStyle w:val="6"/>
              <w:spacing w:before="82" w:line="220" w:lineRule="auto"/>
              <w:ind w:left="640"/>
              <w:rPr>
                <w:sz w:val="22"/>
                <w:szCs w:val="22"/>
              </w:rPr>
            </w:pPr>
            <w:r>
              <w:rPr>
                <w:spacing w:val="-3"/>
                <w:sz w:val="22"/>
                <w:szCs w:val="22"/>
              </w:rPr>
              <w:t>汽油罐</w:t>
            </w:r>
          </w:p>
        </w:tc>
        <w:tc>
          <w:tcPr>
            <w:tcW w:w="1193" w:type="dxa"/>
            <w:gridSpan w:val="3"/>
            <w:vAlign w:val="top"/>
          </w:tcPr>
          <w:p w14:paraId="32747E79">
            <w:pPr>
              <w:spacing w:before="116" w:line="193" w:lineRule="auto"/>
              <w:ind w:left="29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0.5/1.3</w:t>
            </w:r>
          </w:p>
        </w:tc>
        <w:tc>
          <w:tcPr>
            <w:tcW w:w="1844" w:type="dxa"/>
            <w:gridSpan w:val="3"/>
            <w:vAlign w:val="top"/>
          </w:tcPr>
          <w:p w14:paraId="486CE8D7">
            <w:pPr>
              <w:pStyle w:val="6"/>
              <w:spacing w:before="186" w:line="149" w:lineRule="exact"/>
              <w:ind w:left="821"/>
              <w:rPr>
                <w:sz w:val="22"/>
                <w:szCs w:val="22"/>
              </w:rPr>
            </w:pPr>
            <w:r>
              <w:rPr>
                <w:position w:val="-4"/>
                <w:sz w:val="22"/>
                <w:szCs w:val="22"/>
              </w:rPr>
              <w:t>—</w:t>
            </w:r>
          </w:p>
        </w:tc>
        <w:tc>
          <w:tcPr>
            <w:tcW w:w="1361" w:type="dxa"/>
            <w:gridSpan w:val="3"/>
            <w:vAlign w:val="top"/>
          </w:tcPr>
          <w:p w14:paraId="3BE7FA93">
            <w:pPr>
              <w:pStyle w:val="6"/>
              <w:spacing w:before="186" w:line="149" w:lineRule="exact"/>
              <w:ind w:left="580"/>
              <w:rPr>
                <w:sz w:val="22"/>
                <w:szCs w:val="22"/>
              </w:rPr>
            </w:pPr>
            <w:r>
              <w:rPr>
                <w:position w:val="-4"/>
                <w:sz w:val="22"/>
                <w:szCs w:val="22"/>
              </w:rPr>
              <w:t>—</w:t>
            </w:r>
          </w:p>
        </w:tc>
        <w:tc>
          <w:tcPr>
            <w:tcW w:w="1546" w:type="dxa"/>
            <w:gridSpan w:val="3"/>
            <w:vAlign w:val="top"/>
          </w:tcPr>
          <w:p w14:paraId="00CAC63F">
            <w:pPr>
              <w:pStyle w:val="6"/>
              <w:spacing w:before="186" w:line="149" w:lineRule="exact"/>
              <w:ind w:left="676"/>
              <w:rPr>
                <w:sz w:val="22"/>
                <w:szCs w:val="22"/>
              </w:rPr>
            </w:pPr>
            <w:r>
              <w:rPr>
                <w:position w:val="-4"/>
                <w:sz w:val="22"/>
                <w:szCs w:val="22"/>
              </w:rPr>
              <w:t>—</w:t>
            </w:r>
          </w:p>
        </w:tc>
        <w:tc>
          <w:tcPr>
            <w:tcW w:w="115" w:type="dxa"/>
            <w:tcBorders>
              <w:top w:val="nil"/>
              <w:bottom w:val="nil"/>
              <w:right w:val="single" w:color="000000" w:sz="6" w:space="0"/>
            </w:tcBorders>
            <w:vAlign w:val="top"/>
          </w:tcPr>
          <w:p w14:paraId="2F763610">
            <w:pPr>
              <w:rPr>
                <w:rFonts w:ascii="Arial"/>
                <w:sz w:val="21"/>
              </w:rPr>
            </w:pPr>
          </w:p>
        </w:tc>
      </w:tr>
      <w:tr w14:paraId="19AC9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76" w:type="dxa"/>
            <w:vMerge w:val="continue"/>
            <w:tcBorders>
              <w:top w:val="nil"/>
              <w:left w:val="single" w:color="000000" w:sz="6" w:space="0"/>
              <w:bottom w:val="nil"/>
            </w:tcBorders>
            <w:vAlign w:val="top"/>
          </w:tcPr>
          <w:p w14:paraId="7DC907E2">
            <w:pPr>
              <w:rPr>
                <w:rFonts w:ascii="Arial"/>
                <w:sz w:val="21"/>
              </w:rPr>
            </w:pPr>
          </w:p>
        </w:tc>
        <w:tc>
          <w:tcPr>
            <w:tcW w:w="110" w:type="dxa"/>
            <w:tcBorders>
              <w:top w:val="nil"/>
              <w:bottom w:val="nil"/>
            </w:tcBorders>
            <w:vAlign w:val="top"/>
          </w:tcPr>
          <w:p w14:paraId="10D05BA3">
            <w:pPr>
              <w:rPr>
                <w:rFonts w:ascii="Arial"/>
                <w:sz w:val="21"/>
              </w:rPr>
            </w:pPr>
          </w:p>
        </w:tc>
        <w:tc>
          <w:tcPr>
            <w:tcW w:w="1929" w:type="dxa"/>
            <w:gridSpan w:val="2"/>
            <w:vAlign w:val="top"/>
          </w:tcPr>
          <w:p w14:paraId="14DF2993">
            <w:pPr>
              <w:pStyle w:val="6"/>
              <w:spacing w:before="82" w:line="220" w:lineRule="auto"/>
              <w:ind w:left="198"/>
              <w:rPr>
                <w:sz w:val="22"/>
                <w:szCs w:val="22"/>
              </w:rPr>
            </w:pPr>
            <w:r>
              <w:rPr>
                <w:spacing w:val="-2"/>
                <w:sz w:val="22"/>
                <w:szCs w:val="22"/>
              </w:rPr>
              <w:t>汽油通气管管口</w:t>
            </w:r>
          </w:p>
        </w:tc>
        <w:tc>
          <w:tcPr>
            <w:tcW w:w="1193" w:type="dxa"/>
            <w:gridSpan w:val="3"/>
            <w:vAlign w:val="top"/>
          </w:tcPr>
          <w:p w14:paraId="7C0F7D2E">
            <w:pPr>
              <w:pStyle w:val="6"/>
              <w:spacing w:before="186" w:line="150" w:lineRule="exact"/>
              <w:ind w:left="492"/>
              <w:rPr>
                <w:sz w:val="22"/>
                <w:szCs w:val="22"/>
              </w:rPr>
            </w:pPr>
            <w:r>
              <w:rPr>
                <w:position w:val="-4"/>
                <w:sz w:val="22"/>
                <w:szCs w:val="22"/>
              </w:rPr>
              <w:t>—</w:t>
            </w:r>
          </w:p>
        </w:tc>
        <w:tc>
          <w:tcPr>
            <w:tcW w:w="1844" w:type="dxa"/>
            <w:gridSpan w:val="3"/>
            <w:vAlign w:val="top"/>
          </w:tcPr>
          <w:p w14:paraId="21E1E5DA">
            <w:pPr>
              <w:pStyle w:val="6"/>
              <w:spacing w:before="186" w:line="150" w:lineRule="exact"/>
              <w:ind w:left="821"/>
              <w:rPr>
                <w:sz w:val="22"/>
                <w:szCs w:val="22"/>
              </w:rPr>
            </w:pPr>
            <w:r>
              <w:rPr>
                <w:position w:val="-4"/>
                <w:sz w:val="22"/>
                <w:szCs w:val="22"/>
              </w:rPr>
              <w:t>—</w:t>
            </w:r>
          </w:p>
        </w:tc>
        <w:tc>
          <w:tcPr>
            <w:tcW w:w="1361" w:type="dxa"/>
            <w:gridSpan w:val="3"/>
            <w:vAlign w:val="top"/>
          </w:tcPr>
          <w:p w14:paraId="52BB9186">
            <w:pPr>
              <w:pStyle w:val="6"/>
              <w:spacing w:before="186" w:line="150" w:lineRule="exact"/>
              <w:ind w:left="580"/>
              <w:rPr>
                <w:sz w:val="22"/>
                <w:szCs w:val="22"/>
              </w:rPr>
            </w:pPr>
            <w:r>
              <w:rPr>
                <w:position w:val="-4"/>
                <w:sz w:val="22"/>
                <w:szCs w:val="22"/>
              </w:rPr>
              <w:t>—</w:t>
            </w:r>
          </w:p>
        </w:tc>
        <w:tc>
          <w:tcPr>
            <w:tcW w:w="1546" w:type="dxa"/>
            <w:gridSpan w:val="3"/>
            <w:vAlign w:val="top"/>
          </w:tcPr>
          <w:p w14:paraId="2FB9A46B">
            <w:pPr>
              <w:spacing w:before="116" w:line="193" w:lineRule="auto"/>
              <w:ind w:left="51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3/14.4</w:t>
            </w:r>
          </w:p>
        </w:tc>
        <w:tc>
          <w:tcPr>
            <w:tcW w:w="115" w:type="dxa"/>
            <w:tcBorders>
              <w:top w:val="nil"/>
              <w:bottom w:val="nil"/>
              <w:right w:val="single" w:color="000000" w:sz="6" w:space="0"/>
            </w:tcBorders>
            <w:vAlign w:val="top"/>
          </w:tcPr>
          <w:p w14:paraId="70764238">
            <w:pPr>
              <w:rPr>
                <w:rFonts w:ascii="Arial"/>
                <w:sz w:val="21"/>
              </w:rPr>
            </w:pPr>
          </w:p>
        </w:tc>
      </w:tr>
      <w:tr w14:paraId="0E279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76" w:type="dxa"/>
            <w:vMerge w:val="continue"/>
            <w:tcBorders>
              <w:top w:val="nil"/>
              <w:left w:val="single" w:color="000000" w:sz="6" w:space="0"/>
              <w:bottom w:val="nil"/>
            </w:tcBorders>
            <w:vAlign w:val="top"/>
          </w:tcPr>
          <w:p w14:paraId="717245AB">
            <w:pPr>
              <w:rPr>
                <w:rFonts w:ascii="Arial"/>
                <w:sz w:val="21"/>
              </w:rPr>
            </w:pPr>
          </w:p>
        </w:tc>
        <w:tc>
          <w:tcPr>
            <w:tcW w:w="110" w:type="dxa"/>
            <w:tcBorders>
              <w:top w:val="nil"/>
              <w:bottom w:val="nil"/>
            </w:tcBorders>
            <w:vAlign w:val="top"/>
          </w:tcPr>
          <w:p w14:paraId="6605F312">
            <w:pPr>
              <w:rPr>
                <w:rFonts w:ascii="Arial"/>
                <w:sz w:val="21"/>
              </w:rPr>
            </w:pPr>
          </w:p>
        </w:tc>
        <w:tc>
          <w:tcPr>
            <w:tcW w:w="1929" w:type="dxa"/>
            <w:gridSpan w:val="2"/>
            <w:vAlign w:val="top"/>
          </w:tcPr>
          <w:p w14:paraId="77FD7A92">
            <w:pPr>
              <w:pStyle w:val="6"/>
              <w:spacing w:before="83" w:line="220" w:lineRule="auto"/>
              <w:ind w:left="422"/>
              <w:rPr>
                <w:sz w:val="22"/>
                <w:szCs w:val="22"/>
              </w:rPr>
            </w:pPr>
            <w:r>
              <w:rPr>
                <w:spacing w:val="-3"/>
                <w:sz w:val="22"/>
                <w:szCs w:val="22"/>
              </w:rPr>
              <w:t>油品卸车点</w:t>
            </w:r>
          </w:p>
        </w:tc>
        <w:tc>
          <w:tcPr>
            <w:tcW w:w="1193" w:type="dxa"/>
            <w:gridSpan w:val="3"/>
            <w:vAlign w:val="top"/>
          </w:tcPr>
          <w:p w14:paraId="5A8B4155">
            <w:pPr>
              <w:pStyle w:val="6"/>
              <w:spacing w:before="187" w:line="149" w:lineRule="exact"/>
              <w:ind w:left="492"/>
              <w:rPr>
                <w:sz w:val="22"/>
                <w:szCs w:val="22"/>
              </w:rPr>
            </w:pPr>
            <w:r>
              <w:rPr>
                <w:position w:val="-4"/>
                <w:sz w:val="22"/>
                <w:szCs w:val="22"/>
              </w:rPr>
              <w:t>—</w:t>
            </w:r>
          </w:p>
        </w:tc>
        <w:tc>
          <w:tcPr>
            <w:tcW w:w="1844" w:type="dxa"/>
            <w:gridSpan w:val="3"/>
            <w:vAlign w:val="top"/>
          </w:tcPr>
          <w:p w14:paraId="2FD533EA">
            <w:pPr>
              <w:spacing w:before="116" w:line="193" w:lineRule="auto"/>
              <w:ind w:left="65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3/14.4</w:t>
            </w:r>
          </w:p>
        </w:tc>
        <w:tc>
          <w:tcPr>
            <w:tcW w:w="1361" w:type="dxa"/>
            <w:gridSpan w:val="3"/>
            <w:vAlign w:val="top"/>
          </w:tcPr>
          <w:p w14:paraId="22B966B1">
            <w:pPr>
              <w:pStyle w:val="6"/>
              <w:spacing w:before="187" w:line="149" w:lineRule="exact"/>
              <w:ind w:left="580"/>
              <w:rPr>
                <w:sz w:val="22"/>
                <w:szCs w:val="22"/>
              </w:rPr>
            </w:pPr>
            <w:r>
              <w:rPr>
                <w:position w:val="-4"/>
                <w:sz w:val="22"/>
                <w:szCs w:val="22"/>
              </w:rPr>
              <w:t>—</w:t>
            </w:r>
          </w:p>
        </w:tc>
        <w:tc>
          <w:tcPr>
            <w:tcW w:w="1546" w:type="dxa"/>
            <w:gridSpan w:val="3"/>
            <w:vAlign w:val="top"/>
          </w:tcPr>
          <w:p w14:paraId="51F1EBA3">
            <w:pPr>
              <w:pStyle w:val="6"/>
              <w:spacing w:before="187" w:line="149" w:lineRule="exact"/>
              <w:ind w:left="676"/>
              <w:rPr>
                <w:sz w:val="22"/>
                <w:szCs w:val="22"/>
              </w:rPr>
            </w:pPr>
            <w:r>
              <w:rPr>
                <w:position w:val="-4"/>
                <w:sz w:val="22"/>
                <w:szCs w:val="22"/>
              </w:rPr>
              <w:t>—</w:t>
            </w:r>
          </w:p>
        </w:tc>
        <w:tc>
          <w:tcPr>
            <w:tcW w:w="115" w:type="dxa"/>
            <w:tcBorders>
              <w:top w:val="nil"/>
              <w:bottom w:val="nil"/>
              <w:right w:val="single" w:color="000000" w:sz="6" w:space="0"/>
            </w:tcBorders>
            <w:vAlign w:val="top"/>
          </w:tcPr>
          <w:p w14:paraId="48A9368E">
            <w:pPr>
              <w:rPr>
                <w:rFonts w:ascii="Arial"/>
                <w:sz w:val="21"/>
              </w:rPr>
            </w:pPr>
          </w:p>
        </w:tc>
      </w:tr>
      <w:tr w14:paraId="4EF6B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6" w:type="dxa"/>
            <w:vMerge w:val="continue"/>
            <w:tcBorders>
              <w:top w:val="nil"/>
              <w:left w:val="single" w:color="000000" w:sz="6" w:space="0"/>
              <w:bottom w:val="nil"/>
            </w:tcBorders>
            <w:vAlign w:val="top"/>
          </w:tcPr>
          <w:p w14:paraId="45280E0C">
            <w:pPr>
              <w:rPr>
                <w:rFonts w:ascii="Arial"/>
                <w:sz w:val="21"/>
              </w:rPr>
            </w:pPr>
          </w:p>
        </w:tc>
        <w:tc>
          <w:tcPr>
            <w:tcW w:w="110" w:type="dxa"/>
            <w:tcBorders>
              <w:top w:val="nil"/>
              <w:bottom w:val="nil"/>
            </w:tcBorders>
            <w:vAlign w:val="top"/>
          </w:tcPr>
          <w:p w14:paraId="3EB1BCE1">
            <w:pPr>
              <w:rPr>
                <w:rFonts w:ascii="Arial"/>
                <w:sz w:val="21"/>
              </w:rPr>
            </w:pPr>
          </w:p>
        </w:tc>
        <w:tc>
          <w:tcPr>
            <w:tcW w:w="1929" w:type="dxa"/>
            <w:gridSpan w:val="2"/>
            <w:vAlign w:val="top"/>
          </w:tcPr>
          <w:p w14:paraId="19CA0BAD">
            <w:pPr>
              <w:pStyle w:val="6"/>
              <w:spacing w:before="83" w:line="221" w:lineRule="auto"/>
              <w:ind w:left="641"/>
              <w:rPr>
                <w:sz w:val="22"/>
                <w:szCs w:val="22"/>
              </w:rPr>
            </w:pPr>
            <w:r>
              <w:rPr>
                <w:sz w:val="22"/>
                <w:szCs w:val="22"/>
              </w:rPr>
              <w:t>站房一</w:t>
            </w:r>
          </w:p>
        </w:tc>
        <w:tc>
          <w:tcPr>
            <w:tcW w:w="1193" w:type="dxa"/>
            <w:gridSpan w:val="3"/>
            <w:vAlign w:val="top"/>
          </w:tcPr>
          <w:p w14:paraId="5BD34892">
            <w:pPr>
              <w:spacing w:before="117" w:line="193" w:lineRule="auto"/>
              <w:ind w:left="37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4/4.5</w:t>
            </w:r>
          </w:p>
        </w:tc>
        <w:tc>
          <w:tcPr>
            <w:tcW w:w="1844" w:type="dxa"/>
            <w:gridSpan w:val="3"/>
            <w:vAlign w:val="top"/>
          </w:tcPr>
          <w:p w14:paraId="5F2FD475">
            <w:pPr>
              <w:spacing w:before="117" w:line="193" w:lineRule="auto"/>
              <w:ind w:left="64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4/17.1</w:t>
            </w:r>
          </w:p>
        </w:tc>
        <w:tc>
          <w:tcPr>
            <w:tcW w:w="1361" w:type="dxa"/>
            <w:gridSpan w:val="3"/>
            <w:vAlign w:val="top"/>
          </w:tcPr>
          <w:p w14:paraId="3D13B46C">
            <w:pPr>
              <w:spacing w:before="117" w:line="193" w:lineRule="auto"/>
              <w:ind w:left="41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5/10.1</w:t>
            </w:r>
          </w:p>
        </w:tc>
        <w:tc>
          <w:tcPr>
            <w:tcW w:w="1546" w:type="dxa"/>
            <w:gridSpan w:val="3"/>
            <w:vAlign w:val="top"/>
          </w:tcPr>
          <w:p w14:paraId="4C082D77">
            <w:pPr>
              <w:spacing w:before="117" w:line="193" w:lineRule="auto"/>
              <w:ind w:left="51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5/10.7</w:t>
            </w:r>
          </w:p>
        </w:tc>
        <w:tc>
          <w:tcPr>
            <w:tcW w:w="115" w:type="dxa"/>
            <w:tcBorders>
              <w:top w:val="nil"/>
              <w:bottom w:val="nil"/>
              <w:right w:val="single" w:color="000000" w:sz="6" w:space="0"/>
            </w:tcBorders>
            <w:vAlign w:val="top"/>
          </w:tcPr>
          <w:p w14:paraId="3BDADAD0">
            <w:pPr>
              <w:rPr>
                <w:rFonts w:ascii="Arial"/>
                <w:sz w:val="21"/>
              </w:rPr>
            </w:pPr>
          </w:p>
        </w:tc>
      </w:tr>
      <w:tr w14:paraId="3F448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76" w:type="dxa"/>
            <w:vMerge w:val="continue"/>
            <w:tcBorders>
              <w:top w:val="nil"/>
              <w:left w:val="single" w:color="000000" w:sz="6" w:space="0"/>
              <w:bottom w:val="nil"/>
            </w:tcBorders>
            <w:vAlign w:val="top"/>
          </w:tcPr>
          <w:p w14:paraId="5CAEB75C">
            <w:pPr>
              <w:rPr>
                <w:rFonts w:ascii="Arial"/>
                <w:sz w:val="21"/>
              </w:rPr>
            </w:pPr>
          </w:p>
        </w:tc>
        <w:tc>
          <w:tcPr>
            <w:tcW w:w="110" w:type="dxa"/>
            <w:tcBorders>
              <w:top w:val="nil"/>
              <w:bottom w:val="nil"/>
            </w:tcBorders>
            <w:vAlign w:val="top"/>
          </w:tcPr>
          <w:p w14:paraId="32B88514">
            <w:pPr>
              <w:rPr>
                <w:rFonts w:ascii="Arial"/>
                <w:sz w:val="21"/>
              </w:rPr>
            </w:pPr>
          </w:p>
        </w:tc>
        <w:tc>
          <w:tcPr>
            <w:tcW w:w="1929" w:type="dxa"/>
            <w:gridSpan w:val="2"/>
            <w:vAlign w:val="top"/>
          </w:tcPr>
          <w:p w14:paraId="65CE4B50">
            <w:pPr>
              <w:pStyle w:val="6"/>
              <w:spacing w:before="84" w:line="221" w:lineRule="auto"/>
              <w:ind w:left="768"/>
              <w:rPr>
                <w:sz w:val="22"/>
                <w:szCs w:val="22"/>
              </w:rPr>
            </w:pPr>
            <w:r>
              <w:rPr>
                <w:spacing w:val="-14"/>
                <w:sz w:val="22"/>
                <w:szCs w:val="22"/>
              </w:rPr>
              <w:t>围墙</w:t>
            </w:r>
          </w:p>
        </w:tc>
        <w:tc>
          <w:tcPr>
            <w:tcW w:w="1193" w:type="dxa"/>
            <w:gridSpan w:val="3"/>
            <w:vAlign w:val="top"/>
          </w:tcPr>
          <w:p w14:paraId="53960AB9">
            <w:pPr>
              <w:spacing w:before="118" w:line="193" w:lineRule="auto"/>
              <w:ind w:left="32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2/11.8</w:t>
            </w:r>
          </w:p>
        </w:tc>
        <w:tc>
          <w:tcPr>
            <w:tcW w:w="1844" w:type="dxa"/>
            <w:gridSpan w:val="3"/>
            <w:vAlign w:val="top"/>
          </w:tcPr>
          <w:p w14:paraId="4839DB6F">
            <w:pPr>
              <w:spacing w:before="118" w:line="193" w:lineRule="auto"/>
              <w:ind w:left="65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2/20.7</w:t>
            </w:r>
          </w:p>
        </w:tc>
        <w:tc>
          <w:tcPr>
            <w:tcW w:w="1361" w:type="dxa"/>
            <w:gridSpan w:val="3"/>
            <w:vAlign w:val="top"/>
          </w:tcPr>
          <w:p w14:paraId="03B024D3">
            <w:pPr>
              <w:pStyle w:val="6"/>
              <w:spacing w:before="188" w:line="149" w:lineRule="exact"/>
              <w:ind w:left="580"/>
              <w:rPr>
                <w:sz w:val="22"/>
                <w:szCs w:val="22"/>
              </w:rPr>
            </w:pPr>
            <w:r>
              <w:rPr>
                <w:position w:val="-4"/>
                <w:sz w:val="22"/>
                <w:szCs w:val="22"/>
              </w:rPr>
              <w:t>—</w:t>
            </w:r>
          </w:p>
        </w:tc>
        <w:tc>
          <w:tcPr>
            <w:tcW w:w="1546" w:type="dxa"/>
            <w:gridSpan w:val="3"/>
            <w:vAlign w:val="top"/>
          </w:tcPr>
          <w:p w14:paraId="513F8F32">
            <w:pPr>
              <w:pStyle w:val="6"/>
              <w:spacing w:before="188" w:line="149" w:lineRule="exact"/>
              <w:ind w:left="676"/>
              <w:rPr>
                <w:sz w:val="22"/>
                <w:szCs w:val="22"/>
              </w:rPr>
            </w:pPr>
            <w:r>
              <w:rPr>
                <w:position w:val="-4"/>
                <w:sz w:val="22"/>
                <w:szCs w:val="22"/>
              </w:rPr>
              <w:t>—</w:t>
            </w:r>
          </w:p>
        </w:tc>
        <w:tc>
          <w:tcPr>
            <w:tcW w:w="115" w:type="dxa"/>
            <w:tcBorders>
              <w:top w:val="nil"/>
              <w:bottom w:val="nil"/>
              <w:right w:val="single" w:color="000000" w:sz="6" w:space="0"/>
            </w:tcBorders>
            <w:vAlign w:val="top"/>
          </w:tcPr>
          <w:p w14:paraId="2E471661">
            <w:pPr>
              <w:rPr>
                <w:rFonts w:ascii="Arial"/>
                <w:sz w:val="21"/>
              </w:rPr>
            </w:pPr>
          </w:p>
        </w:tc>
      </w:tr>
      <w:tr w14:paraId="04892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76" w:type="dxa"/>
            <w:vMerge w:val="continue"/>
            <w:tcBorders>
              <w:top w:val="nil"/>
              <w:left w:val="single" w:color="000000" w:sz="6" w:space="0"/>
              <w:bottom w:val="nil"/>
            </w:tcBorders>
            <w:vAlign w:val="top"/>
          </w:tcPr>
          <w:p w14:paraId="1AD7B73E">
            <w:pPr>
              <w:rPr>
                <w:rFonts w:ascii="Arial"/>
                <w:sz w:val="21"/>
              </w:rPr>
            </w:pPr>
          </w:p>
        </w:tc>
        <w:tc>
          <w:tcPr>
            <w:tcW w:w="110" w:type="dxa"/>
            <w:tcBorders>
              <w:top w:val="nil"/>
              <w:bottom w:val="nil"/>
            </w:tcBorders>
            <w:vAlign w:val="top"/>
          </w:tcPr>
          <w:p w14:paraId="45E3E458">
            <w:pPr>
              <w:rPr>
                <w:rFonts w:ascii="Arial"/>
                <w:sz w:val="21"/>
              </w:rPr>
            </w:pPr>
          </w:p>
        </w:tc>
        <w:tc>
          <w:tcPr>
            <w:tcW w:w="1929" w:type="dxa"/>
            <w:gridSpan w:val="2"/>
            <w:vAlign w:val="top"/>
          </w:tcPr>
          <w:p w14:paraId="5A8CD702">
            <w:pPr>
              <w:pStyle w:val="6"/>
              <w:spacing w:before="84" w:line="221" w:lineRule="auto"/>
              <w:ind w:left="641"/>
              <w:rPr>
                <w:sz w:val="22"/>
                <w:szCs w:val="22"/>
              </w:rPr>
            </w:pPr>
            <w:r>
              <w:rPr>
                <w:spacing w:val="-3"/>
                <w:sz w:val="22"/>
                <w:szCs w:val="22"/>
              </w:rPr>
              <w:t>站房二</w:t>
            </w:r>
          </w:p>
        </w:tc>
        <w:tc>
          <w:tcPr>
            <w:tcW w:w="1193" w:type="dxa"/>
            <w:gridSpan w:val="3"/>
            <w:vAlign w:val="top"/>
          </w:tcPr>
          <w:p w14:paraId="4CCD9C79">
            <w:pPr>
              <w:spacing w:before="118" w:line="193" w:lineRule="auto"/>
              <w:ind w:left="37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4/8.5</w:t>
            </w:r>
          </w:p>
        </w:tc>
        <w:tc>
          <w:tcPr>
            <w:tcW w:w="1844" w:type="dxa"/>
            <w:gridSpan w:val="3"/>
            <w:vAlign w:val="top"/>
          </w:tcPr>
          <w:p w14:paraId="03105840">
            <w:pPr>
              <w:spacing w:before="118" w:line="193" w:lineRule="auto"/>
              <w:ind w:left="64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4/20.9</w:t>
            </w:r>
          </w:p>
        </w:tc>
        <w:tc>
          <w:tcPr>
            <w:tcW w:w="1361" w:type="dxa"/>
            <w:gridSpan w:val="3"/>
            <w:vAlign w:val="top"/>
          </w:tcPr>
          <w:p w14:paraId="35A2ABE2">
            <w:pPr>
              <w:spacing w:before="118" w:line="193" w:lineRule="auto"/>
              <w:ind w:left="41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5/12.4</w:t>
            </w:r>
          </w:p>
        </w:tc>
        <w:tc>
          <w:tcPr>
            <w:tcW w:w="1546" w:type="dxa"/>
            <w:gridSpan w:val="3"/>
            <w:vAlign w:val="top"/>
          </w:tcPr>
          <w:p w14:paraId="77EA06F5">
            <w:pPr>
              <w:spacing w:before="118" w:line="193" w:lineRule="auto"/>
              <w:ind w:left="56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5/5.7</w:t>
            </w:r>
          </w:p>
        </w:tc>
        <w:tc>
          <w:tcPr>
            <w:tcW w:w="115" w:type="dxa"/>
            <w:tcBorders>
              <w:top w:val="nil"/>
              <w:bottom w:val="nil"/>
              <w:right w:val="single" w:color="000000" w:sz="6" w:space="0"/>
            </w:tcBorders>
            <w:vAlign w:val="top"/>
          </w:tcPr>
          <w:p w14:paraId="447043D3">
            <w:pPr>
              <w:rPr>
                <w:rFonts w:ascii="Arial"/>
                <w:sz w:val="21"/>
              </w:rPr>
            </w:pPr>
          </w:p>
        </w:tc>
      </w:tr>
      <w:tr w14:paraId="0E710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76" w:type="dxa"/>
            <w:vMerge w:val="continue"/>
            <w:tcBorders>
              <w:top w:val="nil"/>
              <w:left w:val="single" w:color="000000" w:sz="6" w:space="0"/>
              <w:bottom w:val="nil"/>
            </w:tcBorders>
            <w:vAlign w:val="top"/>
          </w:tcPr>
          <w:p w14:paraId="45596CED">
            <w:pPr>
              <w:rPr>
                <w:rFonts w:ascii="Arial"/>
                <w:sz w:val="21"/>
              </w:rPr>
            </w:pPr>
          </w:p>
        </w:tc>
        <w:tc>
          <w:tcPr>
            <w:tcW w:w="110" w:type="dxa"/>
            <w:tcBorders>
              <w:top w:val="nil"/>
              <w:bottom w:val="nil"/>
            </w:tcBorders>
            <w:vAlign w:val="top"/>
          </w:tcPr>
          <w:p w14:paraId="28E82741">
            <w:pPr>
              <w:rPr>
                <w:rFonts w:ascii="Arial"/>
                <w:sz w:val="21"/>
              </w:rPr>
            </w:pPr>
          </w:p>
        </w:tc>
        <w:tc>
          <w:tcPr>
            <w:tcW w:w="1929" w:type="dxa"/>
            <w:gridSpan w:val="2"/>
            <w:vAlign w:val="top"/>
          </w:tcPr>
          <w:p w14:paraId="31A94200">
            <w:pPr>
              <w:pStyle w:val="6"/>
              <w:spacing w:before="84" w:line="223" w:lineRule="auto"/>
              <w:ind w:left="641"/>
              <w:rPr>
                <w:sz w:val="22"/>
                <w:szCs w:val="22"/>
              </w:rPr>
            </w:pPr>
            <w:r>
              <w:rPr>
                <w:spacing w:val="-3"/>
                <w:sz w:val="22"/>
                <w:szCs w:val="22"/>
              </w:rPr>
              <w:t>卫生间</w:t>
            </w:r>
          </w:p>
        </w:tc>
        <w:tc>
          <w:tcPr>
            <w:tcW w:w="1193" w:type="dxa"/>
            <w:gridSpan w:val="3"/>
            <w:vAlign w:val="top"/>
          </w:tcPr>
          <w:p w14:paraId="6409D80E">
            <w:pPr>
              <w:spacing w:before="118" w:line="193" w:lineRule="auto"/>
              <w:ind w:left="38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7/9.7</w:t>
            </w:r>
          </w:p>
        </w:tc>
        <w:tc>
          <w:tcPr>
            <w:tcW w:w="1844" w:type="dxa"/>
            <w:gridSpan w:val="3"/>
            <w:vAlign w:val="top"/>
          </w:tcPr>
          <w:p w14:paraId="2B729E9A">
            <w:pPr>
              <w:spacing w:before="118" w:line="193" w:lineRule="auto"/>
              <w:ind w:left="65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7/24.4</w:t>
            </w:r>
          </w:p>
        </w:tc>
        <w:tc>
          <w:tcPr>
            <w:tcW w:w="1361" w:type="dxa"/>
            <w:gridSpan w:val="3"/>
            <w:vAlign w:val="top"/>
          </w:tcPr>
          <w:p w14:paraId="53ABAB16">
            <w:pPr>
              <w:spacing w:before="118" w:line="193" w:lineRule="auto"/>
              <w:ind w:left="41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7/16.8</w:t>
            </w:r>
          </w:p>
        </w:tc>
        <w:tc>
          <w:tcPr>
            <w:tcW w:w="1546" w:type="dxa"/>
            <w:gridSpan w:val="3"/>
            <w:vAlign w:val="top"/>
          </w:tcPr>
          <w:p w14:paraId="6C3E5B8E">
            <w:pPr>
              <w:pStyle w:val="6"/>
              <w:spacing w:before="188" w:line="150" w:lineRule="exact"/>
              <w:ind w:left="676"/>
              <w:rPr>
                <w:sz w:val="22"/>
                <w:szCs w:val="22"/>
              </w:rPr>
            </w:pPr>
            <w:r>
              <w:rPr>
                <w:position w:val="-4"/>
                <w:sz w:val="22"/>
                <w:szCs w:val="22"/>
              </w:rPr>
              <w:t>—</w:t>
            </w:r>
          </w:p>
        </w:tc>
        <w:tc>
          <w:tcPr>
            <w:tcW w:w="115" w:type="dxa"/>
            <w:tcBorders>
              <w:top w:val="nil"/>
              <w:bottom w:val="nil"/>
              <w:right w:val="single" w:color="000000" w:sz="6" w:space="0"/>
            </w:tcBorders>
            <w:vAlign w:val="top"/>
          </w:tcPr>
          <w:p w14:paraId="62D4F0D2">
            <w:pPr>
              <w:rPr>
                <w:rFonts w:ascii="Arial"/>
                <w:sz w:val="21"/>
              </w:rPr>
            </w:pPr>
          </w:p>
        </w:tc>
      </w:tr>
      <w:tr w14:paraId="7CA7A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0" w:hRule="atLeast"/>
        </w:trPr>
        <w:tc>
          <w:tcPr>
            <w:tcW w:w="776" w:type="dxa"/>
            <w:vMerge w:val="continue"/>
            <w:tcBorders>
              <w:top w:val="nil"/>
              <w:left w:val="single" w:color="000000" w:sz="6" w:space="0"/>
              <w:bottom w:val="single" w:color="000000" w:sz="6" w:space="0"/>
            </w:tcBorders>
            <w:vAlign w:val="top"/>
          </w:tcPr>
          <w:p w14:paraId="32ACB728">
            <w:pPr>
              <w:rPr>
                <w:rFonts w:ascii="Arial"/>
                <w:sz w:val="21"/>
              </w:rPr>
            </w:pPr>
          </w:p>
        </w:tc>
        <w:tc>
          <w:tcPr>
            <w:tcW w:w="8098" w:type="dxa"/>
            <w:gridSpan w:val="16"/>
            <w:tcBorders>
              <w:bottom w:val="single" w:color="000000" w:sz="6" w:space="0"/>
              <w:right w:val="single" w:color="000000" w:sz="6" w:space="0"/>
            </w:tcBorders>
            <w:vAlign w:val="top"/>
          </w:tcPr>
          <w:p w14:paraId="211F3BF1">
            <w:pPr>
              <w:pStyle w:val="6"/>
              <w:spacing w:before="44"/>
              <w:ind w:left="92" w:right="103" w:firstLine="14"/>
              <w:jc w:val="both"/>
              <w:rPr>
                <w:sz w:val="22"/>
                <w:szCs w:val="22"/>
              </w:rPr>
            </w:pPr>
            <w:r>
              <w:rPr>
                <w:spacing w:val="-2"/>
                <w:sz w:val="22"/>
                <w:szCs w:val="22"/>
              </w:rPr>
              <w:t>注：标准依据</w:t>
            </w:r>
            <w:r>
              <w:rPr>
                <w:rFonts w:ascii="Times New Roman" w:hAnsi="Times New Roman" w:eastAsia="Times New Roman" w:cs="Times New Roman"/>
                <w:spacing w:val="-2"/>
                <w:sz w:val="22"/>
                <w:szCs w:val="22"/>
              </w:rPr>
              <w:t>GB50156-2021</w:t>
            </w:r>
            <w:r>
              <w:rPr>
                <w:rFonts w:ascii="Times New Roman" w:hAnsi="Times New Roman" w:eastAsia="Times New Roman" w:cs="Times New Roman"/>
                <w:spacing w:val="-21"/>
                <w:sz w:val="22"/>
                <w:szCs w:val="22"/>
              </w:rPr>
              <w:t xml:space="preserve"> </w:t>
            </w:r>
            <w:r>
              <w:rPr>
                <w:spacing w:val="-2"/>
                <w:sz w:val="22"/>
                <w:szCs w:val="22"/>
              </w:rPr>
              <w:t>。“</w:t>
            </w:r>
            <w:r>
              <w:rPr>
                <w:rFonts w:ascii="Times New Roman" w:hAnsi="Times New Roman" w:eastAsia="Times New Roman" w:cs="Times New Roman"/>
                <w:spacing w:val="-2"/>
                <w:sz w:val="22"/>
                <w:szCs w:val="22"/>
              </w:rPr>
              <w:t>/</w:t>
            </w:r>
            <w:r>
              <w:rPr>
                <w:rFonts w:ascii="Times New Roman" w:hAnsi="Times New Roman" w:eastAsia="Times New Roman" w:cs="Times New Roman"/>
                <w:spacing w:val="-28"/>
                <w:sz w:val="22"/>
                <w:szCs w:val="22"/>
              </w:rPr>
              <w:t xml:space="preserve"> </w:t>
            </w:r>
            <w:r>
              <w:rPr>
                <w:spacing w:val="-2"/>
                <w:sz w:val="22"/>
                <w:szCs w:val="22"/>
              </w:rPr>
              <w:t>”前面为标准要求距离，“</w:t>
            </w:r>
            <w:r>
              <w:rPr>
                <w:rFonts w:ascii="Times New Roman" w:hAnsi="Times New Roman" w:eastAsia="Times New Roman" w:cs="Times New Roman"/>
                <w:spacing w:val="-2"/>
                <w:sz w:val="22"/>
                <w:szCs w:val="22"/>
              </w:rPr>
              <w:t>/</w:t>
            </w:r>
            <w:r>
              <w:rPr>
                <w:rFonts w:ascii="Times New Roman" w:hAnsi="Times New Roman" w:eastAsia="Times New Roman" w:cs="Times New Roman"/>
                <w:spacing w:val="-25"/>
                <w:sz w:val="22"/>
                <w:szCs w:val="22"/>
              </w:rPr>
              <w:t xml:space="preserve"> </w:t>
            </w:r>
            <w:r>
              <w:rPr>
                <w:spacing w:val="-2"/>
                <w:sz w:val="22"/>
                <w:szCs w:val="22"/>
              </w:rPr>
              <w:t>”后面为实际距离，</w:t>
            </w:r>
            <w:r>
              <w:rPr>
                <w:sz w:val="22"/>
                <w:szCs w:val="22"/>
              </w:rPr>
              <w:t xml:space="preserve"> “—</w:t>
            </w:r>
            <w:r>
              <w:rPr>
                <w:spacing w:val="-77"/>
                <w:sz w:val="22"/>
                <w:szCs w:val="22"/>
              </w:rPr>
              <w:t xml:space="preserve"> </w:t>
            </w:r>
            <w:r>
              <w:rPr>
                <w:sz w:val="22"/>
                <w:szCs w:val="22"/>
              </w:rPr>
              <w:t xml:space="preserve">”表示，无防火间距要求。依据标准 </w:t>
            </w:r>
            <w:r>
              <w:rPr>
                <w:rFonts w:ascii="Times New Roman" w:hAnsi="Times New Roman" w:eastAsia="Times New Roman" w:cs="Times New Roman"/>
                <w:sz w:val="22"/>
                <w:szCs w:val="22"/>
              </w:rPr>
              <w:t xml:space="preserve">GB50156-2021  </w:t>
            </w:r>
            <w:r>
              <w:rPr>
                <w:sz w:val="22"/>
                <w:szCs w:val="22"/>
              </w:rPr>
              <w:t xml:space="preserve">第 </w:t>
            </w:r>
            <w:r>
              <w:rPr>
                <w:rFonts w:ascii="Times New Roman" w:hAnsi="Times New Roman" w:eastAsia="Times New Roman" w:cs="Times New Roman"/>
                <w:sz w:val="22"/>
                <w:szCs w:val="22"/>
              </w:rPr>
              <w:t xml:space="preserve">5.0.10  </w:t>
            </w:r>
            <w:r>
              <w:rPr>
                <w:sz w:val="22"/>
                <w:szCs w:val="22"/>
              </w:rPr>
              <w:t>条规定，卫生间按照三类保护物算间距。</w:t>
            </w:r>
          </w:p>
          <w:p w14:paraId="662BA4DA">
            <w:pPr>
              <w:spacing w:line="242" w:lineRule="auto"/>
              <w:rPr>
                <w:rFonts w:ascii="Arial"/>
                <w:sz w:val="21"/>
              </w:rPr>
            </w:pPr>
          </w:p>
          <w:p w14:paraId="6A092892">
            <w:pPr>
              <w:spacing w:line="243" w:lineRule="auto"/>
              <w:rPr>
                <w:rFonts w:ascii="Arial"/>
                <w:sz w:val="21"/>
              </w:rPr>
            </w:pPr>
          </w:p>
          <w:p w14:paraId="75E974FB">
            <w:pPr>
              <w:pStyle w:val="6"/>
              <w:spacing w:before="81" w:line="340" w:lineRule="auto"/>
              <w:ind w:left="109" w:firstLine="519"/>
              <w:jc w:val="both"/>
            </w:pPr>
            <w:r>
              <w:rPr>
                <w:spacing w:val="12"/>
              </w:rPr>
              <w:t>根据上表分析结果，本项目改扩建后建构筑物之间的间距、加油</w:t>
            </w:r>
            <w:r>
              <w:rPr>
                <w:spacing w:val="7"/>
              </w:rPr>
              <w:t>站与站外建构筑物间安全间距均符合《汽车加油加气加氢站技术标准》</w:t>
            </w:r>
            <w:r>
              <w:rPr>
                <w:spacing w:val="10"/>
              </w:rPr>
              <w:t xml:space="preserve"> </w:t>
            </w: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50156-2021</w:t>
            </w:r>
            <w:r>
              <w:rPr>
                <w:spacing w:val="5"/>
              </w:rPr>
              <w:t>）要求。</w:t>
            </w:r>
          </w:p>
          <w:p w14:paraId="7792FD85">
            <w:pPr>
              <w:pStyle w:val="6"/>
              <w:spacing w:line="225" w:lineRule="auto"/>
              <w:ind w:left="632"/>
            </w:pPr>
            <w:r>
              <w:rPr>
                <w:spacing w:val="12"/>
              </w:rPr>
              <w:t>综上，本项目区域交通便利，外环境关系简单，周边以居民区及</w:t>
            </w:r>
          </w:p>
        </w:tc>
      </w:tr>
    </w:tbl>
    <w:p w14:paraId="0DA0D86B">
      <w:pPr>
        <w:pStyle w:val="2"/>
        <w:rPr>
          <w:sz w:val="21"/>
        </w:rPr>
      </w:pPr>
    </w:p>
    <w:p w14:paraId="4D85C7D1">
      <w:pPr>
        <w:rPr>
          <w:sz w:val="21"/>
          <w:szCs w:val="21"/>
        </w:rPr>
        <w:sectPr>
          <w:footerReference r:id="rId31" w:type="default"/>
          <w:pgSz w:w="11906" w:h="16839"/>
          <w:pgMar w:top="400" w:right="1508" w:bottom="1006" w:left="1508" w:header="0" w:footer="768" w:gutter="0"/>
          <w:cols w:space="720" w:num="1"/>
        </w:sectPr>
      </w:pPr>
    </w:p>
    <w:p w14:paraId="622ECB83">
      <w:pPr>
        <w:spacing w:before="19"/>
      </w:pPr>
    </w:p>
    <w:p w14:paraId="3AE68731">
      <w:pPr>
        <w:spacing w:before="19"/>
      </w:pPr>
    </w:p>
    <w:p w14:paraId="5FFAB376">
      <w:pPr>
        <w:spacing w:before="19"/>
      </w:pPr>
    </w:p>
    <w:p w14:paraId="6B85F86E">
      <w:pPr>
        <w:spacing w:before="18"/>
      </w:pPr>
    </w:p>
    <w:p w14:paraId="00505E9C">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6"/>
        <w:gridCol w:w="8098"/>
      </w:tblGrid>
      <w:tr w14:paraId="3671B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85" w:hRule="atLeast"/>
        </w:trPr>
        <w:tc>
          <w:tcPr>
            <w:tcW w:w="776" w:type="dxa"/>
            <w:tcBorders>
              <w:bottom w:val="single" w:color="000000" w:sz="2" w:space="0"/>
              <w:right w:val="single" w:color="000000" w:sz="2" w:space="0"/>
            </w:tcBorders>
            <w:vAlign w:val="top"/>
          </w:tcPr>
          <w:p w14:paraId="7D29FC2C">
            <w:pPr>
              <w:rPr>
                <w:rFonts w:ascii="Arial"/>
                <w:sz w:val="21"/>
              </w:rPr>
            </w:pPr>
          </w:p>
        </w:tc>
        <w:tc>
          <w:tcPr>
            <w:tcW w:w="8098" w:type="dxa"/>
            <w:tcBorders>
              <w:left w:val="single" w:color="000000" w:sz="2" w:space="0"/>
              <w:bottom w:val="single" w:color="000000" w:sz="2" w:space="0"/>
            </w:tcBorders>
            <w:vAlign w:val="top"/>
          </w:tcPr>
          <w:p w14:paraId="47610DBD">
            <w:pPr>
              <w:pStyle w:val="6"/>
              <w:spacing w:before="151" w:line="341" w:lineRule="auto"/>
              <w:ind w:left="109" w:right="36" w:hanging="2"/>
            </w:pPr>
            <w:r>
              <w:rPr>
                <w:spacing w:val="6"/>
              </w:rPr>
              <w:t>庆铃汽车企业为主，环境制约因素少。因此，从环境保护的角度考虑，</w:t>
            </w:r>
            <w:r>
              <w:rPr>
                <w:spacing w:val="9"/>
              </w:rPr>
              <w:t>本项目场地选址及总平面布置较为合理，项目总平面图见</w:t>
            </w:r>
            <w:r>
              <w:rPr>
                <w:b/>
                <w:bCs/>
                <w:spacing w:val="9"/>
                <w:u w:val="single" w:color="auto"/>
              </w:rPr>
              <w:t>附图</w:t>
            </w:r>
            <w:r>
              <w:rPr>
                <w:spacing w:val="9"/>
              </w:rPr>
              <w:t>。</w:t>
            </w:r>
          </w:p>
        </w:tc>
      </w:tr>
    </w:tbl>
    <w:p w14:paraId="0508C25C">
      <w:pPr>
        <w:pStyle w:val="2"/>
        <w:rPr>
          <w:sz w:val="21"/>
        </w:rPr>
      </w:pPr>
    </w:p>
    <w:p w14:paraId="492355F1">
      <w:pPr>
        <w:rPr>
          <w:sz w:val="21"/>
          <w:szCs w:val="21"/>
        </w:rPr>
        <w:sectPr>
          <w:footerReference r:id="rId32" w:type="default"/>
          <w:pgSz w:w="11906" w:h="16839"/>
          <w:pgMar w:top="400" w:right="1508" w:bottom="1006" w:left="1508" w:header="0" w:footer="768" w:gutter="0"/>
          <w:cols w:space="720" w:num="1"/>
        </w:sectPr>
      </w:pPr>
    </w:p>
    <w:p w14:paraId="7AEA6F50">
      <w:pPr>
        <w:pStyle w:val="2"/>
        <w:spacing w:line="248" w:lineRule="auto"/>
        <w:rPr>
          <w:sz w:val="21"/>
        </w:rPr>
      </w:pPr>
    </w:p>
    <w:p w14:paraId="30385551">
      <w:pPr>
        <w:pStyle w:val="2"/>
        <w:spacing w:line="248" w:lineRule="auto"/>
        <w:rPr>
          <w:sz w:val="21"/>
        </w:rPr>
      </w:pPr>
    </w:p>
    <w:p w14:paraId="6848ECF9">
      <w:pPr>
        <w:pStyle w:val="2"/>
        <w:spacing w:line="248" w:lineRule="auto"/>
        <w:rPr>
          <w:sz w:val="21"/>
        </w:rPr>
      </w:pPr>
    </w:p>
    <w:p w14:paraId="61E808ED">
      <w:pPr>
        <w:pStyle w:val="2"/>
        <w:spacing w:line="248" w:lineRule="auto"/>
        <w:rPr>
          <w:sz w:val="21"/>
        </w:rPr>
      </w:pPr>
    </w:p>
    <w:p w14:paraId="52A7DBDC">
      <w:pPr>
        <w:pStyle w:val="2"/>
        <w:spacing w:line="249" w:lineRule="auto"/>
        <w:rPr>
          <w:sz w:val="21"/>
        </w:rPr>
      </w:pPr>
    </w:p>
    <w:p w14:paraId="3CA92C14">
      <w:pPr>
        <w:spacing w:before="98" w:line="211" w:lineRule="auto"/>
        <w:ind w:left="3017"/>
        <w:outlineLvl w:val="0"/>
        <w:rPr>
          <w:rFonts w:ascii="黑体" w:hAnsi="黑体" w:eastAsia="黑体" w:cs="黑体"/>
          <w:sz w:val="30"/>
          <w:szCs w:val="30"/>
        </w:rPr>
      </w:pPr>
      <w:r>
        <w:rPr>
          <w:rFonts w:ascii="黑体" w:hAnsi="黑体" w:eastAsia="黑体" w:cs="黑体"/>
          <w:spacing w:val="-2"/>
          <w:sz w:val="30"/>
          <w:szCs w:val="30"/>
        </w:rPr>
        <w:t>二、建设项目工程分析</w:t>
      </w: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3BBBE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87" w:hRule="atLeast"/>
        </w:trPr>
        <w:tc>
          <w:tcPr>
            <w:tcW w:w="831" w:type="dxa"/>
            <w:tcBorders>
              <w:right w:val="single" w:color="000000" w:sz="2" w:space="0"/>
            </w:tcBorders>
            <w:vAlign w:val="top"/>
          </w:tcPr>
          <w:p w14:paraId="1C12818B">
            <w:pPr>
              <w:spacing w:line="241" w:lineRule="auto"/>
              <w:rPr>
                <w:rFonts w:ascii="Arial"/>
                <w:sz w:val="21"/>
              </w:rPr>
            </w:pPr>
          </w:p>
          <w:p w14:paraId="63DEA92D">
            <w:pPr>
              <w:spacing w:line="241" w:lineRule="auto"/>
              <w:rPr>
                <w:rFonts w:ascii="Arial"/>
                <w:sz w:val="21"/>
              </w:rPr>
            </w:pPr>
          </w:p>
          <w:p w14:paraId="75BCFB87">
            <w:pPr>
              <w:spacing w:line="241" w:lineRule="auto"/>
              <w:rPr>
                <w:rFonts w:ascii="Arial"/>
                <w:sz w:val="21"/>
              </w:rPr>
            </w:pPr>
          </w:p>
          <w:p w14:paraId="57FC66E9">
            <w:pPr>
              <w:spacing w:line="241" w:lineRule="auto"/>
              <w:rPr>
                <w:rFonts w:ascii="Arial"/>
                <w:sz w:val="21"/>
              </w:rPr>
            </w:pPr>
          </w:p>
          <w:p w14:paraId="270202D7">
            <w:pPr>
              <w:spacing w:line="241" w:lineRule="auto"/>
              <w:rPr>
                <w:rFonts w:ascii="Arial"/>
                <w:sz w:val="21"/>
              </w:rPr>
            </w:pPr>
          </w:p>
          <w:p w14:paraId="701EBD67">
            <w:pPr>
              <w:spacing w:line="241" w:lineRule="auto"/>
              <w:rPr>
                <w:rFonts w:ascii="Arial"/>
                <w:sz w:val="21"/>
              </w:rPr>
            </w:pPr>
          </w:p>
          <w:p w14:paraId="05D960E5">
            <w:pPr>
              <w:spacing w:line="241" w:lineRule="auto"/>
              <w:rPr>
                <w:rFonts w:ascii="Arial"/>
                <w:sz w:val="21"/>
              </w:rPr>
            </w:pPr>
          </w:p>
          <w:p w14:paraId="4763EDE1">
            <w:pPr>
              <w:spacing w:line="241" w:lineRule="auto"/>
              <w:rPr>
                <w:rFonts w:ascii="Arial"/>
                <w:sz w:val="21"/>
              </w:rPr>
            </w:pPr>
          </w:p>
          <w:p w14:paraId="45EC0A6E">
            <w:pPr>
              <w:spacing w:line="241" w:lineRule="auto"/>
              <w:rPr>
                <w:rFonts w:ascii="Arial"/>
                <w:sz w:val="21"/>
              </w:rPr>
            </w:pPr>
          </w:p>
          <w:p w14:paraId="178232A2">
            <w:pPr>
              <w:spacing w:line="241" w:lineRule="auto"/>
              <w:rPr>
                <w:rFonts w:ascii="Arial"/>
                <w:sz w:val="21"/>
              </w:rPr>
            </w:pPr>
          </w:p>
          <w:p w14:paraId="01A2B14B">
            <w:pPr>
              <w:spacing w:line="241" w:lineRule="auto"/>
              <w:rPr>
                <w:rFonts w:ascii="Arial"/>
                <w:sz w:val="21"/>
              </w:rPr>
            </w:pPr>
          </w:p>
          <w:p w14:paraId="30022F0B">
            <w:pPr>
              <w:spacing w:line="241" w:lineRule="auto"/>
              <w:rPr>
                <w:rFonts w:ascii="Arial"/>
                <w:sz w:val="21"/>
              </w:rPr>
            </w:pPr>
          </w:p>
          <w:p w14:paraId="3AA44AD7">
            <w:pPr>
              <w:spacing w:line="241" w:lineRule="auto"/>
              <w:rPr>
                <w:rFonts w:ascii="Arial"/>
                <w:sz w:val="21"/>
              </w:rPr>
            </w:pPr>
          </w:p>
          <w:p w14:paraId="24DCEA7C">
            <w:pPr>
              <w:spacing w:line="241" w:lineRule="auto"/>
              <w:rPr>
                <w:rFonts w:ascii="Arial"/>
                <w:sz w:val="21"/>
              </w:rPr>
            </w:pPr>
          </w:p>
          <w:p w14:paraId="7F2D14B8">
            <w:pPr>
              <w:spacing w:line="241" w:lineRule="auto"/>
              <w:rPr>
                <w:rFonts w:ascii="Arial"/>
                <w:sz w:val="21"/>
              </w:rPr>
            </w:pPr>
          </w:p>
          <w:p w14:paraId="5062A016">
            <w:pPr>
              <w:spacing w:line="241" w:lineRule="auto"/>
              <w:rPr>
                <w:rFonts w:ascii="Arial"/>
                <w:sz w:val="21"/>
              </w:rPr>
            </w:pPr>
          </w:p>
          <w:p w14:paraId="48260A16">
            <w:pPr>
              <w:spacing w:line="241" w:lineRule="auto"/>
              <w:rPr>
                <w:rFonts w:ascii="Arial"/>
                <w:sz w:val="21"/>
              </w:rPr>
            </w:pPr>
          </w:p>
          <w:p w14:paraId="6873AA4B">
            <w:pPr>
              <w:spacing w:line="241" w:lineRule="auto"/>
              <w:rPr>
                <w:rFonts w:ascii="Arial"/>
                <w:sz w:val="21"/>
              </w:rPr>
            </w:pPr>
          </w:p>
          <w:p w14:paraId="271ACBDA">
            <w:pPr>
              <w:spacing w:line="241" w:lineRule="auto"/>
              <w:rPr>
                <w:rFonts w:ascii="Arial"/>
                <w:sz w:val="21"/>
              </w:rPr>
            </w:pPr>
          </w:p>
          <w:p w14:paraId="43911A1D">
            <w:pPr>
              <w:spacing w:line="241" w:lineRule="auto"/>
              <w:rPr>
                <w:rFonts w:ascii="Arial"/>
                <w:sz w:val="21"/>
              </w:rPr>
            </w:pPr>
          </w:p>
          <w:p w14:paraId="3FF6E298">
            <w:pPr>
              <w:spacing w:line="241" w:lineRule="auto"/>
              <w:rPr>
                <w:rFonts w:ascii="Arial"/>
                <w:sz w:val="21"/>
              </w:rPr>
            </w:pPr>
          </w:p>
          <w:p w14:paraId="18DEADF4">
            <w:pPr>
              <w:spacing w:line="241" w:lineRule="auto"/>
              <w:rPr>
                <w:rFonts w:ascii="Arial"/>
                <w:sz w:val="21"/>
              </w:rPr>
            </w:pPr>
          </w:p>
          <w:p w14:paraId="6AAF01D3">
            <w:pPr>
              <w:spacing w:line="242" w:lineRule="auto"/>
              <w:rPr>
                <w:rFonts w:ascii="Arial"/>
                <w:sz w:val="21"/>
              </w:rPr>
            </w:pPr>
          </w:p>
          <w:p w14:paraId="0A0062C7">
            <w:pPr>
              <w:spacing w:line="242" w:lineRule="auto"/>
              <w:rPr>
                <w:rFonts w:ascii="Arial"/>
                <w:sz w:val="21"/>
              </w:rPr>
            </w:pPr>
          </w:p>
          <w:p w14:paraId="0605A612">
            <w:pPr>
              <w:spacing w:line="242" w:lineRule="auto"/>
              <w:rPr>
                <w:rFonts w:ascii="Arial"/>
                <w:sz w:val="21"/>
              </w:rPr>
            </w:pPr>
          </w:p>
          <w:p w14:paraId="45EC55F2">
            <w:pPr>
              <w:pStyle w:val="6"/>
              <w:spacing w:before="81" w:line="251" w:lineRule="auto"/>
              <w:ind w:left="187" w:right="156" w:hanging="28"/>
            </w:pPr>
            <w:r>
              <w:rPr>
                <w:spacing w:val="2"/>
              </w:rPr>
              <w:t>建设</w:t>
            </w:r>
            <w:r>
              <w:rPr>
                <w:spacing w:val="-12"/>
              </w:rPr>
              <w:t>内容</w:t>
            </w:r>
          </w:p>
        </w:tc>
        <w:tc>
          <w:tcPr>
            <w:tcW w:w="8157" w:type="dxa"/>
            <w:tcBorders>
              <w:left w:val="single" w:color="000000" w:sz="2" w:space="0"/>
            </w:tcBorders>
            <w:vAlign w:val="top"/>
          </w:tcPr>
          <w:p w14:paraId="4A6A2BBF">
            <w:pPr>
              <w:pStyle w:val="6"/>
              <w:spacing w:before="150" w:line="226" w:lineRule="auto"/>
              <w:ind w:left="106"/>
            </w:pPr>
            <w:r>
              <w:rPr>
                <w:rFonts w:ascii="Times New Roman" w:hAnsi="Times New Roman" w:eastAsia="Times New Roman" w:cs="Times New Roman"/>
                <w:b/>
                <w:bCs/>
                <w:spacing w:val="5"/>
              </w:rPr>
              <w:t xml:space="preserve">2.1 </w:t>
            </w:r>
            <w:r>
              <w:rPr>
                <w:b/>
                <w:bCs/>
                <w:spacing w:val="5"/>
              </w:rPr>
              <w:t>项目由来及构思</w:t>
            </w:r>
          </w:p>
          <w:p w14:paraId="68E06DF3">
            <w:pPr>
              <w:pStyle w:val="6"/>
              <w:spacing w:before="154" w:line="226" w:lineRule="auto"/>
              <w:ind w:left="106"/>
            </w:pPr>
            <w:r>
              <w:rPr>
                <w:rFonts w:ascii="Times New Roman" w:hAnsi="Times New Roman" w:eastAsia="Times New Roman" w:cs="Times New Roman"/>
                <w:b/>
                <w:bCs/>
                <w:spacing w:val="3"/>
              </w:rPr>
              <w:t>2.1.1</w:t>
            </w:r>
            <w:r>
              <w:rPr>
                <w:rFonts w:ascii="Times New Roman" w:hAnsi="Times New Roman" w:eastAsia="Times New Roman" w:cs="Times New Roman"/>
                <w:b/>
                <w:bCs/>
                <w:spacing w:val="17"/>
              </w:rPr>
              <w:t xml:space="preserve"> </w:t>
            </w:r>
            <w:r>
              <w:rPr>
                <w:b/>
                <w:bCs/>
                <w:spacing w:val="3"/>
              </w:rPr>
              <w:t>项目由来</w:t>
            </w:r>
          </w:p>
          <w:p w14:paraId="2CD50B7E">
            <w:pPr>
              <w:pStyle w:val="6"/>
              <w:spacing w:before="150" w:line="340" w:lineRule="auto"/>
              <w:ind w:left="109" w:right="102" w:firstLine="520"/>
              <w:jc w:val="both"/>
            </w:pPr>
            <w:r>
              <w:rPr>
                <w:spacing w:val="5"/>
              </w:rPr>
              <w:t>重庆壳牌能源有限公司九中路加油站柴改汽油罐更换项目（以下简</w:t>
            </w:r>
            <w:r>
              <w:rPr>
                <w:spacing w:val="8"/>
              </w:rPr>
              <w:t>称九中路加油站）位于重庆市九龙坡区石堰村八社</w:t>
            </w:r>
            <w:r>
              <w:rPr>
                <w:rFonts w:ascii="Times New Roman" w:hAnsi="Times New Roman" w:eastAsia="Times New Roman" w:cs="Times New Roman"/>
                <w:spacing w:val="8"/>
              </w:rPr>
              <w:t>(</w:t>
            </w:r>
            <w:r>
              <w:rPr>
                <w:spacing w:val="8"/>
              </w:rPr>
              <w:t>乔鹤佳苑小区旁</w:t>
            </w:r>
            <w:r>
              <w:rPr>
                <w:rFonts w:ascii="Times New Roman" w:hAnsi="Times New Roman" w:eastAsia="Times New Roman" w:cs="Times New Roman"/>
                <w:spacing w:val="8"/>
              </w:rPr>
              <w:t>)</w:t>
            </w:r>
            <w:r>
              <w:rPr>
                <w:spacing w:val="8"/>
              </w:rPr>
              <w:t>，</w:t>
            </w:r>
            <w:r>
              <w:rPr>
                <w:spacing w:val="13"/>
              </w:rPr>
              <w:t>占地面积</w:t>
            </w:r>
            <w:r>
              <w:rPr>
                <w:spacing w:val="-7"/>
              </w:rPr>
              <w:t xml:space="preserve"> </w:t>
            </w:r>
            <w:r>
              <w:rPr>
                <w:rFonts w:ascii="Times New Roman" w:hAnsi="Times New Roman" w:eastAsia="Times New Roman" w:cs="Times New Roman"/>
                <w:spacing w:val="13"/>
              </w:rPr>
              <w:t>1453m</w:t>
            </w:r>
            <w:r>
              <w:rPr>
                <w:rFonts w:ascii="Times New Roman" w:hAnsi="Times New Roman" w:eastAsia="Times New Roman" w:cs="Times New Roman"/>
                <w:spacing w:val="13"/>
                <w:position w:val="8"/>
                <w:sz w:val="16"/>
                <w:szCs w:val="16"/>
              </w:rPr>
              <w:t xml:space="preserve">2 </w:t>
            </w:r>
            <w:r>
              <w:rPr>
                <w:spacing w:val="13"/>
              </w:rPr>
              <w:t>，主要从事汽、柴油零售业务。项目现状设有</w:t>
            </w:r>
            <w:r>
              <w:rPr>
                <w:spacing w:val="-18"/>
              </w:rPr>
              <w:t xml:space="preserve"> </w:t>
            </w:r>
            <w:r>
              <w:rPr>
                <w:rFonts w:ascii="Times New Roman" w:hAnsi="Times New Roman" w:eastAsia="Times New Roman" w:cs="Times New Roman"/>
                <w:spacing w:val="13"/>
              </w:rPr>
              <w:t>1</w:t>
            </w:r>
            <w:r>
              <w:rPr>
                <w:rFonts w:ascii="Times New Roman" w:hAnsi="Times New Roman" w:eastAsia="Times New Roman" w:cs="Times New Roman"/>
                <w:spacing w:val="27"/>
                <w:w w:val="101"/>
              </w:rPr>
              <w:t xml:space="preserve"> </w:t>
            </w:r>
            <w:r>
              <w:rPr>
                <w:spacing w:val="13"/>
              </w:rPr>
              <w:t>个</w:t>
            </w:r>
            <w:r>
              <w:rPr>
                <w:rFonts w:ascii="Times New Roman" w:hAnsi="Times New Roman" w:eastAsia="Times New Roman" w:cs="Times New Roman"/>
                <w:spacing w:val="5"/>
              </w:rPr>
              <w:t>30m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5"/>
              </w:rPr>
              <w:t>0#</w:t>
            </w:r>
            <w:r>
              <w:rPr>
                <w:spacing w:val="5"/>
              </w:rPr>
              <w:t>柴油罐（双层罐</w:t>
            </w:r>
            <w:r>
              <w:rPr>
                <w:spacing w:val="10"/>
              </w:rPr>
              <w:t>），</w:t>
            </w:r>
            <w:r>
              <w:rPr>
                <w:rFonts w:ascii="Times New Roman" w:hAnsi="Times New Roman" w:eastAsia="Times New Roman" w:cs="Times New Roman"/>
                <w:spacing w:val="5"/>
              </w:rPr>
              <w:t xml:space="preserve">2 </w:t>
            </w:r>
            <w:r>
              <w:rPr>
                <w:spacing w:val="5"/>
              </w:rPr>
              <w:t>个</w:t>
            </w:r>
            <w:r>
              <w:rPr>
                <w:spacing w:val="-47"/>
              </w:rPr>
              <w:t xml:space="preserve"> </w:t>
            </w:r>
            <w:r>
              <w:rPr>
                <w:rFonts w:ascii="Times New Roman" w:hAnsi="Times New Roman" w:eastAsia="Times New Roman" w:cs="Times New Roman"/>
                <w:spacing w:val="5"/>
              </w:rPr>
              <w:t>30m</w:t>
            </w:r>
            <w:r>
              <w:rPr>
                <w:rFonts w:ascii="Times New Roman" w:hAnsi="Times New Roman" w:eastAsia="Times New Roman" w:cs="Times New Roman"/>
                <w:spacing w:val="5"/>
                <w:position w:val="8"/>
                <w:sz w:val="16"/>
                <w:szCs w:val="16"/>
              </w:rPr>
              <w:t xml:space="preserve">3 </w:t>
            </w:r>
            <w:r>
              <w:rPr>
                <w:spacing w:val="5"/>
              </w:rPr>
              <w:t>汽油罐（</w:t>
            </w:r>
            <w:r>
              <w:rPr>
                <w:rFonts w:ascii="Times New Roman" w:hAnsi="Times New Roman" w:eastAsia="Times New Roman" w:cs="Times New Roman"/>
                <w:spacing w:val="5"/>
              </w:rPr>
              <w:t>92#</w:t>
            </w:r>
            <w:r>
              <w:rPr>
                <w:spacing w:val="5"/>
              </w:rPr>
              <w:t>和</w:t>
            </w:r>
            <w:r>
              <w:rPr>
                <w:spacing w:val="-50"/>
              </w:rPr>
              <w:t xml:space="preserve"> </w:t>
            </w:r>
            <w:r>
              <w:rPr>
                <w:rFonts w:ascii="Times New Roman" w:hAnsi="Times New Roman" w:eastAsia="Times New Roman" w:cs="Times New Roman"/>
                <w:spacing w:val="5"/>
              </w:rPr>
              <w:t>95#</w:t>
            </w:r>
            <w:r>
              <w:rPr>
                <w:rFonts w:ascii="Times New Roman" w:hAnsi="Times New Roman" w:eastAsia="Times New Roman" w:cs="Times New Roman"/>
                <w:spacing w:val="-29"/>
              </w:rPr>
              <w:t xml:space="preserve"> </w:t>
            </w:r>
            <w:r>
              <w:rPr>
                <w:spacing w:val="5"/>
              </w:rPr>
              <w:t>，双层罐</w:t>
            </w:r>
            <w:r>
              <w:rPr>
                <w:spacing w:val="10"/>
              </w:rPr>
              <w:t>），</w:t>
            </w:r>
            <w:r>
              <w:rPr>
                <w:spacing w:val="6"/>
              </w:rPr>
              <w:t>总罐容为</w:t>
            </w:r>
            <w:r>
              <w:rPr>
                <w:spacing w:val="-50"/>
              </w:rPr>
              <w:t xml:space="preserve"> </w:t>
            </w:r>
            <w:r>
              <w:rPr>
                <w:rFonts w:ascii="Times New Roman" w:hAnsi="Times New Roman" w:eastAsia="Times New Roman" w:cs="Times New Roman"/>
                <w:spacing w:val="6"/>
              </w:rPr>
              <w:t>90m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9"/>
                <w:position w:val="8"/>
                <w:sz w:val="16"/>
                <w:szCs w:val="16"/>
              </w:rPr>
              <w:t xml:space="preserve"> </w:t>
            </w:r>
            <w:r>
              <w:rPr>
                <w:spacing w:val="6"/>
              </w:rPr>
              <w:t>，折合后罐容为</w:t>
            </w:r>
            <w:r>
              <w:rPr>
                <w:spacing w:val="-51"/>
              </w:rPr>
              <w:t xml:space="preserve"> </w:t>
            </w:r>
            <w:r>
              <w:rPr>
                <w:rFonts w:ascii="Times New Roman" w:hAnsi="Times New Roman" w:eastAsia="Times New Roman" w:cs="Times New Roman"/>
                <w:spacing w:val="6"/>
              </w:rPr>
              <w:t>75m</w:t>
            </w:r>
            <w:r>
              <w:rPr>
                <w:rFonts w:ascii="Times New Roman" w:hAnsi="Times New Roman" w:eastAsia="Times New Roman" w:cs="Times New Roman"/>
                <w:spacing w:val="6"/>
                <w:position w:val="8"/>
                <w:sz w:val="16"/>
                <w:szCs w:val="16"/>
              </w:rPr>
              <w:t>3</w:t>
            </w:r>
            <w:r>
              <w:rPr>
                <w:spacing w:val="6"/>
              </w:rPr>
              <w:t>（柴油折半计算）。罩棚下设有前</w:t>
            </w:r>
            <w:r>
              <w:rPr>
                <w:spacing w:val="3"/>
              </w:rPr>
              <w:t>后两排共</w:t>
            </w:r>
            <w:r>
              <w:rPr>
                <w:spacing w:val="-49"/>
              </w:rPr>
              <w:t xml:space="preserve"> </w:t>
            </w:r>
            <w:r>
              <w:rPr>
                <w:rFonts w:ascii="Times New Roman" w:hAnsi="Times New Roman" w:eastAsia="Times New Roman" w:cs="Times New Roman"/>
                <w:spacing w:val="3"/>
              </w:rPr>
              <w:t xml:space="preserve">3 </w:t>
            </w:r>
            <w:r>
              <w:rPr>
                <w:spacing w:val="3"/>
              </w:rPr>
              <w:t>座加油岛，前排</w:t>
            </w:r>
            <w:r>
              <w:rPr>
                <w:spacing w:val="-52"/>
              </w:rPr>
              <w:t xml:space="preserve"> </w:t>
            </w:r>
            <w:r>
              <w:rPr>
                <w:rFonts w:ascii="Times New Roman" w:hAnsi="Times New Roman" w:eastAsia="Times New Roman" w:cs="Times New Roman"/>
                <w:spacing w:val="3"/>
              </w:rPr>
              <w:t xml:space="preserve">2 </w:t>
            </w:r>
            <w:r>
              <w:rPr>
                <w:spacing w:val="3"/>
              </w:rPr>
              <w:t>座加油岛上分别布置</w:t>
            </w:r>
            <w:r>
              <w:rPr>
                <w:spacing w:val="-30"/>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3"/>
              </w:rPr>
              <w:t xml:space="preserve"> </w:t>
            </w:r>
            <w:r>
              <w:rPr>
                <w:spacing w:val="3"/>
              </w:rPr>
              <w:t>台六枪</w:t>
            </w:r>
            <w:r>
              <w:rPr>
                <w:spacing w:val="2"/>
              </w:rPr>
              <w:t>加油机，后</w:t>
            </w:r>
            <w:r>
              <w:rPr>
                <w:spacing w:val="4"/>
              </w:rPr>
              <w:t>排</w:t>
            </w:r>
            <w:r>
              <w:rPr>
                <w:spacing w:val="-30"/>
              </w:rPr>
              <w:t xml:space="preserve"> </w:t>
            </w:r>
            <w:r>
              <w:rPr>
                <w:rFonts w:ascii="Times New Roman" w:hAnsi="Times New Roman" w:eastAsia="Times New Roman" w:cs="Times New Roman"/>
                <w:spacing w:val="4"/>
              </w:rPr>
              <w:t xml:space="preserve">1 </w:t>
            </w:r>
            <w:r>
              <w:rPr>
                <w:spacing w:val="4"/>
              </w:rPr>
              <w:t>座加油岛上布置</w:t>
            </w:r>
            <w:r>
              <w:rPr>
                <w:spacing w:val="-28"/>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32"/>
                <w:w w:val="101"/>
              </w:rPr>
              <w:t xml:space="preserve"> </w:t>
            </w:r>
            <w:r>
              <w:rPr>
                <w:spacing w:val="4"/>
              </w:rPr>
              <w:t>台六枪加油机，并配套</w:t>
            </w:r>
            <w:r>
              <w:rPr>
                <w:spacing w:val="-52"/>
              </w:rPr>
              <w:t xml:space="preserve"> </w:t>
            </w:r>
            <w:r>
              <w:rPr>
                <w:rFonts w:ascii="Times New Roman" w:hAnsi="Times New Roman" w:eastAsia="Times New Roman" w:cs="Times New Roman"/>
                <w:spacing w:val="4"/>
              </w:rPr>
              <w:t xml:space="preserve">2 </w:t>
            </w:r>
            <w:r>
              <w:rPr>
                <w:spacing w:val="4"/>
              </w:rPr>
              <w:t>座站房、</w:t>
            </w:r>
            <w:r>
              <w:rPr>
                <w:rFonts w:ascii="Times New Roman" w:hAnsi="Times New Roman" w:eastAsia="Times New Roman" w:cs="Times New Roman"/>
                <w:spacing w:val="4"/>
              </w:rPr>
              <w:t xml:space="preserve">1 </w:t>
            </w:r>
            <w:r>
              <w:rPr>
                <w:spacing w:val="4"/>
              </w:rPr>
              <w:t>座卫生间及</w:t>
            </w:r>
            <w:r>
              <w:rPr>
                <w:spacing w:val="5"/>
              </w:rPr>
              <w:t>公辅设施。</w:t>
            </w:r>
          </w:p>
          <w:p w14:paraId="2EF5E311">
            <w:pPr>
              <w:pStyle w:val="6"/>
              <w:spacing w:before="2" w:line="339" w:lineRule="auto"/>
              <w:ind w:left="110" w:right="102" w:firstLine="530"/>
              <w:jc w:val="both"/>
            </w:pPr>
            <w:r>
              <w:rPr>
                <w:spacing w:val="9"/>
              </w:rPr>
              <w:t>时至</w:t>
            </w:r>
            <w:r>
              <w:rPr>
                <w:spacing w:val="-55"/>
              </w:rPr>
              <w:t xml:space="preserve"> </w:t>
            </w:r>
            <w:r>
              <w:rPr>
                <w:rFonts w:ascii="Times New Roman" w:hAnsi="Times New Roman" w:eastAsia="Times New Roman" w:cs="Times New Roman"/>
                <w:spacing w:val="9"/>
              </w:rPr>
              <w:t xml:space="preserve">2025 </w:t>
            </w:r>
            <w:r>
              <w:rPr>
                <w:spacing w:val="9"/>
              </w:rPr>
              <w:t>年，九中路加油站经营时间已有</w:t>
            </w:r>
            <w:r>
              <w:rPr>
                <w:spacing w:val="8"/>
              </w:rPr>
              <w:t>多年，由于加油站油品</w:t>
            </w:r>
            <w:r>
              <w:rPr>
                <w:spacing w:val="6"/>
              </w:rPr>
              <w:t>种类与服务片区加油供销市场不匹配，因此重庆壳牌能源</w:t>
            </w:r>
            <w:r>
              <w:rPr>
                <w:spacing w:val="5"/>
              </w:rPr>
              <w:t>有限公司计划</w:t>
            </w:r>
            <w:r>
              <w:rPr>
                <w:spacing w:val="11"/>
              </w:rPr>
              <w:t>投资</w:t>
            </w:r>
            <w:r>
              <w:rPr>
                <w:rFonts w:ascii="Times New Roman" w:hAnsi="Times New Roman" w:eastAsia="Times New Roman" w:cs="Times New Roman"/>
                <w:spacing w:val="11"/>
              </w:rPr>
              <w:t xml:space="preserve">60 </w:t>
            </w:r>
            <w:r>
              <w:rPr>
                <w:spacing w:val="11"/>
              </w:rPr>
              <w:t>万元对九中路加油站柴油罐改成汽油罐，实施“九中路加油站</w:t>
            </w:r>
            <w:r>
              <w:rPr>
                <w:spacing w:val="7"/>
              </w:rPr>
              <w:t>柴改汽油罐更换项目</w:t>
            </w:r>
            <w:r>
              <w:rPr>
                <w:spacing w:val="-89"/>
              </w:rPr>
              <w:t xml:space="preserve"> </w:t>
            </w:r>
            <w:r>
              <w:rPr>
                <w:spacing w:val="7"/>
              </w:rPr>
              <w:t>”（以下简称“本项目</w:t>
            </w:r>
            <w:r>
              <w:rPr>
                <w:spacing w:val="-90"/>
              </w:rPr>
              <w:t xml:space="preserve"> </w:t>
            </w:r>
            <w:r>
              <w:rPr>
                <w:spacing w:val="7"/>
              </w:rPr>
              <w:t>”</w:t>
            </w:r>
            <w:r>
              <w:rPr>
                <w:spacing w:val="5"/>
              </w:rPr>
              <w:t>），</w:t>
            </w:r>
            <w:r>
              <w:rPr>
                <w:spacing w:val="7"/>
              </w:rPr>
              <w:t>具体改造内容为：</w:t>
            </w:r>
          </w:p>
          <w:p w14:paraId="39CD15B2">
            <w:pPr>
              <w:pStyle w:val="6"/>
              <w:spacing w:before="5" w:line="337" w:lineRule="auto"/>
              <w:ind w:left="110" w:right="102" w:firstLine="518"/>
              <w:jc w:val="both"/>
            </w:pPr>
            <w:r>
              <w:rPr>
                <w:spacing w:val="7"/>
              </w:rPr>
              <w:t>拆除原有柴油双层卧式埋地油罐，更换为</w:t>
            </w:r>
            <w:r>
              <w:rPr>
                <w:spacing w:val="-46"/>
              </w:rPr>
              <w:t xml:space="preserve"> </w:t>
            </w:r>
            <w:r>
              <w:rPr>
                <w:rFonts w:ascii="Times New Roman" w:hAnsi="Times New Roman" w:eastAsia="Times New Roman" w:cs="Times New Roman"/>
                <w:spacing w:val="7"/>
              </w:rPr>
              <w:t>98#</w:t>
            </w:r>
            <w:r>
              <w:rPr>
                <w:spacing w:val="7"/>
              </w:rPr>
              <w:t>汽油双层埋地油罐，</w:t>
            </w:r>
            <w:r>
              <w:rPr>
                <w:spacing w:val="8"/>
              </w:rPr>
              <w:t>取消柴油油品，增加</w:t>
            </w:r>
            <w:r>
              <w:rPr>
                <w:rFonts w:ascii="Times New Roman" w:hAnsi="Times New Roman" w:eastAsia="Times New Roman" w:cs="Times New Roman"/>
                <w:spacing w:val="8"/>
              </w:rPr>
              <w:t>98#</w:t>
            </w:r>
            <w:r>
              <w:rPr>
                <w:spacing w:val="8"/>
              </w:rPr>
              <w:t>汽油油品（</w:t>
            </w:r>
            <w:r>
              <w:rPr>
                <w:rFonts w:ascii="Times New Roman" w:hAnsi="Times New Roman" w:eastAsia="Times New Roman" w:cs="Times New Roman"/>
                <w:spacing w:val="8"/>
              </w:rPr>
              <w:t>30m</w:t>
            </w:r>
            <w:r>
              <w:rPr>
                <w:rFonts w:ascii="Times New Roman" w:hAnsi="Times New Roman" w:eastAsia="Times New Roman" w:cs="Times New Roman"/>
                <w:spacing w:val="8"/>
                <w:position w:val="1"/>
                <w:sz w:val="16"/>
                <w:szCs w:val="16"/>
              </w:rPr>
              <w:t xml:space="preserve">3 </w:t>
            </w:r>
            <w:r>
              <w:rPr>
                <w:spacing w:val="8"/>
                <w:position w:val="1"/>
              </w:rPr>
              <w:t>）</w:t>
            </w:r>
            <w:r>
              <w:rPr>
                <w:spacing w:val="8"/>
              </w:rPr>
              <w:t>。改</w:t>
            </w:r>
            <w:r>
              <w:rPr>
                <w:spacing w:val="7"/>
              </w:rPr>
              <w:t>扩建后储油罐区布设</w:t>
            </w:r>
            <w:r>
              <w:rPr>
                <w:spacing w:val="-27"/>
              </w:rPr>
              <w:t xml:space="preserve"> </w:t>
            </w:r>
            <w:r>
              <w:rPr>
                <w:rFonts w:ascii="Times New Roman" w:hAnsi="Times New Roman" w:eastAsia="Times New Roman" w:cs="Times New Roman"/>
                <w:spacing w:val="7"/>
              </w:rPr>
              <w:t>1</w:t>
            </w:r>
            <w:r>
              <w:rPr>
                <w:spacing w:val="3"/>
              </w:rPr>
              <w:t>个</w:t>
            </w:r>
            <w:r>
              <w:rPr>
                <w:spacing w:val="-46"/>
              </w:rPr>
              <w:t xml:space="preserve"> </w:t>
            </w:r>
            <w:r>
              <w:rPr>
                <w:rFonts w:ascii="Times New Roman" w:hAnsi="Times New Roman" w:eastAsia="Times New Roman" w:cs="Times New Roman"/>
                <w:spacing w:val="3"/>
              </w:rPr>
              <w:t>30m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rPr>
              <w:t>92#</w:t>
            </w:r>
            <w:r>
              <w:rPr>
                <w:spacing w:val="3"/>
              </w:rPr>
              <w:t>汽油罐，</w:t>
            </w:r>
            <w:r>
              <w:rPr>
                <w:rFonts w:ascii="Times New Roman" w:hAnsi="Times New Roman" w:eastAsia="Times New Roman" w:cs="Times New Roman"/>
                <w:spacing w:val="3"/>
              </w:rPr>
              <w:t xml:space="preserve">1 </w:t>
            </w:r>
            <w:r>
              <w:rPr>
                <w:spacing w:val="3"/>
              </w:rPr>
              <w:t>个</w:t>
            </w:r>
            <w:r>
              <w:rPr>
                <w:spacing w:val="-50"/>
              </w:rPr>
              <w:t xml:space="preserve"> </w:t>
            </w:r>
            <w:r>
              <w:rPr>
                <w:rFonts w:ascii="Times New Roman" w:hAnsi="Times New Roman" w:eastAsia="Times New Roman" w:cs="Times New Roman"/>
                <w:spacing w:val="3"/>
              </w:rPr>
              <w:t>30m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rPr>
              <w:t>95#</w:t>
            </w:r>
            <w:r>
              <w:rPr>
                <w:spacing w:val="3"/>
              </w:rPr>
              <w:t>汽油罐，</w:t>
            </w:r>
            <w:r>
              <w:rPr>
                <w:rFonts w:ascii="Times New Roman" w:hAnsi="Times New Roman" w:eastAsia="Times New Roman" w:cs="Times New Roman"/>
                <w:spacing w:val="3"/>
              </w:rPr>
              <w:t xml:space="preserve">1 </w:t>
            </w:r>
            <w:r>
              <w:rPr>
                <w:spacing w:val="3"/>
              </w:rPr>
              <w:t>个</w:t>
            </w:r>
            <w:r>
              <w:rPr>
                <w:spacing w:val="-49"/>
              </w:rPr>
              <w:t xml:space="preserve"> </w:t>
            </w:r>
            <w:r>
              <w:rPr>
                <w:rFonts w:ascii="Times New Roman" w:hAnsi="Times New Roman" w:eastAsia="Times New Roman" w:cs="Times New Roman"/>
                <w:spacing w:val="3"/>
              </w:rPr>
              <w:t>30m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rPr>
              <w:t>98#</w:t>
            </w:r>
            <w:r>
              <w:rPr>
                <w:spacing w:val="3"/>
              </w:rPr>
              <w:t>汽油罐，油罐总罐容为</w:t>
            </w:r>
            <w:r>
              <w:rPr>
                <w:spacing w:val="-45"/>
              </w:rPr>
              <w:t xml:space="preserve"> </w:t>
            </w:r>
            <w:r>
              <w:rPr>
                <w:rFonts w:ascii="Times New Roman" w:hAnsi="Times New Roman" w:eastAsia="Times New Roman" w:cs="Times New Roman"/>
                <w:spacing w:val="3"/>
              </w:rPr>
              <w:t>90m</w:t>
            </w:r>
            <w:r>
              <w:rPr>
                <w:rFonts w:ascii="Times New Roman" w:hAnsi="Times New Roman" w:eastAsia="Times New Roman" w:cs="Times New Roman"/>
                <w:spacing w:val="3"/>
                <w:position w:val="8"/>
                <w:sz w:val="16"/>
                <w:szCs w:val="16"/>
              </w:rPr>
              <w:t>3</w:t>
            </w:r>
            <w:r>
              <w:rPr>
                <w:spacing w:val="3"/>
              </w:rPr>
              <w:t>。</w:t>
            </w:r>
          </w:p>
          <w:p w14:paraId="17A9CB3F">
            <w:pPr>
              <w:pStyle w:val="6"/>
              <w:spacing w:before="3" w:line="339" w:lineRule="auto"/>
              <w:ind w:left="114" w:right="102" w:firstLine="515"/>
              <w:jc w:val="both"/>
            </w:pPr>
            <w:r>
              <w:rPr>
                <w:spacing w:val="5"/>
              </w:rPr>
              <w:t>本项目改扩建后，加油站仅储罐区发生变化，主体工程其余区域卸</w:t>
            </w:r>
            <w:r>
              <w:rPr>
                <w:spacing w:val="10"/>
              </w:rPr>
              <w:t>油区、加油区（</w:t>
            </w:r>
            <w:r>
              <w:rPr>
                <w:rFonts w:ascii="Times New Roman" w:hAnsi="Times New Roman" w:eastAsia="Times New Roman" w:cs="Times New Roman"/>
                <w:spacing w:val="10"/>
              </w:rPr>
              <w:t>3</w:t>
            </w:r>
            <w:r>
              <w:rPr>
                <w:spacing w:val="10"/>
              </w:rPr>
              <w:t>座加油岛）及辅助工程、公用工程及</w:t>
            </w:r>
            <w:r>
              <w:rPr>
                <w:spacing w:val="9"/>
              </w:rPr>
              <w:t>环保工程均保持</w:t>
            </w:r>
            <w:r>
              <w:rPr>
                <w:spacing w:val="1"/>
              </w:rPr>
              <w:t>不变。</w:t>
            </w:r>
          </w:p>
          <w:p w14:paraId="1044C975">
            <w:pPr>
              <w:pStyle w:val="6"/>
              <w:spacing w:before="4" w:line="339" w:lineRule="auto"/>
              <w:ind w:left="111" w:right="102" w:firstLine="518"/>
              <w:jc w:val="both"/>
            </w:pPr>
            <w:r>
              <w:rPr>
                <w:spacing w:val="5"/>
              </w:rPr>
              <w:t>本项目位于九龙坡区，项目所在地块位于城市建成区。根据《建设</w:t>
            </w:r>
            <w:r>
              <w:rPr>
                <w:spacing w:val="11"/>
              </w:rPr>
              <w:t>项目环境影响评价分类管理名录（</w:t>
            </w:r>
            <w:r>
              <w:rPr>
                <w:rFonts w:ascii="Times New Roman" w:hAnsi="Times New Roman" w:eastAsia="Times New Roman" w:cs="Times New Roman"/>
                <w:spacing w:val="11"/>
              </w:rPr>
              <w:t xml:space="preserve">2021 </w:t>
            </w:r>
            <w:r>
              <w:rPr>
                <w:spacing w:val="11"/>
              </w:rPr>
              <w:t>年版）》，项目属名录中“五</w:t>
            </w:r>
            <w:r>
              <w:rPr>
                <w:spacing w:val="7"/>
              </w:rPr>
              <w:t>十、社会事业与服务业；</w:t>
            </w:r>
            <w:r>
              <w:rPr>
                <w:rFonts w:ascii="Times New Roman" w:hAnsi="Times New Roman" w:eastAsia="Times New Roman" w:cs="Times New Roman"/>
                <w:spacing w:val="7"/>
              </w:rPr>
              <w:t>119.</w:t>
            </w:r>
            <w:r>
              <w:rPr>
                <w:spacing w:val="7"/>
              </w:rPr>
              <w:t>加油、加气站；城市建成区新建、扩建加</w:t>
            </w:r>
            <w:r>
              <w:rPr>
                <w:spacing w:val="6"/>
              </w:rPr>
              <w:t>油站</w:t>
            </w:r>
            <w:r>
              <w:rPr>
                <w:spacing w:val="-81"/>
              </w:rPr>
              <w:t xml:space="preserve"> </w:t>
            </w:r>
            <w:r>
              <w:rPr>
                <w:spacing w:val="6"/>
              </w:rPr>
              <w:t>”，为环境影响评价报告表类型。</w:t>
            </w:r>
          </w:p>
          <w:p w14:paraId="5A55709D">
            <w:pPr>
              <w:pStyle w:val="6"/>
              <w:spacing w:before="1" w:line="339" w:lineRule="auto"/>
              <w:ind w:left="110" w:right="102" w:firstLine="519"/>
            </w:pPr>
            <w:r>
              <w:rPr>
                <w:spacing w:val="2"/>
              </w:rPr>
              <w:t>本项目计划于</w:t>
            </w:r>
            <w:r>
              <w:rPr>
                <w:spacing w:val="-38"/>
              </w:rPr>
              <w:t xml:space="preserve"> </w:t>
            </w:r>
            <w:r>
              <w:rPr>
                <w:rFonts w:ascii="Times New Roman" w:hAnsi="Times New Roman" w:eastAsia="Times New Roman" w:cs="Times New Roman"/>
                <w:spacing w:val="2"/>
              </w:rPr>
              <w:t xml:space="preserve">2026 </w:t>
            </w:r>
            <w:r>
              <w:rPr>
                <w:spacing w:val="2"/>
              </w:rPr>
              <w:t>年</w:t>
            </w:r>
            <w:r>
              <w:rPr>
                <w:spacing w:val="-54"/>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19"/>
              </w:rPr>
              <w:t xml:space="preserve"> </w:t>
            </w:r>
            <w:r>
              <w:rPr>
                <w:spacing w:val="2"/>
              </w:rPr>
              <w:t>月动工建设，于</w:t>
            </w:r>
            <w:r>
              <w:rPr>
                <w:spacing w:val="-55"/>
              </w:rPr>
              <w:t xml:space="preserve"> </w:t>
            </w:r>
            <w:r>
              <w:rPr>
                <w:rFonts w:ascii="Times New Roman" w:hAnsi="Times New Roman" w:eastAsia="Times New Roman" w:cs="Times New Roman"/>
                <w:spacing w:val="2"/>
              </w:rPr>
              <w:t xml:space="preserve">2026 </w:t>
            </w:r>
            <w:r>
              <w:rPr>
                <w:spacing w:val="2"/>
              </w:rPr>
              <w:t>年</w:t>
            </w:r>
            <w:r>
              <w:rPr>
                <w:spacing w:val="-48"/>
              </w:rPr>
              <w:t xml:space="preserve"> </w:t>
            </w:r>
            <w:r>
              <w:rPr>
                <w:rFonts w:ascii="Times New Roman" w:hAnsi="Times New Roman" w:eastAsia="Times New Roman" w:cs="Times New Roman"/>
                <w:spacing w:val="2"/>
              </w:rPr>
              <w:t>6</w:t>
            </w:r>
            <w:r>
              <w:rPr>
                <w:rFonts w:ascii="Times New Roman" w:hAnsi="Times New Roman" w:eastAsia="Times New Roman" w:cs="Times New Roman"/>
                <w:spacing w:val="21"/>
              </w:rPr>
              <w:t xml:space="preserve"> </w:t>
            </w:r>
            <w:r>
              <w:rPr>
                <w:spacing w:val="2"/>
              </w:rPr>
              <w:t>月改造完成并投</w:t>
            </w:r>
            <w:r>
              <w:rPr>
                <w:spacing w:val="4"/>
              </w:rPr>
              <w:t>产运行。</w:t>
            </w:r>
          </w:p>
          <w:p w14:paraId="2D1A1BC6">
            <w:pPr>
              <w:pStyle w:val="6"/>
              <w:spacing w:before="1" w:line="224" w:lineRule="auto"/>
              <w:ind w:left="106"/>
            </w:pPr>
            <w:r>
              <w:rPr>
                <w:rFonts w:ascii="Times New Roman" w:hAnsi="Times New Roman" w:eastAsia="Times New Roman" w:cs="Times New Roman"/>
                <w:b/>
                <w:bCs/>
                <w:spacing w:val="4"/>
              </w:rPr>
              <w:t xml:space="preserve">2.1.2 </w:t>
            </w:r>
            <w:r>
              <w:rPr>
                <w:b/>
                <w:bCs/>
                <w:spacing w:val="4"/>
              </w:rPr>
              <w:t>评价构思</w:t>
            </w:r>
          </w:p>
        </w:tc>
      </w:tr>
    </w:tbl>
    <w:p w14:paraId="783E9934">
      <w:pPr>
        <w:pStyle w:val="2"/>
        <w:rPr>
          <w:sz w:val="21"/>
        </w:rPr>
      </w:pPr>
    </w:p>
    <w:p w14:paraId="417789B3">
      <w:pPr>
        <w:rPr>
          <w:sz w:val="21"/>
          <w:szCs w:val="21"/>
        </w:rPr>
        <w:sectPr>
          <w:footerReference r:id="rId33" w:type="default"/>
          <w:pgSz w:w="11906" w:h="16839"/>
          <w:pgMar w:top="400" w:right="1451" w:bottom="1009" w:left="1451" w:header="0" w:footer="770" w:gutter="0"/>
          <w:cols w:space="720" w:num="1"/>
        </w:sectPr>
      </w:pPr>
    </w:p>
    <w:p w14:paraId="17814837">
      <w:pPr>
        <w:spacing w:before="19"/>
      </w:pPr>
    </w:p>
    <w:p w14:paraId="21D5D651">
      <w:pPr>
        <w:spacing w:before="19"/>
      </w:pPr>
    </w:p>
    <w:p w14:paraId="6D9A02E1">
      <w:pPr>
        <w:spacing w:before="19"/>
      </w:pPr>
    </w:p>
    <w:p w14:paraId="58285C06">
      <w:pPr>
        <w:spacing w:before="18"/>
      </w:pPr>
    </w:p>
    <w:p w14:paraId="678E4594">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21A54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47" w:hRule="atLeast"/>
        </w:trPr>
        <w:tc>
          <w:tcPr>
            <w:tcW w:w="831" w:type="dxa"/>
            <w:tcBorders>
              <w:right w:val="single" w:color="000000" w:sz="2" w:space="0"/>
            </w:tcBorders>
            <w:vAlign w:val="top"/>
          </w:tcPr>
          <w:p w14:paraId="2B247959">
            <w:pPr>
              <w:rPr>
                <w:rFonts w:ascii="Arial"/>
                <w:sz w:val="21"/>
              </w:rPr>
            </w:pPr>
          </w:p>
        </w:tc>
        <w:tc>
          <w:tcPr>
            <w:tcW w:w="8157" w:type="dxa"/>
            <w:tcBorders>
              <w:left w:val="single" w:color="000000" w:sz="2" w:space="0"/>
            </w:tcBorders>
            <w:vAlign w:val="top"/>
          </w:tcPr>
          <w:p w14:paraId="0A5DC15D">
            <w:pPr>
              <w:pStyle w:val="6"/>
              <w:spacing w:before="149" w:line="340" w:lineRule="auto"/>
              <w:ind w:left="110" w:right="102" w:firstLine="524"/>
              <w:jc w:val="both"/>
            </w:pPr>
            <w:r>
              <w:rPr>
                <w:spacing w:val="-4"/>
              </w:rPr>
              <w:t>九中路加油站前身为田坝加油站，成立于</w:t>
            </w:r>
            <w:r>
              <w:rPr>
                <w:spacing w:val="-30"/>
              </w:rPr>
              <w:t xml:space="preserve"> </w:t>
            </w:r>
            <w:r>
              <w:rPr>
                <w:rFonts w:ascii="Times New Roman" w:hAnsi="Times New Roman" w:eastAsia="Times New Roman" w:cs="Times New Roman"/>
                <w:spacing w:val="-4"/>
              </w:rPr>
              <w:t>1995</w:t>
            </w:r>
            <w:r>
              <w:rPr>
                <w:rFonts w:ascii="Times New Roman" w:hAnsi="Times New Roman" w:eastAsia="Times New Roman" w:cs="Times New Roman"/>
                <w:spacing w:val="15"/>
                <w:w w:val="101"/>
              </w:rPr>
              <w:t xml:space="preserve"> </w:t>
            </w:r>
            <w:r>
              <w:rPr>
                <w:spacing w:val="-4"/>
              </w:rPr>
              <w:t>年</w:t>
            </w:r>
            <w:r>
              <w:rPr>
                <w:spacing w:val="-45"/>
              </w:rPr>
              <w:t xml:space="preserve"> </w:t>
            </w:r>
            <w:r>
              <w:rPr>
                <w:rFonts w:ascii="Times New Roman" w:hAnsi="Times New Roman" w:eastAsia="Times New Roman" w:cs="Times New Roman"/>
                <w:spacing w:val="-4"/>
              </w:rPr>
              <w:t>8</w:t>
            </w:r>
            <w:r>
              <w:rPr>
                <w:rFonts w:ascii="Times New Roman" w:hAnsi="Times New Roman" w:eastAsia="Times New Roman" w:cs="Times New Roman"/>
                <w:spacing w:val="21"/>
              </w:rPr>
              <w:t xml:space="preserve"> </w:t>
            </w:r>
            <w:r>
              <w:rPr>
                <w:spacing w:val="-4"/>
              </w:rPr>
              <w:t>月</w:t>
            </w:r>
            <w:r>
              <w:rPr>
                <w:spacing w:val="-50"/>
              </w:rPr>
              <w:t xml:space="preserve"> </w:t>
            </w:r>
            <w:r>
              <w:rPr>
                <w:rFonts w:ascii="Times New Roman" w:hAnsi="Times New Roman" w:eastAsia="Times New Roman" w:cs="Times New Roman"/>
                <w:spacing w:val="-4"/>
              </w:rPr>
              <w:t>9</w:t>
            </w:r>
            <w:r>
              <w:rPr>
                <w:rFonts w:ascii="Times New Roman" w:hAnsi="Times New Roman" w:eastAsia="Times New Roman" w:cs="Times New Roman"/>
                <w:spacing w:val="57"/>
                <w:w w:val="101"/>
              </w:rPr>
              <w:t xml:space="preserve"> </w:t>
            </w:r>
            <w:r>
              <w:rPr>
                <w:spacing w:val="-4"/>
              </w:rPr>
              <w:t>日，较《中</w:t>
            </w:r>
            <w:r>
              <w:rPr>
                <w:spacing w:val="9"/>
              </w:rPr>
              <w:t>华人民共和国环境影响评价法》</w:t>
            </w:r>
            <w:r>
              <w:rPr>
                <w:spacing w:val="-94"/>
              </w:rPr>
              <w:t xml:space="preserve"> </w:t>
            </w:r>
            <w:r>
              <w:rPr>
                <w:spacing w:val="9"/>
              </w:rPr>
              <w:t>（</w:t>
            </w:r>
            <w:r>
              <w:rPr>
                <w:rFonts w:ascii="Times New Roman" w:hAnsi="Times New Roman" w:eastAsia="Times New Roman" w:cs="Times New Roman"/>
                <w:spacing w:val="9"/>
              </w:rPr>
              <w:t xml:space="preserve">2003 </w:t>
            </w:r>
            <w:r>
              <w:rPr>
                <w:spacing w:val="9"/>
              </w:rPr>
              <w:t>年</w:t>
            </w:r>
            <w:r>
              <w:rPr>
                <w:spacing w:val="-44"/>
              </w:rPr>
              <w:t xml:space="preserve"> </w:t>
            </w:r>
            <w:r>
              <w:rPr>
                <w:rFonts w:ascii="Times New Roman" w:hAnsi="Times New Roman" w:eastAsia="Times New Roman" w:cs="Times New Roman"/>
                <w:spacing w:val="9"/>
              </w:rPr>
              <w:t>9</w:t>
            </w:r>
            <w:r>
              <w:rPr>
                <w:rFonts w:ascii="Times New Roman" w:hAnsi="Times New Roman" w:eastAsia="Times New Roman" w:cs="Times New Roman"/>
                <w:spacing w:val="21"/>
              </w:rPr>
              <w:t xml:space="preserve"> </w:t>
            </w:r>
            <w:r>
              <w:rPr>
                <w:spacing w:val="9"/>
              </w:rPr>
              <w:t>月实施）颁布实施前已成</w:t>
            </w:r>
            <w:r>
              <w:rPr>
                <w:spacing w:val="8"/>
              </w:rPr>
              <w:t>立，因此未履行相关环评手续。</w:t>
            </w:r>
          </w:p>
          <w:p w14:paraId="3EC60C02">
            <w:pPr>
              <w:pStyle w:val="6"/>
              <w:spacing w:before="8" w:line="339" w:lineRule="auto"/>
              <w:ind w:left="110" w:right="35" w:firstLine="519"/>
            </w:pPr>
            <w:r>
              <w:rPr>
                <w:spacing w:val="9"/>
              </w:rPr>
              <w:t>重庆壳牌能源有限公司于</w:t>
            </w:r>
            <w:r>
              <w:rPr>
                <w:spacing w:val="-52"/>
              </w:rPr>
              <w:t xml:space="preserve"> </w:t>
            </w:r>
            <w:r>
              <w:rPr>
                <w:rFonts w:ascii="Times New Roman" w:hAnsi="Times New Roman" w:eastAsia="Times New Roman" w:cs="Times New Roman"/>
                <w:spacing w:val="9"/>
              </w:rPr>
              <w:t xml:space="preserve">2012 </w:t>
            </w:r>
            <w:r>
              <w:rPr>
                <w:spacing w:val="9"/>
              </w:rPr>
              <w:t>年进行该加油站相关收购</w:t>
            </w:r>
            <w:r>
              <w:rPr>
                <w:spacing w:val="8"/>
              </w:rPr>
              <w:t>工作，并</w:t>
            </w:r>
            <w:r>
              <w:rPr>
                <w:spacing w:val="6"/>
              </w:rPr>
              <w:t>更名为九中路加油站。运行至今，期间先后进行了单层罐改双</w:t>
            </w:r>
            <w:r>
              <w:rPr>
                <w:spacing w:val="5"/>
              </w:rPr>
              <w:t>层罐、增</w:t>
            </w:r>
            <w:r>
              <w:rPr>
                <w:spacing w:val="14"/>
              </w:rPr>
              <w:t>设三次油气回收处理装置等整改工程，油品销售种类及规模未发生变</w:t>
            </w:r>
            <w:r>
              <w:rPr>
                <w:spacing w:val="40"/>
              </w:rPr>
              <w:t>化</w:t>
            </w:r>
            <w:r>
              <w:rPr>
                <w:spacing w:val="-17"/>
              </w:rPr>
              <w:t xml:space="preserve"> </w:t>
            </w:r>
            <w:r>
              <w:rPr>
                <w:spacing w:val="40"/>
              </w:rPr>
              <w:t>。</w:t>
            </w:r>
            <w:r>
              <w:rPr>
                <w:spacing w:val="-46"/>
              </w:rPr>
              <w:t xml:space="preserve"> </w:t>
            </w:r>
            <w:r>
              <w:rPr>
                <w:spacing w:val="40"/>
              </w:rPr>
              <w:t>且运行期间先后办理了</w:t>
            </w:r>
            <w:r>
              <w:rPr>
                <w:spacing w:val="-60"/>
              </w:rPr>
              <w:t xml:space="preserve"> </w:t>
            </w:r>
            <w:r>
              <w:rPr>
                <w:spacing w:val="40"/>
              </w:rPr>
              <w:t>《</w:t>
            </w:r>
            <w:r>
              <w:rPr>
                <w:spacing w:val="-29"/>
              </w:rPr>
              <w:t xml:space="preserve"> </w:t>
            </w:r>
            <w:r>
              <w:rPr>
                <w:spacing w:val="40"/>
              </w:rPr>
              <w:t>排污许可证</w:t>
            </w:r>
            <w:r>
              <w:rPr>
                <w:spacing w:val="-38"/>
              </w:rPr>
              <w:t xml:space="preserve"> </w:t>
            </w:r>
            <w:r>
              <w:rPr>
                <w:spacing w:val="40"/>
              </w:rPr>
              <w:t>》</w:t>
            </w:r>
            <w:r>
              <w:rPr>
                <w:spacing w:val="-55"/>
              </w:rPr>
              <w:t xml:space="preserve"> </w:t>
            </w:r>
            <w:r>
              <w:rPr>
                <w:spacing w:val="40"/>
              </w:rPr>
              <w:t>（</w:t>
            </w:r>
            <w:r>
              <w:rPr>
                <w:spacing w:val="-17"/>
              </w:rPr>
              <w:t xml:space="preserve"> </w:t>
            </w:r>
            <w:r>
              <w:rPr>
                <w:spacing w:val="40"/>
              </w:rPr>
              <w:t>证书编号</w:t>
            </w:r>
            <w:r>
              <w:rPr>
                <w:spacing w:val="-33"/>
              </w:rPr>
              <w:t xml:space="preserve"> </w:t>
            </w:r>
            <w:r>
              <w:rPr>
                <w:spacing w:val="40"/>
              </w:rPr>
              <w:t>：</w:t>
            </w:r>
            <w:r>
              <w:t xml:space="preserve"> </w:t>
            </w:r>
            <w:r>
              <w:rPr>
                <w:rFonts w:ascii="Times New Roman" w:hAnsi="Times New Roman" w:eastAsia="Times New Roman" w:cs="Times New Roman"/>
                <w:spacing w:val="9"/>
              </w:rPr>
              <w:t>915000000542997817001Q</w:t>
            </w:r>
            <w:r>
              <w:rPr>
                <w:spacing w:val="9"/>
              </w:rPr>
              <w:t>）及风险评估、应急预案备案手续（风评备</w:t>
            </w:r>
            <w:r>
              <w:rPr>
                <w:spacing w:val="3"/>
              </w:rPr>
              <w:t>案编号：</w:t>
            </w:r>
            <w:r>
              <w:rPr>
                <w:rFonts w:ascii="Times New Roman" w:hAnsi="Times New Roman" w:eastAsia="Times New Roman" w:cs="Times New Roman"/>
                <w:spacing w:val="3"/>
              </w:rPr>
              <w:t>5001072023070006</w:t>
            </w:r>
            <w:r>
              <w:rPr>
                <w:spacing w:val="3"/>
              </w:rPr>
              <w:t>，应急预案备案编号：</w:t>
            </w:r>
            <w:r>
              <w:rPr>
                <w:rFonts w:ascii="Times New Roman" w:hAnsi="Times New Roman" w:eastAsia="Times New Roman" w:cs="Times New Roman"/>
                <w:spacing w:val="3"/>
              </w:rPr>
              <w:t>500107-2023-024-L</w:t>
            </w:r>
            <w:r>
              <w:rPr>
                <w:spacing w:val="-59"/>
                <w:w w:val="89"/>
              </w:rPr>
              <w:t>），</w:t>
            </w:r>
            <w:r>
              <w:rPr>
                <w:spacing w:val="6"/>
              </w:rPr>
              <w:t>其余环保手续齐备。并按照现行环保要求，站内具备废气</w:t>
            </w:r>
            <w:r>
              <w:rPr>
                <w:spacing w:val="5"/>
              </w:rPr>
              <w:t>、废水、噪声</w:t>
            </w:r>
            <w:r>
              <w:rPr>
                <w:spacing w:val="6"/>
              </w:rPr>
              <w:t>污染防治措施，固废进行了妥善处置，日常管理期间均</w:t>
            </w:r>
            <w:r>
              <w:rPr>
                <w:spacing w:val="5"/>
              </w:rPr>
              <w:t>按排污许可证自</w:t>
            </w:r>
            <w:r>
              <w:rPr>
                <w:spacing w:val="9"/>
              </w:rPr>
              <w:t>行监测要求定期进行废气等相关检测，环保措施运行稳定。</w:t>
            </w:r>
          </w:p>
          <w:p w14:paraId="4EC668EE">
            <w:pPr>
              <w:pStyle w:val="6"/>
              <w:spacing w:before="1" w:line="339" w:lineRule="auto"/>
              <w:ind w:left="110" w:right="29" w:firstLine="538"/>
            </w:pPr>
            <w:r>
              <w:rPr>
                <w:spacing w:val="5"/>
              </w:rPr>
              <w:t>因此，本次评价现有工程仅进行环保工程达标性分析，同</w:t>
            </w:r>
            <w:r>
              <w:rPr>
                <w:spacing w:val="4"/>
              </w:rPr>
              <w:t>时针对改</w:t>
            </w:r>
            <w:r>
              <w:rPr>
                <w:spacing w:val="8"/>
              </w:rPr>
              <w:t>扩建后的加油站进行整体废水、废气、噪声及固废污染物排放量核算。</w:t>
            </w:r>
          </w:p>
          <w:p w14:paraId="7890E409">
            <w:pPr>
              <w:pStyle w:val="6"/>
              <w:spacing w:line="227" w:lineRule="auto"/>
              <w:ind w:left="106"/>
            </w:pPr>
            <w:r>
              <w:rPr>
                <w:rFonts w:ascii="Times New Roman" w:hAnsi="Times New Roman" w:eastAsia="Times New Roman" w:cs="Times New Roman"/>
                <w:b/>
                <w:bCs/>
                <w:spacing w:val="5"/>
              </w:rPr>
              <w:t xml:space="preserve">2.2 </w:t>
            </w:r>
            <w:r>
              <w:rPr>
                <w:b/>
                <w:bCs/>
                <w:spacing w:val="5"/>
              </w:rPr>
              <w:t>地理位置与交通</w:t>
            </w:r>
          </w:p>
          <w:p w14:paraId="00AC1593">
            <w:pPr>
              <w:pStyle w:val="6"/>
              <w:spacing w:before="152" w:line="338" w:lineRule="auto"/>
              <w:ind w:left="108" w:right="102" w:firstLine="521"/>
              <w:jc w:val="both"/>
            </w:pPr>
            <w:r>
              <w:rPr>
                <w:spacing w:val="7"/>
              </w:rPr>
              <w:t>本项目位于重庆市九龙坡区石堰村八社</w:t>
            </w:r>
            <w:r>
              <w:rPr>
                <w:rFonts w:ascii="Times New Roman" w:hAnsi="Times New Roman" w:eastAsia="Times New Roman" w:cs="Times New Roman"/>
                <w:spacing w:val="7"/>
              </w:rPr>
              <w:t>(</w:t>
            </w:r>
            <w:r>
              <w:rPr>
                <w:spacing w:val="7"/>
              </w:rPr>
              <w:t>乔鹤佳苑小区旁</w:t>
            </w:r>
            <w:r>
              <w:rPr>
                <w:rFonts w:ascii="Times New Roman" w:hAnsi="Times New Roman" w:eastAsia="Times New Roman" w:cs="Times New Roman"/>
                <w:spacing w:val="7"/>
              </w:rPr>
              <w:t>)</w:t>
            </w:r>
            <w:r>
              <w:rPr>
                <w:rFonts w:ascii="Times New Roman" w:hAnsi="Times New Roman" w:eastAsia="Times New Roman" w:cs="Times New Roman"/>
                <w:spacing w:val="-26"/>
              </w:rPr>
              <w:t xml:space="preserve"> </w:t>
            </w:r>
            <w:r>
              <w:rPr>
                <w:spacing w:val="7"/>
              </w:rPr>
              <w:t>，项目北</w:t>
            </w:r>
            <w:r>
              <w:t>侧临近田福路，交通较方便。本项目站区中心坐标为</w:t>
            </w:r>
            <w:r>
              <w:rPr>
                <w:spacing w:val="-30"/>
              </w:rPr>
              <w:t xml:space="preserve"> </w:t>
            </w:r>
            <w:r>
              <w:rPr>
                <w:rFonts w:ascii="Times New Roman" w:hAnsi="Times New Roman" w:eastAsia="Times New Roman" w:cs="Times New Roman"/>
                <w:spacing w:val="-1"/>
              </w:rPr>
              <w:t xml:space="preserve">106 </w:t>
            </w:r>
            <w:r>
              <w:rPr>
                <w:spacing w:val="-1"/>
              </w:rPr>
              <w:t>度</w:t>
            </w:r>
            <w:r>
              <w:rPr>
                <w:spacing w:val="-55"/>
              </w:rPr>
              <w:t xml:space="preserve"> </w:t>
            </w:r>
            <w:r>
              <w:rPr>
                <w:rFonts w:ascii="Times New Roman" w:hAnsi="Times New Roman" w:eastAsia="Times New Roman" w:cs="Times New Roman"/>
                <w:spacing w:val="-1"/>
              </w:rPr>
              <w:t>25</w:t>
            </w:r>
            <w:r>
              <w:rPr>
                <w:rFonts w:ascii="Times New Roman" w:hAnsi="Times New Roman" w:eastAsia="Times New Roman" w:cs="Times New Roman"/>
                <w:spacing w:val="18"/>
                <w:w w:val="101"/>
              </w:rPr>
              <w:t xml:space="preserve"> </w:t>
            </w:r>
            <w:r>
              <w:rPr>
                <w:spacing w:val="-1"/>
              </w:rPr>
              <w:t>分</w:t>
            </w:r>
            <w:r>
              <w:rPr>
                <w:spacing w:val="-48"/>
              </w:rPr>
              <w:t xml:space="preserve"> </w:t>
            </w:r>
            <w:r>
              <w:rPr>
                <w:rFonts w:ascii="Times New Roman" w:hAnsi="Times New Roman" w:eastAsia="Times New Roman" w:cs="Times New Roman"/>
                <w:spacing w:val="-1"/>
              </w:rPr>
              <w:t>57.458</w:t>
            </w:r>
            <w:r>
              <w:rPr>
                <w:spacing w:val="2"/>
              </w:rPr>
              <w:t>秒，</w:t>
            </w:r>
            <w:r>
              <w:rPr>
                <w:rFonts w:ascii="Times New Roman" w:hAnsi="Times New Roman" w:eastAsia="Times New Roman" w:cs="Times New Roman"/>
                <w:spacing w:val="2"/>
              </w:rPr>
              <w:t xml:space="preserve">29 </w:t>
            </w:r>
            <w:r>
              <w:rPr>
                <w:spacing w:val="2"/>
              </w:rPr>
              <w:t>度</w:t>
            </w:r>
            <w:r>
              <w:rPr>
                <w:spacing w:val="-45"/>
              </w:rPr>
              <w:t xml:space="preserve"> </w:t>
            </w:r>
            <w:r>
              <w:rPr>
                <w:rFonts w:ascii="Times New Roman" w:hAnsi="Times New Roman" w:eastAsia="Times New Roman" w:cs="Times New Roman"/>
                <w:spacing w:val="2"/>
              </w:rPr>
              <w:t>27</w:t>
            </w:r>
            <w:r>
              <w:rPr>
                <w:rFonts w:ascii="Times New Roman" w:hAnsi="Times New Roman" w:eastAsia="Times New Roman" w:cs="Times New Roman"/>
                <w:spacing w:val="18"/>
                <w:w w:val="101"/>
              </w:rPr>
              <w:t xml:space="preserve"> </w:t>
            </w:r>
            <w:r>
              <w:rPr>
                <w:spacing w:val="2"/>
              </w:rPr>
              <w:t>分</w:t>
            </w:r>
            <w:r>
              <w:rPr>
                <w:spacing w:val="-48"/>
              </w:rPr>
              <w:t xml:space="preserve"> </w:t>
            </w:r>
            <w:r>
              <w:rPr>
                <w:rFonts w:ascii="Times New Roman" w:hAnsi="Times New Roman" w:eastAsia="Times New Roman" w:cs="Times New Roman"/>
                <w:spacing w:val="2"/>
              </w:rPr>
              <w:t>52.249</w:t>
            </w:r>
            <w:r>
              <w:rPr>
                <w:rFonts w:ascii="Times New Roman" w:hAnsi="Times New Roman" w:eastAsia="Times New Roman" w:cs="Times New Roman"/>
                <w:spacing w:val="14"/>
              </w:rPr>
              <w:t xml:space="preserve"> </w:t>
            </w:r>
            <w:r>
              <w:rPr>
                <w:spacing w:val="2"/>
              </w:rPr>
              <w:t>秒。</w:t>
            </w:r>
          </w:p>
          <w:p w14:paraId="6B85AF7C">
            <w:pPr>
              <w:pStyle w:val="6"/>
              <w:spacing w:before="7" w:line="226" w:lineRule="auto"/>
              <w:ind w:left="106"/>
            </w:pPr>
            <w:r>
              <w:rPr>
                <w:rFonts w:ascii="Times New Roman" w:hAnsi="Times New Roman" w:eastAsia="Times New Roman" w:cs="Times New Roman"/>
                <w:b/>
                <w:bCs/>
                <w:spacing w:val="5"/>
              </w:rPr>
              <w:t xml:space="preserve">2.3 </w:t>
            </w:r>
            <w:r>
              <w:rPr>
                <w:b/>
                <w:bCs/>
                <w:spacing w:val="5"/>
              </w:rPr>
              <w:t>项目建设内容</w:t>
            </w:r>
          </w:p>
          <w:p w14:paraId="70FFF761">
            <w:pPr>
              <w:pStyle w:val="6"/>
              <w:spacing w:before="155" w:line="225" w:lineRule="auto"/>
              <w:ind w:left="106"/>
            </w:pPr>
            <w:r>
              <w:rPr>
                <w:rFonts w:ascii="Times New Roman" w:hAnsi="Times New Roman" w:eastAsia="Times New Roman" w:cs="Times New Roman"/>
                <w:b/>
                <w:bCs/>
                <w:spacing w:val="5"/>
              </w:rPr>
              <w:t xml:space="preserve">2.3.1 </w:t>
            </w:r>
            <w:r>
              <w:rPr>
                <w:b/>
                <w:bCs/>
                <w:spacing w:val="5"/>
              </w:rPr>
              <w:t>项目基本情况</w:t>
            </w:r>
          </w:p>
          <w:p w14:paraId="66625FDE">
            <w:pPr>
              <w:pStyle w:val="6"/>
              <w:spacing w:before="154" w:line="340" w:lineRule="auto"/>
              <w:ind w:left="113" w:right="119" w:firstLine="526"/>
            </w:pPr>
            <w:r>
              <w:rPr>
                <w:spacing w:val="9"/>
              </w:rPr>
              <w:t>（</w:t>
            </w:r>
            <w:r>
              <w:rPr>
                <w:rFonts w:ascii="Times New Roman" w:hAnsi="Times New Roman" w:eastAsia="Times New Roman" w:cs="Times New Roman"/>
                <w:spacing w:val="9"/>
              </w:rPr>
              <w:t>1</w:t>
            </w:r>
            <w:r>
              <w:rPr>
                <w:spacing w:val="9"/>
              </w:rPr>
              <w:t>）项目名称：重庆壳牌能源有限公司九中路加油站柴改汽油罐</w:t>
            </w:r>
            <w:r>
              <w:rPr>
                <w:spacing w:val="6"/>
              </w:rPr>
              <w:t>更换项目</w:t>
            </w:r>
          </w:p>
          <w:p w14:paraId="0038CEC5">
            <w:pPr>
              <w:pStyle w:val="6"/>
              <w:spacing w:line="219" w:lineRule="auto"/>
              <w:ind w:left="640"/>
              <w:rPr>
                <w:rFonts w:ascii="Times New Roman" w:hAnsi="Times New Roman" w:eastAsia="Times New Roman" w:cs="Times New Roman"/>
              </w:rPr>
            </w:pPr>
            <w:r>
              <w:rPr>
                <w:spacing w:val="8"/>
              </w:rPr>
              <w:t>（</w:t>
            </w:r>
            <w:r>
              <w:rPr>
                <w:rFonts w:ascii="Times New Roman" w:hAnsi="Times New Roman" w:eastAsia="Times New Roman" w:cs="Times New Roman"/>
                <w:spacing w:val="8"/>
              </w:rPr>
              <w:t>2</w:t>
            </w:r>
            <w:r>
              <w:rPr>
                <w:spacing w:val="8"/>
              </w:rPr>
              <w:t>）项目地点：重庆市九龙坡区石堰村八社</w:t>
            </w:r>
            <w:r>
              <w:rPr>
                <w:rFonts w:ascii="Times New Roman" w:hAnsi="Times New Roman" w:eastAsia="Times New Roman" w:cs="Times New Roman"/>
                <w:spacing w:val="8"/>
              </w:rPr>
              <w:t>(</w:t>
            </w:r>
            <w:r>
              <w:rPr>
                <w:spacing w:val="8"/>
              </w:rPr>
              <w:t>乔鹤佳苑小区旁</w:t>
            </w:r>
            <w:r>
              <w:rPr>
                <w:rFonts w:ascii="Times New Roman" w:hAnsi="Times New Roman" w:eastAsia="Times New Roman" w:cs="Times New Roman"/>
                <w:spacing w:val="8"/>
              </w:rPr>
              <w:t>)</w:t>
            </w:r>
          </w:p>
          <w:p w14:paraId="540CCF69">
            <w:pPr>
              <w:pStyle w:val="6"/>
              <w:spacing w:before="162" w:line="226" w:lineRule="auto"/>
              <w:ind w:left="640"/>
            </w:pPr>
            <w:r>
              <w:rPr>
                <w:spacing w:val="7"/>
              </w:rPr>
              <w:t>（</w:t>
            </w:r>
            <w:r>
              <w:rPr>
                <w:rFonts w:ascii="Times New Roman" w:hAnsi="Times New Roman" w:eastAsia="Times New Roman" w:cs="Times New Roman"/>
                <w:spacing w:val="7"/>
              </w:rPr>
              <w:t>3</w:t>
            </w:r>
            <w:r>
              <w:rPr>
                <w:spacing w:val="7"/>
              </w:rPr>
              <w:t>）项目性质：改扩建</w:t>
            </w:r>
          </w:p>
          <w:p w14:paraId="37549213">
            <w:pPr>
              <w:pStyle w:val="6"/>
              <w:spacing w:before="155" w:line="225" w:lineRule="auto"/>
              <w:ind w:left="640"/>
            </w:pPr>
            <w:r>
              <w:rPr>
                <w:spacing w:val="7"/>
              </w:rPr>
              <w:t>（</w:t>
            </w:r>
            <w:r>
              <w:rPr>
                <w:rFonts w:ascii="Times New Roman" w:hAnsi="Times New Roman" w:eastAsia="Times New Roman" w:cs="Times New Roman"/>
                <w:spacing w:val="7"/>
              </w:rPr>
              <w:t>4</w:t>
            </w:r>
            <w:r>
              <w:rPr>
                <w:spacing w:val="7"/>
              </w:rPr>
              <w:t>）行业类别：</w:t>
            </w:r>
            <w:r>
              <w:rPr>
                <w:rFonts w:ascii="Times New Roman" w:hAnsi="Times New Roman" w:eastAsia="Times New Roman" w:cs="Times New Roman"/>
                <w:spacing w:val="7"/>
              </w:rPr>
              <w:t xml:space="preserve">F5265 </w:t>
            </w:r>
            <w:r>
              <w:rPr>
                <w:spacing w:val="7"/>
              </w:rPr>
              <w:t>机动车燃油零售</w:t>
            </w:r>
          </w:p>
          <w:p w14:paraId="102C6A3F">
            <w:pPr>
              <w:pStyle w:val="6"/>
              <w:spacing w:before="155" w:line="226" w:lineRule="auto"/>
              <w:ind w:left="640"/>
            </w:pPr>
            <w:r>
              <w:rPr>
                <w:spacing w:val="8"/>
              </w:rPr>
              <w:t>（</w:t>
            </w:r>
            <w:r>
              <w:rPr>
                <w:rFonts w:ascii="Times New Roman" w:hAnsi="Times New Roman" w:eastAsia="Times New Roman" w:cs="Times New Roman"/>
                <w:spacing w:val="8"/>
              </w:rPr>
              <w:t>5</w:t>
            </w:r>
            <w:r>
              <w:rPr>
                <w:spacing w:val="8"/>
              </w:rPr>
              <w:t>）建设单位：重庆壳牌能源有限公司</w:t>
            </w:r>
          </w:p>
          <w:p w14:paraId="54B66A93">
            <w:pPr>
              <w:pStyle w:val="6"/>
              <w:spacing w:before="153" w:line="226" w:lineRule="auto"/>
              <w:ind w:left="640"/>
            </w:pPr>
            <w:r>
              <w:rPr>
                <w:spacing w:val="7"/>
              </w:rPr>
              <w:t>（</w:t>
            </w:r>
            <w:r>
              <w:rPr>
                <w:rFonts w:ascii="Times New Roman" w:hAnsi="Times New Roman" w:eastAsia="Times New Roman" w:cs="Times New Roman"/>
                <w:spacing w:val="7"/>
              </w:rPr>
              <w:t>6</w:t>
            </w:r>
            <w:r>
              <w:rPr>
                <w:spacing w:val="7"/>
              </w:rPr>
              <w:t>）劳动定员：不新增，</w:t>
            </w:r>
            <w:r>
              <w:rPr>
                <w:rFonts w:ascii="Times New Roman" w:hAnsi="Times New Roman" w:eastAsia="Times New Roman" w:cs="Times New Roman"/>
                <w:spacing w:val="7"/>
              </w:rPr>
              <w:t xml:space="preserve">10 </w:t>
            </w:r>
            <w:r>
              <w:rPr>
                <w:spacing w:val="7"/>
              </w:rPr>
              <w:t>人，含安全环保管理人员</w:t>
            </w:r>
            <w:r>
              <w:rPr>
                <w:spacing w:val="-27"/>
              </w:rPr>
              <w:t xml:space="preserve"> </w:t>
            </w:r>
            <w:r>
              <w:rPr>
                <w:rFonts w:ascii="Times New Roman" w:hAnsi="Times New Roman" w:eastAsia="Times New Roman" w:cs="Times New Roman"/>
                <w:spacing w:val="7"/>
              </w:rPr>
              <w:t xml:space="preserve">1 </w:t>
            </w:r>
            <w:r>
              <w:rPr>
                <w:spacing w:val="7"/>
              </w:rPr>
              <w:t>人</w:t>
            </w:r>
          </w:p>
          <w:p w14:paraId="6FA23E7D">
            <w:pPr>
              <w:pStyle w:val="6"/>
              <w:spacing w:before="155" w:line="226" w:lineRule="auto"/>
              <w:ind w:left="640"/>
              <w:rPr>
                <w:rFonts w:ascii="Times New Roman" w:hAnsi="Times New Roman" w:eastAsia="Times New Roman" w:cs="Times New Roman"/>
              </w:rPr>
            </w:pPr>
            <w:r>
              <w:rPr>
                <w:spacing w:val="5"/>
              </w:rPr>
              <w:t>（</w:t>
            </w:r>
            <w:r>
              <w:rPr>
                <w:rFonts w:ascii="Times New Roman" w:hAnsi="Times New Roman" w:eastAsia="Times New Roman" w:cs="Times New Roman"/>
                <w:spacing w:val="5"/>
              </w:rPr>
              <w:t>7</w:t>
            </w:r>
            <w:r>
              <w:rPr>
                <w:spacing w:val="5"/>
              </w:rPr>
              <w:t>）工作制度：每天</w:t>
            </w:r>
            <w:r>
              <w:rPr>
                <w:spacing w:val="-31"/>
              </w:rPr>
              <w:t xml:space="preserve"> </w:t>
            </w:r>
            <w:r>
              <w:rPr>
                <w:rFonts w:ascii="Times New Roman" w:hAnsi="Times New Roman" w:eastAsia="Times New Roman" w:cs="Times New Roman"/>
                <w:spacing w:val="5"/>
              </w:rPr>
              <w:t xml:space="preserve">3 </w:t>
            </w:r>
            <w:r>
              <w:rPr>
                <w:spacing w:val="5"/>
              </w:rPr>
              <w:t>班，每班</w:t>
            </w:r>
            <w:r>
              <w:rPr>
                <w:spacing w:val="-44"/>
              </w:rPr>
              <w:t xml:space="preserve"> </w:t>
            </w:r>
            <w:r>
              <w:rPr>
                <w:rFonts w:ascii="Times New Roman" w:hAnsi="Times New Roman" w:eastAsia="Times New Roman" w:cs="Times New Roman"/>
                <w:spacing w:val="5"/>
              </w:rPr>
              <w:t>8h</w:t>
            </w:r>
            <w:r>
              <w:rPr>
                <w:rFonts w:ascii="Times New Roman" w:hAnsi="Times New Roman" w:eastAsia="Times New Roman" w:cs="Times New Roman"/>
                <w:spacing w:val="18"/>
                <w:w w:val="101"/>
              </w:rPr>
              <w:t xml:space="preserve"> </w:t>
            </w:r>
            <w:r>
              <w:rPr>
                <w:spacing w:val="5"/>
              </w:rPr>
              <w:t>工作制，年营业</w:t>
            </w:r>
            <w:r>
              <w:rPr>
                <w:spacing w:val="-47"/>
              </w:rPr>
              <w:t xml:space="preserve"> </w:t>
            </w:r>
            <w:r>
              <w:rPr>
                <w:rFonts w:ascii="Times New Roman" w:hAnsi="Times New Roman" w:eastAsia="Times New Roman" w:cs="Times New Roman"/>
                <w:spacing w:val="5"/>
              </w:rPr>
              <w:t>365d</w:t>
            </w:r>
          </w:p>
          <w:p w14:paraId="194196B0">
            <w:pPr>
              <w:pStyle w:val="6"/>
              <w:spacing w:before="155" w:line="225" w:lineRule="auto"/>
              <w:ind w:left="640"/>
            </w:pPr>
            <w:r>
              <w:rPr>
                <w:spacing w:val="9"/>
              </w:rPr>
              <w:t>（</w:t>
            </w:r>
            <w:r>
              <w:rPr>
                <w:rFonts w:ascii="Times New Roman" w:hAnsi="Times New Roman" w:eastAsia="Times New Roman" w:cs="Times New Roman"/>
                <w:spacing w:val="9"/>
              </w:rPr>
              <w:t>8</w:t>
            </w:r>
            <w:r>
              <w:rPr>
                <w:spacing w:val="9"/>
              </w:rPr>
              <w:t>）建设规模和内容：本项目不新增占地，不新增建构筑物，在</w:t>
            </w:r>
          </w:p>
        </w:tc>
      </w:tr>
    </w:tbl>
    <w:p w14:paraId="7DB4BDA6">
      <w:pPr>
        <w:pStyle w:val="2"/>
        <w:rPr>
          <w:sz w:val="21"/>
        </w:rPr>
      </w:pPr>
    </w:p>
    <w:p w14:paraId="628E5D08">
      <w:pPr>
        <w:rPr>
          <w:sz w:val="21"/>
          <w:szCs w:val="21"/>
        </w:rPr>
        <w:sectPr>
          <w:footerReference r:id="rId34" w:type="default"/>
          <w:pgSz w:w="11906" w:h="16839"/>
          <w:pgMar w:top="400" w:right="1451" w:bottom="1009" w:left="1451" w:header="0" w:footer="770" w:gutter="0"/>
          <w:cols w:space="720" w:num="1"/>
        </w:sectPr>
      </w:pPr>
    </w:p>
    <w:p w14:paraId="215FD0A5">
      <w:pPr>
        <w:spacing w:before="19"/>
      </w:pPr>
    </w:p>
    <w:p w14:paraId="287D9830">
      <w:pPr>
        <w:spacing w:before="19"/>
      </w:pPr>
    </w:p>
    <w:p w14:paraId="6F1F54B1">
      <w:pPr>
        <w:spacing w:before="19"/>
      </w:pPr>
    </w:p>
    <w:p w14:paraId="1F80B8E2">
      <w:pPr>
        <w:spacing w:before="18"/>
      </w:pPr>
    </w:p>
    <w:p w14:paraId="7E5BB35C">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9"/>
        <w:gridCol w:w="705"/>
        <w:gridCol w:w="1414"/>
        <w:gridCol w:w="4608"/>
        <w:gridCol w:w="1331"/>
        <w:gridCol w:w="91"/>
      </w:tblGrid>
      <w:tr w14:paraId="24878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3" w:hRule="atLeast"/>
        </w:trPr>
        <w:tc>
          <w:tcPr>
            <w:tcW w:w="839" w:type="dxa"/>
            <w:vMerge w:val="restart"/>
            <w:tcBorders>
              <w:top w:val="single" w:color="000000" w:sz="6" w:space="0"/>
              <w:left w:val="single" w:color="000000" w:sz="6" w:space="0"/>
              <w:bottom w:val="nil"/>
            </w:tcBorders>
            <w:vAlign w:val="top"/>
          </w:tcPr>
          <w:p w14:paraId="51A01A4A">
            <w:pPr>
              <w:rPr>
                <w:rFonts w:ascii="Arial"/>
                <w:sz w:val="21"/>
              </w:rPr>
            </w:pPr>
          </w:p>
        </w:tc>
        <w:tc>
          <w:tcPr>
            <w:tcW w:w="8149" w:type="dxa"/>
            <w:gridSpan w:val="5"/>
            <w:tcBorders>
              <w:top w:val="single" w:color="000000" w:sz="6" w:space="0"/>
              <w:right w:val="single" w:color="000000" w:sz="6" w:space="0"/>
            </w:tcBorders>
            <w:vAlign w:val="top"/>
          </w:tcPr>
          <w:p w14:paraId="4415A3F5">
            <w:pPr>
              <w:pStyle w:val="6"/>
              <w:spacing w:before="149" w:line="340" w:lineRule="auto"/>
              <w:ind w:left="102" w:right="102" w:firstLine="6"/>
              <w:jc w:val="both"/>
            </w:pPr>
            <w:r>
              <w:rPr>
                <w:spacing w:val="11"/>
              </w:rPr>
              <w:t>原有工程占地范围内进行油罐更替（将现有</w:t>
            </w:r>
            <w:r>
              <w:rPr>
                <w:spacing w:val="-31"/>
              </w:rPr>
              <w:t xml:space="preserve"> </w:t>
            </w:r>
            <w:r>
              <w:rPr>
                <w:rFonts w:ascii="Times New Roman" w:hAnsi="Times New Roman" w:eastAsia="Times New Roman" w:cs="Times New Roman"/>
                <w:spacing w:val="11"/>
              </w:rPr>
              <w:t>30m</w:t>
            </w:r>
            <w:r>
              <w:rPr>
                <w:spacing w:val="11"/>
              </w:rPr>
              <w:t>³柴油罐更换为</w:t>
            </w:r>
            <w:r>
              <w:rPr>
                <w:spacing w:val="-45"/>
              </w:rPr>
              <w:t xml:space="preserve"> </w:t>
            </w:r>
            <w:r>
              <w:rPr>
                <w:rFonts w:ascii="Times New Roman" w:hAnsi="Times New Roman" w:eastAsia="Times New Roman" w:cs="Times New Roman"/>
                <w:spacing w:val="11"/>
              </w:rPr>
              <w:t>30m</w:t>
            </w:r>
            <w:r>
              <w:rPr>
                <w:spacing w:val="11"/>
              </w:rPr>
              <w:t>³</w:t>
            </w:r>
            <w:r>
              <w:rPr>
                <w:spacing w:val="10"/>
              </w:rPr>
              <w:t>汽油罐）、其余区域卸油区、加油区（</w:t>
            </w:r>
            <w:r>
              <w:rPr>
                <w:rFonts w:ascii="Times New Roman" w:hAnsi="Times New Roman" w:eastAsia="Times New Roman" w:cs="Times New Roman"/>
                <w:spacing w:val="10"/>
              </w:rPr>
              <w:t>3</w:t>
            </w:r>
            <w:r>
              <w:rPr>
                <w:spacing w:val="10"/>
              </w:rPr>
              <w:t>座加油岛）及辅助</w:t>
            </w:r>
            <w:r>
              <w:rPr>
                <w:spacing w:val="9"/>
              </w:rPr>
              <w:t>工程、公用</w:t>
            </w:r>
            <w:r>
              <w:rPr>
                <w:spacing w:val="8"/>
              </w:rPr>
              <w:t>工程及环保工程均保持不变。</w:t>
            </w:r>
          </w:p>
          <w:p w14:paraId="0195902C">
            <w:pPr>
              <w:pStyle w:val="6"/>
              <w:spacing w:before="1" w:line="225" w:lineRule="auto"/>
              <w:ind w:left="632"/>
            </w:pPr>
            <w:r>
              <w:rPr>
                <w:spacing w:val="6"/>
              </w:rPr>
              <w:t>（</w:t>
            </w:r>
            <w:r>
              <w:rPr>
                <w:rFonts w:ascii="Times New Roman" w:hAnsi="Times New Roman" w:eastAsia="Times New Roman" w:cs="Times New Roman"/>
                <w:spacing w:val="6"/>
              </w:rPr>
              <w:t>9</w:t>
            </w:r>
            <w:r>
              <w:rPr>
                <w:spacing w:val="6"/>
              </w:rPr>
              <w:t>）加油站等级</w:t>
            </w:r>
          </w:p>
          <w:p w14:paraId="15A4D066">
            <w:pPr>
              <w:pStyle w:val="6"/>
              <w:spacing w:before="153" w:line="340" w:lineRule="auto"/>
              <w:ind w:left="102" w:right="102" w:firstLine="519"/>
            </w:pPr>
            <w:r>
              <w:rPr>
                <w:spacing w:val="9"/>
              </w:rPr>
              <w:t>本项目改扩建完成后，油罐总罐容为</w:t>
            </w:r>
            <w:r>
              <w:rPr>
                <w:spacing w:val="-40"/>
              </w:rPr>
              <w:t xml:space="preserve"> </w:t>
            </w:r>
            <w:r>
              <w:rPr>
                <w:rFonts w:ascii="Times New Roman" w:hAnsi="Times New Roman" w:eastAsia="Times New Roman" w:cs="Times New Roman"/>
                <w:spacing w:val="9"/>
              </w:rPr>
              <w:t>90m</w:t>
            </w:r>
            <w:r>
              <w:rPr>
                <w:rFonts w:ascii="Times New Roman" w:hAnsi="Times New Roman" w:eastAsia="Times New Roman" w:cs="Times New Roman"/>
                <w:spacing w:val="9"/>
                <w:position w:val="8"/>
                <w:sz w:val="16"/>
                <w:szCs w:val="16"/>
              </w:rPr>
              <w:t>3</w:t>
            </w:r>
            <w:r>
              <w:rPr>
                <w:rFonts w:ascii="Times New Roman" w:hAnsi="Times New Roman" w:eastAsia="Times New Roman" w:cs="Times New Roman"/>
                <w:spacing w:val="-7"/>
                <w:position w:val="8"/>
                <w:sz w:val="16"/>
                <w:szCs w:val="16"/>
              </w:rPr>
              <w:t xml:space="preserve"> </w:t>
            </w:r>
            <w:r>
              <w:rPr>
                <w:spacing w:val="9"/>
              </w:rPr>
              <w:t>，根据《汽车加油加气加氢站技术标准》</w:t>
            </w:r>
            <w:r>
              <w:rPr>
                <w:spacing w:val="-101"/>
              </w:rPr>
              <w:t xml:space="preserve"> </w:t>
            </w:r>
            <w:r>
              <w:rPr>
                <w:spacing w:val="9"/>
              </w:rPr>
              <w:t>（</w:t>
            </w:r>
            <w:r>
              <w:rPr>
                <w:rFonts w:ascii="Times New Roman" w:hAnsi="Times New Roman" w:eastAsia="Times New Roman" w:cs="Times New Roman"/>
              </w:rPr>
              <w:t>GB</w:t>
            </w:r>
            <w:r>
              <w:rPr>
                <w:rFonts w:ascii="Times New Roman" w:hAnsi="Times New Roman" w:eastAsia="Times New Roman" w:cs="Times New Roman"/>
                <w:spacing w:val="9"/>
              </w:rPr>
              <w:t>50156-2021</w:t>
            </w:r>
            <w:r>
              <w:rPr>
                <w:spacing w:val="6"/>
              </w:rPr>
              <w:t>）</w:t>
            </w:r>
            <w:r>
              <w:rPr>
                <w:spacing w:val="-72"/>
              </w:rPr>
              <w:t xml:space="preserve"> </w:t>
            </w:r>
            <w:r>
              <w:rPr>
                <w:spacing w:val="6"/>
              </w:rPr>
              <w:t>，</w:t>
            </w:r>
            <w:r>
              <w:rPr>
                <w:spacing w:val="9"/>
              </w:rPr>
              <w:t>改扩建后的九中路加油站仍为</w:t>
            </w:r>
            <w:r>
              <w:rPr>
                <w:spacing w:val="6"/>
              </w:rPr>
              <w:t>三级加油站。</w:t>
            </w:r>
          </w:p>
          <w:p w14:paraId="170A6D19">
            <w:pPr>
              <w:pStyle w:val="6"/>
              <w:spacing w:before="1" w:line="225" w:lineRule="auto"/>
              <w:ind w:left="632"/>
            </w:pPr>
            <w:r>
              <w:rPr>
                <w:spacing w:val="6"/>
              </w:rPr>
              <w:t>（</w:t>
            </w:r>
            <w:r>
              <w:rPr>
                <w:rFonts w:ascii="Times New Roman" w:hAnsi="Times New Roman" w:eastAsia="Times New Roman" w:cs="Times New Roman"/>
                <w:spacing w:val="6"/>
              </w:rPr>
              <w:t>10</w:t>
            </w:r>
            <w:r>
              <w:rPr>
                <w:spacing w:val="6"/>
              </w:rPr>
              <w:t>）成品油来源</w:t>
            </w:r>
          </w:p>
          <w:p w14:paraId="60FAA26C">
            <w:pPr>
              <w:pStyle w:val="6"/>
              <w:spacing w:before="153" w:line="340" w:lineRule="auto"/>
              <w:ind w:left="102" w:right="105" w:firstLine="519"/>
            </w:pPr>
            <w:r>
              <w:rPr>
                <w:spacing w:val="14"/>
              </w:rPr>
              <w:t>本项目成品油来源保持不变，仍为重庆壳牌能源有限公司运输提</w:t>
            </w:r>
            <w:r>
              <w:rPr>
                <w:spacing w:val="-1"/>
              </w:rPr>
              <w:t>供。</w:t>
            </w:r>
          </w:p>
          <w:p w14:paraId="18407FC4">
            <w:pPr>
              <w:pStyle w:val="6"/>
              <w:spacing w:line="226" w:lineRule="auto"/>
              <w:ind w:left="98"/>
            </w:pPr>
            <w:r>
              <w:rPr>
                <w:rFonts w:ascii="Times New Roman" w:hAnsi="Times New Roman" w:eastAsia="Times New Roman" w:cs="Times New Roman"/>
                <w:b/>
                <w:bCs/>
                <w:spacing w:val="3"/>
              </w:rPr>
              <w:t>2.3.2</w:t>
            </w:r>
            <w:r>
              <w:rPr>
                <w:rFonts w:ascii="Times New Roman" w:hAnsi="Times New Roman" w:eastAsia="Times New Roman" w:cs="Times New Roman"/>
                <w:b/>
                <w:bCs/>
                <w:spacing w:val="17"/>
              </w:rPr>
              <w:t xml:space="preserve"> </w:t>
            </w:r>
            <w:r>
              <w:rPr>
                <w:b/>
                <w:bCs/>
                <w:spacing w:val="3"/>
              </w:rPr>
              <w:t>项目组成</w:t>
            </w:r>
          </w:p>
          <w:p w14:paraId="2CD22AFC">
            <w:pPr>
              <w:pStyle w:val="6"/>
              <w:spacing w:before="152" w:line="340" w:lineRule="auto"/>
              <w:ind w:left="104" w:right="29" w:firstLine="517"/>
            </w:pPr>
            <w:r>
              <w:rPr>
                <w:spacing w:val="8"/>
              </w:rPr>
              <w:t>本项目由主体工程、辅助工程、公用工程、环保工程、储运工程、</w:t>
            </w:r>
            <w:r>
              <w:rPr>
                <w:spacing w:val="9"/>
              </w:rPr>
              <w:t>依托工程等组成，不设置洗车区。项目具体项目组成表见下表。</w:t>
            </w:r>
          </w:p>
          <w:p w14:paraId="423BBF1B">
            <w:pPr>
              <w:pStyle w:val="6"/>
              <w:spacing w:before="1" w:line="222" w:lineRule="auto"/>
              <w:ind w:left="2729"/>
            </w:pPr>
            <w:r>
              <w:rPr>
                <w:spacing w:val="3"/>
              </w:rPr>
              <w:t>表</w:t>
            </w:r>
            <w:r>
              <w:rPr>
                <w:spacing w:val="-49"/>
              </w:rPr>
              <w:t xml:space="preserve"> </w:t>
            </w:r>
            <w:r>
              <w:rPr>
                <w:rFonts w:ascii="Times New Roman" w:hAnsi="Times New Roman" w:eastAsia="Times New Roman" w:cs="Times New Roman"/>
                <w:spacing w:val="3"/>
              </w:rPr>
              <w:t>2.3-</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 xml:space="preserve">1    </w:t>
            </w:r>
            <w:r>
              <w:rPr>
                <w:spacing w:val="3"/>
              </w:rPr>
              <w:t>本项目组成表</w:t>
            </w:r>
          </w:p>
        </w:tc>
      </w:tr>
      <w:tr w14:paraId="4270E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39" w:type="dxa"/>
            <w:vMerge w:val="continue"/>
            <w:tcBorders>
              <w:top w:val="nil"/>
              <w:left w:val="single" w:color="000000" w:sz="6" w:space="0"/>
              <w:bottom w:val="nil"/>
            </w:tcBorders>
            <w:vAlign w:val="top"/>
          </w:tcPr>
          <w:p w14:paraId="6EAFA52A">
            <w:pPr>
              <w:rPr>
                <w:rFonts w:ascii="Arial"/>
                <w:sz w:val="21"/>
              </w:rPr>
            </w:pPr>
          </w:p>
        </w:tc>
        <w:tc>
          <w:tcPr>
            <w:tcW w:w="705" w:type="dxa"/>
            <w:vAlign w:val="top"/>
          </w:tcPr>
          <w:p w14:paraId="1EC527DC">
            <w:pPr>
              <w:pStyle w:val="6"/>
              <w:spacing w:before="39" w:line="221" w:lineRule="auto"/>
              <w:ind w:left="204"/>
              <w:rPr>
                <w:sz w:val="22"/>
                <w:szCs w:val="22"/>
              </w:rPr>
            </w:pPr>
            <w:r>
              <w:rPr>
                <w:spacing w:val="-5"/>
                <w:sz w:val="22"/>
                <w:szCs w:val="22"/>
              </w:rPr>
              <w:t>工程</w:t>
            </w:r>
          </w:p>
          <w:p w14:paraId="3764C7BC">
            <w:pPr>
              <w:pStyle w:val="6"/>
              <w:spacing w:before="19" w:line="203" w:lineRule="auto"/>
              <w:ind w:left="204"/>
              <w:rPr>
                <w:sz w:val="22"/>
                <w:szCs w:val="22"/>
              </w:rPr>
            </w:pPr>
            <w:r>
              <w:rPr>
                <w:spacing w:val="-5"/>
                <w:sz w:val="22"/>
                <w:szCs w:val="22"/>
              </w:rPr>
              <w:t>分类</w:t>
            </w:r>
          </w:p>
        </w:tc>
        <w:tc>
          <w:tcPr>
            <w:tcW w:w="1414" w:type="dxa"/>
            <w:vAlign w:val="top"/>
          </w:tcPr>
          <w:p w14:paraId="01026905">
            <w:pPr>
              <w:pStyle w:val="6"/>
              <w:spacing w:before="181" w:line="221" w:lineRule="auto"/>
              <w:ind w:left="333"/>
              <w:rPr>
                <w:sz w:val="22"/>
                <w:szCs w:val="22"/>
              </w:rPr>
            </w:pPr>
            <w:r>
              <w:rPr>
                <w:spacing w:val="-3"/>
                <w:sz w:val="22"/>
                <w:szCs w:val="22"/>
              </w:rPr>
              <w:t>项目组成</w:t>
            </w:r>
          </w:p>
        </w:tc>
        <w:tc>
          <w:tcPr>
            <w:tcW w:w="4608" w:type="dxa"/>
            <w:vAlign w:val="top"/>
          </w:tcPr>
          <w:p w14:paraId="6274D6E7">
            <w:pPr>
              <w:pStyle w:val="6"/>
              <w:spacing w:before="181" w:line="220" w:lineRule="auto"/>
              <w:ind w:left="1575"/>
              <w:rPr>
                <w:sz w:val="22"/>
                <w:szCs w:val="22"/>
              </w:rPr>
            </w:pPr>
            <w:r>
              <w:rPr>
                <w:spacing w:val="-2"/>
                <w:sz w:val="22"/>
                <w:szCs w:val="22"/>
              </w:rPr>
              <w:t>规模及主要内容</w:t>
            </w:r>
          </w:p>
        </w:tc>
        <w:tc>
          <w:tcPr>
            <w:tcW w:w="1331" w:type="dxa"/>
            <w:vAlign w:val="top"/>
          </w:tcPr>
          <w:p w14:paraId="29F32EC9">
            <w:pPr>
              <w:pStyle w:val="6"/>
              <w:spacing w:before="181" w:line="222" w:lineRule="auto"/>
              <w:ind w:left="466"/>
              <w:rPr>
                <w:sz w:val="22"/>
                <w:szCs w:val="22"/>
              </w:rPr>
            </w:pPr>
            <w:r>
              <w:rPr>
                <w:spacing w:val="-5"/>
                <w:sz w:val="22"/>
                <w:szCs w:val="22"/>
              </w:rPr>
              <w:t>备注</w:t>
            </w:r>
          </w:p>
        </w:tc>
        <w:tc>
          <w:tcPr>
            <w:tcW w:w="91" w:type="dxa"/>
            <w:tcBorders>
              <w:top w:val="nil"/>
              <w:bottom w:val="nil"/>
              <w:right w:val="single" w:color="000000" w:sz="6" w:space="0"/>
            </w:tcBorders>
            <w:vAlign w:val="top"/>
          </w:tcPr>
          <w:p w14:paraId="3C610C72">
            <w:pPr>
              <w:rPr>
                <w:rFonts w:ascii="Arial"/>
                <w:sz w:val="21"/>
              </w:rPr>
            </w:pPr>
          </w:p>
        </w:tc>
      </w:tr>
      <w:tr w14:paraId="43552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839" w:type="dxa"/>
            <w:vMerge w:val="continue"/>
            <w:tcBorders>
              <w:top w:val="nil"/>
              <w:left w:val="single" w:color="000000" w:sz="6" w:space="0"/>
              <w:bottom w:val="nil"/>
            </w:tcBorders>
            <w:vAlign w:val="top"/>
          </w:tcPr>
          <w:p w14:paraId="6B595CF7">
            <w:pPr>
              <w:rPr>
                <w:rFonts w:ascii="Arial"/>
                <w:sz w:val="21"/>
              </w:rPr>
            </w:pPr>
          </w:p>
        </w:tc>
        <w:tc>
          <w:tcPr>
            <w:tcW w:w="705" w:type="dxa"/>
            <w:vMerge w:val="restart"/>
            <w:tcBorders>
              <w:bottom w:val="nil"/>
            </w:tcBorders>
            <w:vAlign w:val="top"/>
          </w:tcPr>
          <w:p w14:paraId="6BE138D5">
            <w:pPr>
              <w:spacing w:line="279" w:lineRule="auto"/>
              <w:rPr>
                <w:rFonts w:ascii="Arial"/>
                <w:sz w:val="21"/>
              </w:rPr>
            </w:pPr>
          </w:p>
          <w:p w14:paraId="7DAA6E04">
            <w:pPr>
              <w:spacing w:line="279" w:lineRule="auto"/>
              <w:rPr>
                <w:rFonts w:ascii="Arial"/>
                <w:sz w:val="21"/>
              </w:rPr>
            </w:pPr>
          </w:p>
          <w:p w14:paraId="0A455877">
            <w:pPr>
              <w:spacing w:line="279" w:lineRule="auto"/>
              <w:rPr>
                <w:rFonts w:ascii="Arial"/>
                <w:sz w:val="21"/>
              </w:rPr>
            </w:pPr>
          </w:p>
          <w:p w14:paraId="1C6609DA">
            <w:pPr>
              <w:spacing w:line="280" w:lineRule="auto"/>
              <w:rPr>
                <w:rFonts w:ascii="Arial"/>
                <w:sz w:val="21"/>
              </w:rPr>
            </w:pPr>
          </w:p>
          <w:p w14:paraId="495566DB">
            <w:pPr>
              <w:spacing w:line="280" w:lineRule="auto"/>
              <w:rPr>
                <w:rFonts w:ascii="Arial"/>
                <w:sz w:val="21"/>
              </w:rPr>
            </w:pPr>
          </w:p>
          <w:p w14:paraId="50AE4171">
            <w:pPr>
              <w:spacing w:line="280" w:lineRule="auto"/>
              <w:rPr>
                <w:rFonts w:ascii="Arial"/>
                <w:sz w:val="21"/>
              </w:rPr>
            </w:pPr>
          </w:p>
          <w:p w14:paraId="6B0158E9">
            <w:pPr>
              <w:pStyle w:val="6"/>
              <w:spacing w:before="71" w:line="242" w:lineRule="auto"/>
              <w:ind w:left="203" w:right="65"/>
              <w:rPr>
                <w:sz w:val="22"/>
                <w:szCs w:val="22"/>
              </w:rPr>
            </w:pPr>
            <w:r>
              <w:rPr>
                <w:spacing w:val="-5"/>
                <w:sz w:val="22"/>
                <w:szCs w:val="22"/>
              </w:rPr>
              <w:t>主体工程</w:t>
            </w:r>
          </w:p>
        </w:tc>
        <w:tc>
          <w:tcPr>
            <w:tcW w:w="1414" w:type="dxa"/>
            <w:vAlign w:val="top"/>
          </w:tcPr>
          <w:p w14:paraId="1A25F7EF">
            <w:pPr>
              <w:spacing w:line="391" w:lineRule="auto"/>
              <w:rPr>
                <w:rFonts w:ascii="Arial"/>
                <w:sz w:val="21"/>
              </w:rPr>
            </w:pPr>
          </w:p>
          <w:p w14:paraId="1B150218">
            <w:pPr>
              <w:pStyle w:val="6"/>
              <w:spacing w:before="71" w:line="222" w:lineRule="auto"/>
              <w:ind w:left="444"/>
              <w:rPr>
                <w:sz w:val="22"/>
                <w:szCs w:val="22"/>
              </w:rPr>
            </w:pPr>
            <w:r>
              <w:rPr>
                <w:spacing w:val="-4"/>
                <w:sz w:val="22"/>
                <w:szCs w:val="22"/>
              </w:rPr>
              <w:t>卸油区</w:t>
            </w:r>
          </w:p>
        </w:tc>
        <w:tc>
          <w:tcPr>
            <w:tcW w:w="4608" w:type="dxa"/>
            <w:vAlign w:val="top"/>
          </w:tcPr>
          <w:p w14:paraId="43EE2A8E">
            <w:pPr>
              <w:pStyle w:val="6"/>
              <w:spacing w:before="38" w:line="230" w:lineRule="auto"/>
              <w:ind w:left="166" w:right="87"/>
              <w:jc w:val="both"/>
              <w:rPr>
                <w:sz w:val="22"/>
                <w:szCs w:val="22"/>
              </w:rPr>
            </w:pPr>
            <w:r>
              <w:rPr>
                <w:spacing w:val="-5"/>
                <w:sz w:val="22"/>
                <w:szCs w:val="22"/>
              </w:rPr>
              <w:t>加油站南侧已设置</w:t>
            </w:r>
            <w:r>
              <w:rPr>
                <w:spacing w:val="-20"/>
                <w:sz w:val="22"/>
                <w:szCs w:val="22"/>
              </w:rPr>
              <w:t xml:space="preserve"> </w:t>
            </w:r>
            <w:r>
              <w:rPr>
                <w:rFonts w:ascii="Times New Roman" w:hAnsi="Times New Roman" w:eastAsia="Times New Roman" w:cs="Times New Roman"/>
                <w:spacing w:val="-5"/>
                <w:sz w:val="22"/>
                <w:szCs w:val="22"/>
              </w:rPr>
              <w:t>1</w:t>
            </w:r>
            <w:r>
              <w:rPr>
                <w:rFonts w:ascii="Times New Roman" w:hAnsi="Times New Roman" w:eastAsia="Times New Roman" w:cs="Times New Roman"/>
                <w:spacing w:val="13"/>
                <w:w w:val="101"/>
                <w:sz w:val="22"/>
                <w:szCs w:val="22"/>
              </w:rPr>
              <w:t xml:space="preserve"> </w:t>
            </w:r>
            <w:r>
              <w:rPr>
                <w:spacing w:val="-5"/>
                <w:sz w:val="22"/>
                <w:szCs w:val="22"/>
              </w:rPr>
              <w:t>处密闭卸油口箱，箱内包</w:t>
            </w:r>
            <w:r>
              <w:rPr>
                <w:spacing w:val="-3"/>
                <w:sz w:val="22"/>
                <w:szCs w:val="22"/>
              </w:rPr>
              <w:t>括</w:t>
            </w:r>
            <w:r>
              <w:rPr>
                <w:spacing w:val="-47"/>
                <w:sz w:val="22"/>
                <w:szCs w:val="22"/>
              </w:rPr>
              <w:t xml:space="preserve"> </w:t>
            </w:r>
            <w:r>
              <w:rPr>
                <w:rFonts w:ascii="Times New Roman" w:hAnsi="Times New Roman" w:eastAsia="Times New Roman" w:cs="Times New Roman"/>
                <w:spacing w:val="-3"/>
                <w:sz w:val="22"/>
                <w:szCs w:val="22"/>
              </w:rPr>
              <w:t xml:space="preserve">3 </w:t>
            </w:r>
            <w:r>
              <w:rPr>
                <w:spacing w:val="-3"/>
                <w:sz w:val="22"/>
                <w:szCs w:val="22"/>
              </w:rPr>
              <w:t>个密闭卸油快速接头（对应改扩建后</w:t>
            </w:r>
            <w:r>
              <w:rPr>
                <w:spacing w:val="-49"/>
                <w:sz w:val="22"/>
                <w:szCs w:val="22"/>
              </w:rPr>
              <w:t xml:space="preserve"> </w:t>
            </w:r>
            <w:r>
              <w:rPr>
                <w:rFonts w:ascii="Times New Roman" w:hAnsi="Times New Roman" w:eastAsia="Times New Roman" w:cs="Times New Roman"/>
                <w:spacing w:val="-3"/>
                <w:sz w:val="22"/>
                <w:szCs w:val="22"/>
              </w:rPr>
              <w:t xml:space="preserve">3 </w:t>
            </w:r>
            <w:r>
              <w:rPr>
                <w:spacing w:val="-3"/>
                <w:sz w:val="22"/>
                <w:szCs w:val="22"/>
              </w:rPr>
              <w:t>种</w:t>
            </w:r>
            <w:r>
              <w:rPr>
                <w:spacing w:val="-4"/>
                <w:sz w:val="22"/>
                <w:szCs w:val="22"/>
              </w:rPr>
              <w:t>标号汽油）及</w:t>
            </w:r>
            <w:r>
              <w:rPr>
                <w:spacing w:val="-23"/>
                <w:sz w:val="22"/>
                <w:szCs w:val="22"/>
              </w:rPr>
              <w:t xml:space="preserve"> </w:t>
            </w:r>
            <w:r>
              <w:rPr>
                <w:rFonts w:ascii="Times New Roman" w:hAnsi="Times New Roman" w:eastAsia="Times New Roman" w:cs="Times New Roman"/>
                <w:spacing w:val="-4"/>
                <w:sz w:val="22"/>
                <w:szCs w:val="22"/>
              </w:rPr>
              <w:t xml:space="preserve">1 </w:t>
            </w:r>
            <w:r>
              <w:rPr>
                <w:spacing w:val="-4"/>
                <w:sz w:val="22"/>
                <w:szCs w:val="22"/>
              </w:rPr>
              <w:t>个卸油油气回收快速接头，卸</w:t>
            </w:r>
            <w:r>
              <w:rPr>
                <w:spacing w:val="-1"/>
                <w:sz w:val="22"/>
                <w:szCs w:val="22"/>
              </w:rPr>
              <w:t>油口设置一次油气回收系统</w:t>
            </w:r>
          </w:p>
        </w:tc>
        <w:tc>
          <w:tcPr>
            <w:tcW w:w="1331" w:type="dxa"/>
            <w:vAlign w:val="top"/>
          </w:tcPr>
          <w:p w14:paraId="1D7DFA4B">
            <w:pPr>
              <w:spacing w:line="392" w:lineRule="auto"/>
              <w:rPr>
                <w:rFonts w:ascii="Arial"/>
                <w:sz w:val="21"/>
              </w:rPr>
            </w:pPr>
          </w:p>
          <w:p w14:paraId="3F74BE11">
            <w:pPr>
              <w:pStyle w:val="6"/>
              <w:spacing w:before="71" w:line="222" w:lineRule="auto"/>
              <w:ind w:left="464"/>
              <w:rPr>
                <w:sz w:val="22"/>
                <w:szCs w:val="22"/>
              </w:rPr>
            </w:pPr>
            <w:r>
              <w:rPr>
                <w:spacing w:val="-4"/>
                <w:sz w:val="22"/>
                <w:szCs w:val="22"/>
              </w:rPr>
              <w:t>利旧</w:t>
            </w:r>
          </w:p>
        </w:tc>
        <w:tc>
          <w:tcPr>
            <w:tcW w:w="91" w:type="dxa"/>
            <w:tcBorders>
              <w:top w:val="nil"/>
              <w:bottom w:val="nil"/>
              <w:right w:val="single" w:color="000000" w:sz="6" w:space="0"/>
            </w:tcBorders>
            <w:vAlign w:val="top"/>
          </w:tcPr>
          <w:p w14:paraId="68169EC4">
            <w:pPr>
              <w:rPr>
                <w:rFonts w:ascii="Arial"/>
                <w:sz w:val="21"/>
              </w:rPr>
            </w:pPr>
          </w:p>
        </w:tc>
      </w:tr>
      <w:tr w14:paraId="5121F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839" w:type="dxa"/>
            <w:vMerge w:val="continue"/>
            <w:tcBorders>
              <w:top w:val="nil"/>
              <w:left w:val="single" w:color="000000" w:sz="6" w:space="0"/>
              <w:bottom w:val="nil"/>
            </w:tcBorders>
            <w:vAlign w:val="top"/>
          </w:tcPr>
          <w:p w14:paraId="0FB7EBF9">
            <w:pPr>
              <w:rPr>
                <w:rFonts w:ascii="Arial"/>
                <w:sz w:val="21"/>
              </w:rPr>
            </w:pPr>
          </w:p>
        </w:tc>
        <w:tc>
          <w:tcPr>
            <w:tcW w:w="705" w:type="dxa"/>
            <w:vMerge w:val="continue"/>
            <w:tcBorders>
              <w:top w:val="nil"/>
              <w:bottom w:val="nil"/>
            </w:tcBorders>
            <w:vAlign w:val="top"/>
          </w:tcPr>
          <w:p w14:paraId="71D5078C">
            <w:pPr>
              <w:rPr>
                <w:rFonts w:ascii="Arial"/>
                <w:sz w:val="21"/>
              </w:rPr>
            </w:pPr>
          </w:p>
        </w:tc>
        <w:tc>
          <w:tcPr>
            <w:tcW w:w="1414" w:type="dxa"/>
            <w:vAlign w:val="top"/>
          </w:tcPr>
          <w:p w14:paraId="1784AB1C">
            <w:pPr>
              <w:spacing w:line="267" w:lineRule="auto"/>
              <w:rPr>
                <w:rFonts w:ascii="Arial"/>
                <w:sz w:val="21"/>
              </w:rPr>
            </w:pPr>
          </w:p>
          <w:p w14:paraId="7B769543">
            <w:pPr>
              <w:spacing w:line="267" w:lineRule="auto"/>
              <w:rPr>
                <w:rFonts w:ascii="Arial"/>
                <w:sz w:val="21"/>
              </w:rPr>
            </w:pPr>
          </w:p>
          <w:p w14:paraId="7EAC866F">
            <w:pPr>
              <w:pStyle w:val="6"/>
              <w:spacing w:before="71" w:line="224" w:lineRule="auto"/>
              <w:ind w:left="440"/>
              <w:rPr>
                <w:sz w:val="22"/>
                <w:szCs w:val="22"/>
              </w:rPr>
            </w:pPr>
            <w:r>
              <w:rPr>
                <w:spacing w:val="-3"/>
                <w:sz w:val="22"/>
                <w:szCs w:val="22"/>
              </w:rPr>
              <w:t>加油区</w:t>
            </w:r>
          </w:p>
        </w:tc>
        <w:tc>
          <w:tcPr>
            <w:tcW w:w="4608" w:type="dxa"/>
            <w:vAlign w:val="top"/>
          </w:tcPr>
          <w:p w14:paraId="77CC848C">
            <w:pPr>
              <w:pStyle w:val="6"/>
              <w:spacing w:before="42" w:line="231" w:lineRule="auto"/>
              <w:ind w:left="165" w:right="84"/>
              <w:jc w:val="both"/>
              <w:rPr>
                <w:sz w:val="22"/>
                <w:szCs w:val="22"/>
              </w:rPr>
            </w:pPr>
            <w:r>
              <w:rPr>
                <w:spacing w:val="-3"/>
                <w:sz w:val="22"/>
                <w:szCs w:val="22"/>
              </w:rPr>
              <w:t>加油区位于站区中间，采用轻钢板加油棚，罩棚为螺栓球罩棚，钢筋混凝土柱，罩棚高度约</w:t>
            </w:r>
            <w:r>
              <w:rPr>
                <w:rFonts w:ascii="Times New Roman" w:hAnsi="Times New Roman" w:eastAsia="Times New Roman" w:cs="Times New Roman"/>
                <w:spacing w:val="-5"/>
                <w:sz w:val="22"/>
                <w:szCs w:val="22"/>
              </w:rPr>
              <w:t>5m</w:t>
            </w:r>
            <w:r>
              <w:rPr>
                <w:rFonts w:ascii="Times New Roman" w:hAnsi="Times New Roman" w:eastAsia="Times New Roman" w:cs="Times New Roman"/>
                <w:spacing w:val="-28"/>
                <w:sz w:val="22"/>
                <w:szCs w:val="22"/>
              </w:rPr>
              <w:t xml:space="preserve"> </w:t>
            </w:r>
            <w:r>
              <w:rPr>
                <w:spacing w:val="-5"/>
                <w:sz w:val="22"/>
                <w:szCs w:val="22"/>
              </w:rPr>
              <w:t>，占地面积为</w:t>
            </w:r>
            <w:r>
              <w:rPr>
                <w:spacing w:val="-46"/>
                <w:sz w:val="22"/>
                <w:szCs w:val="22"/>
              </w:rPr>
              <w:t xml:space="preserve"> </w:t>
            </w:r>
            <w:r>
              <w:rPr>
                <w:rFonts w:ascii="Times New Roman" w:hAnsi="Times New Roman" w:eastAsia="Times New Roman" w:cs="Times New Roman"/>
                <w:spacing w:val="-5"/>
                <w:sz w:val="22"/>
                <w:szCs w:val="22"/>
              </w:rPr>
              <w:t>333m</w:t>
            </w:r>
            <w:r>
              <w:rPr>
                <w:rFonts w:ascii="Times New Roman" w:hAnsi="Times New Roman" w:eastAsia="Times New Roman" w:cs="Times New Roman"/>
                <w:spacing w:val="-5"/>
                <w:position w:val="7"/>
                <w:sz w:val="14"/>
                <w:szCs w:val="14"/>
              </w:rPr>
              <w:t>2</w:t>
            </w:r>
            <w:r>
              <w:rPr>
                <w:spacing w:val="-5"/>
                <w:sz w:val="22"/>
                <w:szCs w:val="22"/>
              </w:rPr>
              <w:t>。设</w:t>
            </w:r>
            <w:r>
              <w:rPr>
                <w:spacing w:val="-46"/>
                <w:sz w:val="22"/>
                <w:szCs w:val="22"/>
              </w:rPr>
              <w:t xml:space="preserve"> </w:t>
            </w:r>
            <w:r>
              <w:rPr>
                <w:rFonts w:ascii="Times New Roman" w:hAnsi="Times New Roman" w:eastAsia="Times New Roman" w:cs="Times New Roman"/>
                <w:spacing w:val="-5"/>
                <w:sz w:val="22"/>
                <w:szCs w:val="22"/>
              </w:rPr>
              <w:t xml:space="preserve">3 </w:t>
            </w:r>
            <w:r>
              <w:rPr>
                <w:spacing w:val="-5"/>
                <w:sz w:val="22"/>
                <w:szCs w:val="22"/>
              </w:rPr>
              <w:t>个加油岛，每个</w:t>
            </w:r>
            <w:r>
              <w:rPr>
                <w:spacing w:val="-3"/>
                <w:sz w:val="22"/>
                <w:szCs w:val="22"/>
              </w:rPr>
              <w:t>岛设置六枪自封式税控加油机（汽油加油机为</w:t>
            </w:r>
            <w:r>
              <w:rPr>
                <w:spacing w:val="-1"/>
                <w:sz w:val="22"/>
                <w:szCs w:val="22"/>
              </w:rPr>
              <w:t>油气回收型）</w:t>
            </w:r>
          </w:p>
        </w:tc>
        <w:tc>
          <w:tcPr>
            <w:tcW w:w="1331" w:type="dxa"/>
            <w:vAlign w:val="top"/>
          </w:tcPr>
          <w:p w14:paraId="26058A7F">
            <w:pPr>
              <w:spacing w:line="267" w:lineRule="auto"/>
              <w:rPr>
                <w:rFonts w:ascii="Arial"/>
                <w:sz w:val="21"/>
              </w:rPr>
            </w:pPr>
          </w:p>
          <w:p w14:paraId="3720E7AC">
            <w:pPr>
              <w:spacing w:line="267" w:lineRule="auto"/>
              <w:rPr>
                <w:rFonts w:ascii="Arial"/>
                <w:sz w:val="21"/>
              </w:rPr>
            </w:pPr>
          </w:p>
          <w:p w14:paraId="636D5927">
            <w:pPr>
              <w:pStyle w:val="6"/>
              <w:spacing w:before="72" w:line="222" w:lineRule="auto"/>
              <w:ind w:left="464"/>
              <w:rPr>
                <w:sz w:val="22"/>
                <w:szCs w:val="22"/>
              </w:rPr>
            </w:pPr>
            <w:r>
              <w:rPr>
                <w:spacing w:val="-4"/>
                <w:sz w:val="22"/>
                <w:szCs w:val="22"/>
              </w:rPr>
              <w:t>利旧</w:t>
            </w:r>
          </w:p>
        </w:tc>
        <w:tc>
          <w:tcPr>
            <w:tcW w:w="91" w:type="dxa"/>
            <w:tcBorders>
              <w:top w:val="nil"/>
              <w:bottom w:val="nil"/>
              <w:right w:val="single" w:color="000000" w:sz="6" w:space="0"/>
            </w:tcBorders>
            <w:vAlign w:val="top"/>
          </w:tcPr>
          <w:p w14:paraId="55EFE2D8">
            <w:pPr>
              <w:rPr>
                <w:rFonts w:ascii="Arial"/>
                <w:sz w:val="21"/>
              </w:rPr>
            </w:pPr>
          </w:p>
        </w:tc>
      </w:tr>
      <w:tr w14:paraId="063D7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0" w:hRule="atLeast"/>
        </w:trPr>
        <w:tc>
          <w:tcPr>
            <w:tcW w:w="839" w:type="dxa"/>
            <w:vMerge w:val="continue"/>
            <w:tcBorders>
              <w:top w:val="nil"/>
              <w:left w:val="single" w:color="000000" w:sz="6" w:space="0"/>
              <w:bottom w:val="nil"/>
            </w:tcBorders>
            <w:vAlign w:val="top"/>
          </w:tcPr>
          <w:p w14:paraId="081CE131">
            <w:pPr>
              <w:rPr>
                <w:rFonts w:ascii="Arial"/>
                <w:sz w:val="21"/>
              </w:rPr>
            </w:pPr>
          </w:p>
        </w:tc>
        <w:tc>
          <w:tcPr>
            <w:tcW w:w="705" w:type="dxa"/>
            <w:vMerge w:val="continue"/>
            <w:tcBorders>
              <w:top w:val="nil"/>
            </w:tcBorders>
            <w:vAlign w:val="top"/>
          </w:tcPr>
          <w:p w14:paraId="6695E961">
            <w:pPr>
              <w:rPr>
                <w:rFonts w:ascii="Arial"/>
                <w:sz w:val="21"/>
              </w:rPr>
            </w:pPr>
          </w:p>
        </w:tc>
        <w:tc>
          <w:tcPr>
            <w:tcW w:w="1414" w:type="dxa"/>
            <w:vAlign w:val="top"/>
          </w:tcPr>
          <w:p w14:paraId="24A9C666">
            <w:pPr>
              <w:spacing w:line="269" w:lineRule="auto"/>
              <w:rPr>
                <w:rFonts w:ascii="Arial"/>
                <w:sz w:val="21"/>
              </w:rPr>
            </w:pPr>
          </w:p>
          <w:p w14:paraId="05FC4ACD">
            <w:pPr>
              <w:spacing w:line="269" w:lineRule="auto"/>
              <w:rPr>
                <w:rFonts w:ascii="Arial"/>
                <w:sz w:val="21"/>
              </w:rPr>
            </w:pPr>
          </w:p>
          <w:p w14:paraId="00D0B2C0">
            <w:pPr>
              <w:pStyle w:val="6"/>
              <w:spacing w:before="71" w:line="220" w:lineRule="auto"/>
              <w:ind w:left="220"/>
              <w:rPr>
                <w:sz w:val="22"/>
                <w:szCs w:val="22"/>
              </w:rPr>
            </w:pPr>
            <w:r>
              <w:rPr>
                <w:spacing w:val="-2"/>
                <w:sz w:val="22"/>
                <w:szCs w:val="22"/>
              </w:rPr>
              <w:t>埋地油罐区</w:t>
            </w:r>
          </w:p>
        </w:tc>
        <w:tc>
          <w:tcPr>
            <w:tcW w:w="4608" w:type="dxa"/>
            <w:vAlign w:val="top"/>
          </w:tcPr>
          <w:p w14:paraId="47D3883C">
            <w:pPr>
              <w:pStyle w:val="6"/>
              <w:spacing w:before="184" w:line="239" w:lineRule="auto"/>
              <w:ind w:left="165" w:right="228"/>
              <w:rPr>
                <w:sz w:val="22"/>
                <w:szCs w:val="22"/>
              </w:rPr>
            </w:pPr>
            <w:r>
              <w:rPr>
                <w:spacing w:val="-1"/>
                <w:sz w:val="22"/>
                <w:szCs w:val="22"/>
              </w:rPr>
              <w:t>委托专业资质单位将现有</w:t>
            </w:r>
            <w:r>
              <w:rPr>
                <w:spacing w:val="-41"/>
                <w:sz w:val="22"/>
                <w:szCs w:val="22"/>
              </w:rPr>
              <w:t xml:space="preserve"> </w:t>
            </w:r>
            <w:r>
              <w:rPr>
                <w:rFonts w:ascii="Times New Roman" w:hAnsi="Times New Roman" w:eastAsia="Times New Roman" w:cs="Times New Roman"/>
                <w:spacing w:val="-1"/>
                <w:sz w:val="22"/>
                <w:szCs w:val="22"/>
              </w:rPr>
              <w:t>30m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
                <w:sz w:val="22"/>
                <w:szCs w:val="22"/>
              </w:rPr>
              <w:t>0</w:t>
            </w:r>
            <w:r>
              <w:rPr>
                <w:rFonts w:ascii="Times New Roman" w:hAnsi="Times New Roman" w:eastAsia="Times New Roman" w:cs="Times New Roman"/>
                <w:spacing w:val="-1"/>
                <w:position w:val="7"/>
                <w:sz w:val="14"/>
                <w:szCs w:val="14"/>
              </w:rPr>
              <w:t>#</w:t>
            </w:r>
            <w:r>
              <w:rPr>
                <w:spacing w:val="-1"/>
                <w:sz w:val="22"/>
                <w:szCs w:val="22"/>
              </w:rPr>
              <w:t>柴油罐进行</w:t>
            </w:r>
            <w:r>
              <w:rPr>
                <w:spacing w:val="-2"/>
                <w:sz w:val="22"/>
                <w:szCs w:val="22"/>
              </w:rPr>
              <w:t>拆除，并清运处置；</w:t>
            </w:r>
          </w:p>
          <w:p w14:paraId="035CB511">
            <w:pPr>
              <w:pStyle w:val="6"/>
              <w:spacing w:before="1" w:line="241" w:lineRule="auto"/>
              <w:ind w:left="167" w:right="101" w:firstLine="3"/>
              <w:rPr>
                <w:sz w:val="22"/>
                <w:szCs w:val="22"/>
              </w:rPr>
            </w:pPr>
            <w:r>
              <w:rPr>
                <w:spacing w:val="-2"/>
                <w:sz w:val="22"/>
                <w:szCs w:val="22"/>
              </w:rPr>
              <w:t>并在原有</w:t>
            </w:r>
            <w:r>
              <w:rPr>
                <w:spacing w:val="-50"/>
                <w:sz w:val="22"/>
                <w:szCs w:val="22"/>
              </w:rPr>
              <w:t xml:space="preserve"> </w:t>
            </w:r>
            <w:r>
              <w:rPr>
                <w:rFonts w:ascii="Times New Roman" w:hAnsi="Times New Roman" w:eastAsia="Times New Roman" w:cs="Times New Roman"/>
                <w:spacing w:val="-2"/>
                <w:sz w:val="22"/>
                <w:szCs w:val="22"/>
              </w:rPr>
              <w:t>0</w:t>
            </w:r>
            <w:r>
              <w:rPr>
                <w:rFonts w:ascii="Times New Roman" w:hAnsi="Times New Roman" w:eastAsia="Times New Roman" w:cs="Times New Roman"/>
                <w:spacing w:val="-2"/>
                <w:position w:val="7"/>
                <w:sz w:val="14"/>
                <w:szCs w:val="14"/>
              </w:rPr>
              <w:t>#</w:t>
            </w:r>
            <w:r>
              <w:rPr>
                <w:spacing w:val="-2"/>
                <w:sz w:val="22"/>
                <w:szCs w:val="22"/>
              </w:rPr>
              <w:t>柴油罐区域新增</w:t>
            </w:r>
            <w:r>
              <w:rPr>
                <w:spacing w:val="-31"/>
                <w:sz w:val="22"/>
                <w:szCs w:val="22"/>
              </w:rPr>
              <w:t xml:space="preserve"> </w:t>
            </w:r>
            <w:r>
              <w:rPr>
                <w:rFonts w:ascii="Times New Roman" w:hAnsi="Times New Roman" w:eastAsia="Times New Roman" w:cs="Times New Roman"/>
                <w:spacing w:val="-2"/>
                <w:sz w:val="22"/>
                <w:szCs w:val="22"/>
              </w:rPr>
              <w:t xml:space="preserve">1 </w:t>
            </w:r>
            <w:r>
              <w:rPr>
                <w:spacing w:val="-2"/>
                <w:sz w:val="22"/>
                <w:szCs w:val="22"/>
              </w:rPr>
              <w:t>个</w:t>
            </w:r>
            <w:r>
              <w:rPr>
                <w:spacing w:val="-46"/>
                <w:sz w:val="22"/>
                <w:szCs w:val="22"/>
              </w:rPr>
              <w:t xml:space="preserve"> </w:t>
            </w:r>
            <w:r>
              <w:rPr>
                <w:rFonts w:ascii="Times New Roman" w:hAnsi="Times New Roman" w:eastAsia="Times New Roman" w:cs="Times New Roman"/>
                <w:spacing w:val="-2"/>
                <w:sz w:val="22"/>
                <w:szCs w:val="22"/>
              </w:rPr>
              <w:t>30m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2"/>
                <w:sz w:val="22"/>
                <w:szCs w:val="22"/>
              </w:rPr>
              <w:t>98</w:t>
            </w:r>
            <w:r>
              <w:rPr>
                <w:rFonts w:ascii="Times New Roman" w:hAnsi="Times New Roman" w:eastAsia="Times New Roman" w:cs="Times New Roman"/>
                <w:spacing w:val="-2"/>
                <w:position w:val="7"/>
                <w:sz w:val="14"/>
                <w:szCs w:val="14"/>
              </w:rPr>
              <w:t>#</w:t>
            </w:r>
            <w:r>
              <w:rPr>
                <w:spacing w:val="-2"/>
                <w:sz w:val="22"/>
                <w:szCs w:val="22"/>
              </w:rPr>
              <w:t>汽油</w:t>
            </w:r>
            <w:r>
              <w:rPr>
                <w:spacing w:val="-1"/>
                <w:sz w:val="22"/>
                <w:szCs w:val="22"/>
              </w:rPr>
              <w:t>罐，</w:t>
            </w:r>
            <w:r>
              <w:rPr>
                <w:rFonts w:ascii="Times New Roman" w:hAnsi="Times New Roman" w:eastAsia="Times New Roman" w:cs="Times New Roman"/>
                <w:spacing w:val="-1"/>
                <w:sz w:val="22"/>
                <w:szCs w:val="22"/>
              </w:rPr>
              <w:t xml:space="preserve">FF </w:t>
            </w:r>
            <w:r>
              <w:rPr>
                <w:spacing w:val="-1"/>
                <w:sz w:val="22"/>
                <w:szCs w:val="22"/>
              </w:rPr>
              <w:t>双层埋地油罐</w:t>
            </w:r>
          </w:p>
        </w:tc>
        <w:tc>
          <w:tcPr>
            <w:tcW w:w="1331" w:type="dxa"/>
            <w:vAlign w:val="top"/>
          </w:tcPr>
          <w:p w14:paraId="124115A3">
            <w:pPr>
              <w:pStyle w:val="6"/>
              <w:spacing w:before="43" w:line="239" w:lineRule="auto"/>
              <w:ind w:left="134" w:right="95" w:hanging="2"/>
              <w:rPr>
                <w:sz w:val="22"/>
                <w:szCs w:val="22"/>
              </w:rPr>
            </w:pPr>
            <w:r>
              <w:rPr>
                <w:spacing w:val="-11"/>
                <w:sz w:val="22"/>
                <w:szCs w:val="22"/>
              </w:rPr>
              <w:t>拆</w:t>
            </w:r>
            <w:r>
              <w:rPr>
                <w:spacing w:val="-15"/>
                <w:sz w:val="22"/>
                <w:szCs w:val="22"/>
              </w:rPr>
              <w:t xml:space="preserve"> </w:t>
            </w:r>
            <w:r>
              <w:rPr>
                <w:spacing w:val="-11"/>
                <w:sz w:val="22"/>
                <w:szCs w:val="22"/>
              </w:rPr>
              <w:t>除</w:t>
            </w:r>
            <w:r>
              <w:rPr>
                <w:spacing w:val="-28"/>
                <w:sz w:val="22"/>
                <w:szCs w:val="22"/>
              </w:rPr>
              <w:t xml:space="preserve"> </w:t>
            </w:r>
            <w:r>
              <w:rPr>
                <w:spacing w:val="-11"/>
                <w:sz w:val="22"/>
                <w:szCs w:val="22"/>
              </w:rPr>
              <w:t>及</w:t>
            </w:r>
            <w:r>
              <w:rPr>
                <w:spacing w:val="-26"/>
                <w:sz w:val="22"/>
                <w:szCs w:val="22"/>
              </w:rPr>
              <w:t xml:space="preserve"> </w:t>
            </w:r>
            <w:r>
              <w:rPr>
                <w:spacing w:val="-11"/>
                <w:sz w:val="22"/>
                <w:szCs w:val="22"/>
              </w:rPr>
              <w:t>新</w:t>
            </w:r>
            <w:r>
              <w:rPr>
                <w:spacing w:val="-2"/>
                <w:sz w:val="22"/>
                <w:szCs w:val="22"/>
              </w:rPr>
              <w:t>建，并配套</w:t>
            </w:r>
          </w:p>
          <w:p w14:paraId="42B62603">
            <w:pPr>
              <w:pStyle w:val="6"/>
              <w:spacing w:line="220" w:lineRule="auto"/>
              <w:ind w:left="131"/>
              <w:rPr>
                <w:sz w:val="22"/>
                <w:szCs w:val="22"/>
              </w:rPr>
            </w:pPr>
            <w:r>
              <w:rPr>
                <w:spacing w:val="-1"/>
                <w:sz w:val="22"/>
                <w:szCs w:val="22"/>
              </w:rPr>
              <w:t>储罐及其配</w:t>
            </w:r>
          </w:p>
          <w:p w14:paraId="4F15F47B">
            <w:pPr>
              <w:pStyle w:val="6"/>
              <w:spacing w:before="22" w:line="219" w:lineRule="auto"/>
              <w:ind w:left="135" w:right="95" w:hanging="2"/>
              <w:rPr>
                <w:sz w:val="22"/>
                <w:szCs w:val="22"/>
              </w:rPr>
            </w:pPr>
            <w:r>
              <w:rPr>
                <w:spacing w:val="-1"/>
                <w:sz w:val="22"/>
                <w:szCs w:val="22"/>
              </w:rPr>
              <w:t>套安全环保</w:t>
            </w:r>
            <w:r>
              <w:rPr>
                <w:spacing w:val="-6"/>
                <w:sz w:val="22"/>
                <w:szCs w:val="22"/>
              </w:rPr>
              <w:t>设施</w:t>
            </w:r>
          </w:p>
        </w:tc>
        <w:tc>
          <w:tcPr>
            <w:tcW w:w="91" w:type="dxa"/>
            <w:tcBorders>
              <w:top w:val="nil"/>
              <w:bottom w:val="nil"/>
              <w:right w:val="single" w:color="000000" w:sz="6" w:space="0"/>
            </w:tcBorders>
            <w:vAlign w:val="top"/>
          </w:tcPr>
          <w:p w14:paraId="1A1EF305">
            <w:pPr>
              <w:rPr>
                <w:rFonts w:ascii="Arial"/>
                <w:sz w:val="21"/>
              </w:rPr>
            </w:pPr>
          </w:p>
        </w:tc>
      </w:tr>
      <w:tr w14:paraId="5A15E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839" w:type="dxa"/>
            <w:vMerge w:val="continue"/>
            <w:tcBorders>
              <w:top w:val="nil"/>
              <w:left w:val="single" w:color="000000" w:sz="6" w:space="0"/>
              <w:bottom w:val="nil"/>
            </w:tcBorders>
            <w:vAlign w:val="top"/>
          </w:tcPr>
          <w:p w14:paraId="16D285D1">
            <w:pPr>
              <w:rPr>
                <w:rFonts w:ascii="Arial"/>
                <w:sz w:val="21"/>
              </w:rPr>
            </w:pPr>
          </w:p>
        </w:tc>
        <w:tc>
          <w:tcPr>
            <w:tcW w:w="705" w:type="dxa"/>
            <w:vMerge w:val="restart"/>
            <w:tcBorders>
              <w:bottom w:val="nil"/>
            </w:tcBorders>
            <w:vAlign w:val="top"/>
          </w:tcPr>
          <w:p w14:paraId="78C07F37">
            <w:pPr>
              <w:spacing w:line="344" w:lineRule="auto"/>
              <w:rPr>
                <w:rFonts w:ascii="Arial"/>
                <w:sz w:val="21"/>
              </w:rPr>
            </w:pPr>
          </w:p>
          <w:p w14:paraId="2FD977C7">
            <w:pPr>
              <w:spacing w:line="344" w:lineRule="auto"/>
              <w:rPr>
                <w:rFonts w:ascii="Arial"/>
                <w:sz w:val="21"/>
              </w:rPr>
            </w:pPr>
          </w:p>
          <w:p w14:paraId="445008FE">
            <w:pPr>
              <w:pStyle w:val="6"/>
              <w:spacing w:before="71"/>
              <w:ind w:left="203" w:right="65"/>
              <w:rPr>
                <w:sz w:val="22"/>
                <w:szCs w:val="22"/>
              </w:rPr>
            </w:pPr>
            <w:r>
              <w:rPr>
                <w:spacing w:val="-5"/>
                <w:sz w:val="22"/>
                <w:szCs w:val="22"/>
              </w:rPr>
              <w:t>辅助工程</w:t>
            </w:r>
          </w:p>
        </w:tc>
        <w:tc>
          <w:tcPr>
            <w:tcW w:w="1414" w:type="dxa"/>
            <w:vAlign w:val="top"/>
          </w:tcPr>
          <w:p w14:paraId="358B3664">
            <w:pPr>
              <w:spacing w:line="397" w:lineRule="auto"/>
              <w:rPr>
                <w:rFonts w:ascii="Arial"/>
                <w:sz w:val="21"/>
              </w:rPr>
            </w:pPr>
          </w:p>
          <w:p w14:paraId="4BA10561">
            <w:pPr>
              <w:pStyle w:val="6"/>
              <w:spacing w:before="71" w:line="221" w:lineRule="auto"/>
              <w:ind w:left="548"/>
              <w:rPr>
                <w:sz w:val="22"/>
                <w:szCs w:val="22"/>
              </w:rPr>
            </w:pPr>
            <w:r>
              <w:rPr>
                <w:spacing w:val="-4"/>
                <w:sz w:val="22"/>
                <w:szCs w:val="22"/>
              </w:rPr>
              <w:t>站房</w:t>
            </w:r>
          </w:p>
        </w:tc>
        <w:tc>
          <w:tcPr>
            <w:tcW w:w="4608" w:type="dxa"/>
            <w:vAlign w:val="top"/>
          </w:tcPr>
          <w:p w14:paraId="08D1A9D1">
            <w:pPr>
              <w:pStyle w:val="6"/>
              <w:spacing w:before="43"/>
              <w:ind w:left="165" w:right="84"/>
              <w:rPr>
                <w:sz w:val="22"/>
                <w:szCs w:val="22"/>
              </w:rPr>
            </w:pPr>
            <w:r>
              <w:rPr>
                <w:spacing w:val="-4"/>
                <w:sz w:val="22"/>
                <w:szCs w:val="22"/>
              </w:rPr>
              <w:t>共设</w:t>
            </w:r>
            <w:r>
              <w:rPr>
                <w:spacing w:val="-37"/>
                <w:sz w:val="22"/>
                <w:szCs w:val="22"/>
              </w:rPr>
              <w:t xml:space="preserve"> </w:t>
            </w:r>
            <w:r>
              <w:rPr>
                <w:rFonts w:ascii="Times New Roman" w:hAnsi="Times New Roman" w:eastAsia="Times New Roman" w:cs="Times New Roman"/>
                <w:spacing w:val="-4"/>
                <w:sz w:val="22"/>
                <w:szCs w:val="22"/>
              </w:rPr>
              <w:t xml:space="preserve">2 </w:t>
            </w:r>
            <w:r>
              <w:rPr>
                <w:spacing w:val="-4"/>
                <w:sz w:val="22"/>
                <w:szCs w:val="22"/>
              </w:rPr>
              <w:t>栋，其中站房一占地面积</w:t>
            </w:r>
            <w:r>
              <w:rPr>
                <w:spacing w:val="-46"/>
                <w:sz w:val="22"/>
                <w:szCs w:val="22"/>
              </w:rPr>
              <w:t xml:space="preserve"> </w:t>
            </w:r>
            <w:r>
              <w:rPr>
                <w:rFonts w:ascii="Times New Roman" w:hAnsi="Times New Roman" w:eastAsia="Times New Roman" w:cs="Times New Roman"/>
                <w:spacing w:val="-4"/>
                <w:sz w:val="22"/>
                <w:szCs w:val="22"/>
              </w:rPr>
              <w:t>37.8m</w:t>
            </w:r>
            <w:r>
              <w:rPr>
                <w:rFonts w:ascii="Times New Roman" w:hAnsi="Times New Roman" w:eastAsia="Times New Roman" w:cs="Times New Roman"/>
                <w:spacing w:val="-4"/>
                <w:position w:val="7"/>
                <w:sz w:val="14"/>
                <w:szCs w:val="14"/>
              </w:rPr>
              <w:t>2</w:t>
            </w:r>
            <w:r>
              <w:rPr>
                <w:spacing w:val="-4"/>
                <w:sz w:val="22"/>
                <w:szCs w:val="22"/>
              </w:rPr>
              <w:t>，位于</w:t>
            </w:r>
            <w:r>
              <w:rPr>
                <w:spacing w:val="-2"/>
                <w:sz w:val="22"/>
                <w:szCs w:val="22"/>
              </w:rPr>
              <w:t>加油站西南侧，</w:t>
            </w:r>
            <w:r>
              <w:rPr>
                <w:rFonts w:ascii="Times New Roman" w:hAnsi="Times New Roman" w:eastAsia="Times New Roman" w:cs="Times New Roman"/>
                <w:spacing w:val="-2"/>
                <w:sz w:val="22"/>
                <w:szCs w:val="22"/>
              </w:rPr>
              <w:t>1F</w:t>
            </w:r>
            <w:r>
              <w:rPr>
                <w:rFonts w:ascii="Times New Roman" w:hAnsi="Times New Roman" w:eastAsia="Times New Roman" w:cs="Times New Roman"/>
                <w:spacing w:val="-25"/>
                <w:sz w:val="22"/>
                <w:szCs w:val="22"/>
              </w:rPr>
              <w:t xml:space="preserve"> </w:t>
            </w:r>
            <w:r>
              <w:rPr>
                <w:spacing w:val="-2"/>
                <w:sz w:val="22"/>
                <w:szCs w:val="22"/>
              </w:rPr>
              <w:t>，内设便利店、办公室；</w:t>
            </w:r>
          </w:p>
          <w:p w14:paraId="2C627F2C">
            <w:pPr>
              <w:pStyle w:val="6"/>
              <w:spacing w:line="218" w:lineRule="auto"/>
              <w:ind w:left="191" w:right="26" w:hanging="25"/>
              <w:rPr>
                <w:sz w:val="22"/>
                <w:szCs w:val="22"/>
              </w:rPr>
            </w:pPr>
            <w:r>
              <w:rPr>
                <w:spacing w:val="-9"/>
                <w:sz w:val="22"/>
                <w:szCs w:val="22"/>
              </w:rPr>
              <w:t>站房二占地面积</w:t>
            </w:r>
            <w:r>
              <w:rPr>
                <w:spacing w:val="-48"/>
                <w:sz w:val="22"/>
                <w:szCs w:val="22"/>
              </w:rPr>
              <w:t xml:space="preserve"> </w:t>
            </w:r>
            <w:r>
              <w:rPr>
                <w:rFonts w:ascii="Times New Roman" w:hAnsi="Times New Roman" w:eastAsia="Times New Roman" w:cs="Times New Roman"/>
                <w:spacing w:val="-9"/>
                <w:sz w:val="22"/>
                <w:szCs w:val="22"/>
              </w:rPr>
              <w:t>66.3m</w:t>
            </w:r>
            <w:r>
              <w:rPr>
                <w:rFonts w:ascii="Times New Roman" w:hAnsi="Times New Roman" w:eastAsia="Times New Roman" w:cs="Times New Roman"/>
                <w:spacing w:val="-9"/>
                <w:position w:val="7"/>
                <w:sz w:val="14"/>
                <w:szCs w:val="14"/>
              </w:rPr>
              <w:t>2</w:t>
            </w:r>
            <w:r>
              <w:rPr>
                <w:spacing w:val="-9"/>
                <w:sz w:val="22"/>
                <w:szCs w:val="22"/>
              </w:rPr>
              <w:t>，位于加油站南侧，</w:t>
            </w:r>
            <w:r>
              <w:rPr>
                <w:rFonts w:ascii="Times New Roman" w:hAnsi="Times New Roman" w:eastAsia="Times New Roman" w:cs="Times New Roman"/>
                <w:spacing w:val="-9"/>
                <w:sz w:val="22"/>
                <w:szCs w:val="22"/>
              </w:rPr>
              <w:t>2F</w:t>
            </w:r>
            <w:r>
              <w:rPr>
                <w:spacing w:val="-36"/>
                <w:sz w:val="22"/>
                <w:szCs w:val="22"/>
              </w:rPr>
              <w:t>，</w:t>
            </w:r>
            <w:r>
              <w:rPr>
                <w:spacing w:val="-3"/>
                <w:sz w:val="22"/>
                <w:szCs w:val="22"/>
              </w:rPr>
              <w:t>内设柴油发电机房、员工倒班房等</w:t>
            </w:r>
          </w:p>
        </w:tc>
        <w:tc>
          <w:tcPr>
            <w:tcW w:w="1331" w:type="dxa"/>
            <w:vAlign w:val="top"/>
          </w:tcPr>
          <w:p w14:paraId="678DD4C5">
            <w:pPr>
              <w:spacing w:line="397" w:lineRule="auto"/>
              <w:rPr>
                <w:rFonts w:ascii="Arial"/>
                <w:sz w:val="21"/>
              </w:rPr>
            </w:pPr>
          </w:p>
          <w:p w14:paraId="7FA89F0B">
            <w:pPr>
              <w:pStyle w:val="6"/>
              <w:spacing w:before="72" w:line="222" w:lineRule="auto"/>
              <w:ind w:left="464"/>
              <w:rPr>
                <w:sz w:val="22"/>
                <w:szCs w:val="22"/>
              </w:rPr>
            </w:pPr>
            <w:r>
              <w:rPr>
                <w:spacing w:val="-4"/>
                <w:sz w:val="22"/>
                <w:szCs w:val="22"/>
              </w:rPr>
              <w:t>利旧</w:t>
            </w:r>
          </w:p>
        </w:tc>
        <w:tc>
          <w:tcPr>
            <w:tcW w:w="91" w:type="dxa"/>
            <w:tcBorders>
              <w:top w:val="nil"/>
              <w:bottom w:val="nil"/>
              <w:right w:val="single" w:color="000000" w:sz="6" w:space="0"/>
            </w:tcBorders>
            <w:vAlign w:val="top"/>
          </w:tcPr>
          <w:p w14:paraId="39A960FC">
            <w:pPr>
              <w:rPr>
                <w:rFonts w:ascii="Arial"/>
                <w:sz w:val="21"/>
              </w:rPr>
            </w:pPr>
          </w:p>
        </w:tc>
      </w:tr>
      <w:tr w14:paraId="4E056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2" w:hRule="atLeast"/>
        </w:trPr>
        <w:tc>
          <w:tcPr>
            <w:tcW w:w="839" w:type="dxa"/>
            <w:vMerge w:val="continue"/>
            <w:tcBorders>
              <w:top w:val="nil"/>
              <w:left w:val="single" w:color="000000" w:sz="6" w:space="0"/>
              <w:bottom w:val="single" w:color="000000" w:sz="6" w:space="0"/>
            </w:tcBorders>
            <w:vAlign w:val="top"/>
          </w:tcPr>
          <w:p w14:paraId="5B4ABC27">
            <w:pPr>
              <w:rPr>
                <w:rFonts w:ascii="Arial"/>
                <w:sz w:val="21"/>
              </w:rPr>
            </w:pPr>
          </w:p>
        </w:tc>
        <w:tc>
          <w:tcPr>
            <w:tcW w:w="705" w:type="dxa"/>
            <w:vMerge w:val="continue"/>
            <w:tcBorders>
              <w:top w:val="nil"/>
              <w:bottom w:val="single" w:color="000000" w:sz="6" w:space="0"/>
            </w:tcBorders>
            <w:vAlign w:val="top"/>
          </w:tcPr>
          <w:p w14:paraId="1E2323EC">
            <w:pPr>
              <w:rPr>
                <w:rFonts w:ascii="Arial"/>
                <w:sz w:val="21"/>
              </w:rPr>
            </w:pPr>
          </w:p>
        </w:tc>
        <w:tc>
          <w:tcPr>
            <w:tcW w:w="1414" w:type="dxa"/>
            <w:tcBorders>
              <w:bottom w:val="single" w:color="000000" w:sz="6" w:space="0"/>
            </w:tcBorders>
            <w:vAlign w:val="top"/>
          </w:tcPr>
          <w:p w14:paraId="60C68FD4">
            <w:pPr>
              <w:spacing w:line="256" w:lineRule="auto"/>
              <w:rPr>
                <w:rFonts w:ascii="Arial"/>
                <w:sz w:val="21"/>
              </w:rPr>
            </w:pPr>
          </w:p>
          <w:p w14:paraId="1F0FC925">
            <w:pPr>
              <w:pStyle w:val="6"/>
              <w:spacing w:before="71" w:line="220" w:lineRule="auto"/>
              <w:ind w:left="332"/>
              <w:rPr>
                <w:sz w:val="22"/>
                <w:szCs w:val="22"/>
              </w:rPr>
            </w:pPr>
            <w:r>
              <w:rPr>
                <w:spacing w:val="-3"/>
                <w:sz w:val="22"/>
                <w:szCs w:val="22"/>
              </w:rPr>
              <w:t>工艺管线</w:t>
            </w:r>
          </w:p>
        </w:tc>
        <w:tc>
          <w:tcPr>
            <w:tcW w:w="4608" w:type="dxa"/>
            <w:tcBorders>
              <w:bottom w:val="single" w:color="000000" w:sz="6" w:space="0"/>
            </w:tcBorders>
            <w:vAlign w:val="top"/>
          </w:tcPr>
          <w:p w14:paraId="32785200">
            <w:pPr>
              <w:spacing w:line="256" w:lineRule="auto"/>
              <w:rPr>
                <w:rFonts w:ascii="Arial"/>
                <w:sz w:val="21"/>
              </w:rPr>
            </w:pPr>
          </w:p>
          <w:p w14:paraId="2FB8DEBF">
            <w:pPr>
              <w:pStyle w:val="6"/>
              <w:spacing w:before="72" w:line="219" w:lineRule="auto"/>
              <w:ind w:left="166"/>
              <w:rPr>
                <w:sz w:val="22"/>
                <w:szCs w:val="22"/>
              </w:rPr>
            </w:pPr>
            <w:r>
              <w:rPr>
                <w:spacing w:val="-3"/>
                <w:sz w:val="22"/>
                <w:szCs w:val="22"/>
              </w:rPr>
              <w:t>敷设管沟、布置工艺管道，采用双层复合管线</w:t>
            </w:r>
          </w:p>
        </w:tc>
        <w:tc>
          <w:tcPr>
            <w:tcW w:w="1331" w:type="dxa"/>
            <w:tcBorders>
              <w:bottom w:val="single" w:color="000000" w:sz="6" w:space="0"/>
            </w:tcBorders>
            <w:vAlign w:val="top"/>
          </w:tcPr>
          <w:p w14:paraId="5D7EA4FA">
            <w:pPr>
              <w:pStyle w:val="6"/>
              <w:spacing w:before="46" w:line="220" w:lineRule="auto"/>
              <w:ind w:left="137"/>
              <w:rPr>
                <w:sz w:val="22"/>
                <w:szCs w:val="22"/>
              </w:rPr>
            </w:pPr>
            <w:r>
              <w:rPr>
                <w:spacing w:val="-2"/>
                <w:sz w:val="22"/>
                <w:szCs w:val="22"/>
              </w:rPr>
              <w:t>部分老化管</w:t>
            </w:r>
          </w:p>
          <w:p w14:paraId="2EA43D55">
            <w:pPr>
              <w:pStyle w:val="6"/>
              <w:spacing w:before="24" w:line="222" w:lineRule="auto"/>
              <w:ind w:left="353" w:right="98" w:hanging="216"/>
              <w:rPr>
                <w:sz w:val="22"/>
                <w:szCs w:val="22"/>
              </w:rPr>
            </w:pPr>
            <w:r>
              <w:rPr>
                <w:spacing w:val="-2"/>
                <w:sz w:val="22"/>
                <w:szCs w:val="22"/>
              </w:rPr>
              <w:t>线替换，其</w:t>
            </w:r>
            <w:r>
              <w:rPr>
                <w:spacing w:val="-3"/>
                <w:sz w:val="22"/>
                <w:szCs w:val="22"/>
              </w:rPr>
              <w:t>余利旧</w:t>
            </w:r>
          </w:p>
        </w:tc>
        <w:tc>
          <w:tcPr>
            <w:tcW w:w="91" w:type="dxa"/>
            <w:tcBorders>
              <w:top w:val="nil"/>
              <w:bottom w:val="single" w:color="000000" w:sz="6" w:space="0"/>
              <w:right w:val="single" w:color="000000" w:sz="6" w:space="0"/>
            </w:tcBorders>
            <w:vAlign w:val="top"/>
          </w:tcPr>
          <w:p w14:paraId="1A2E5352">
            <w:pPr>
              <w:rPr>
                <w:rFonts w:ascii="Arial"/>
                <w:sz w:val="21"/>
              </w:rPr>
            </w:pPr>
          </w:p>
        </w:tc>
      </w:tr>
    </w:tbl>
    <w:p w14:paraId="06C4F2C2">
      <w:pPr>
        <w:pStyle w:val="2"/>
        <w:rPr>
          <w:sz w:val="21"/>
        </w:rPr>
      </w:pPr>
    </w:p>
    <w:p w14:paraId="2429D923">
      <w:pPr>
        <w:rPr>
          <w:sz w:val="21"/>
          <w:szCs w:val="21"/>
        </w:rPr>
        <w:sectPr>
          <w:footerReference r:id="rId35" w:type="default"/>
          <w:pgSz w:w="11906" w:h="16839"/>
          <w:pgMar w:top="400" w:right="1451" w:bottom="1009" w:left="1451" w:header="0" w:footer="770" w:gutter="0"/>
          <w:cols w:space="720" w:num="1"/>
        </w:sectPr>
      </w:pPr>
    </w:p>
    <w:p w14:paraId="16F0EEAE">
      <w:pPr>
        <w:spacing w:before="19"/>
      </w:pPr>
    </w:p>
    <w:p w14:paraId="74825C1B">
      <w:pPr>
        <w:spacing w:before="19"/>
      </w:pPr>
    </w:p>
    <w:p w14:paraId="52B5D381">
      <w:pPr>
        <w:spacing w:before="19"/>
      </w:pPr>
    </w:p>
    <w:p w14:paraId="1A70EB98">
      <w:pPr>
        <w:spacing w:before="18"/>
      </w:pPr>
    </w:p>
    <w:p w14:paraId="69190DEE">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0"/>
        <w:gridCol w:w="699"/>
        <w:gridCol w:w="396"/>
        <w:gridCol w:w="1005"/>
        <w:gridCol w:w="4567"/>
        <w:gridCol w:w="1319"/>
        <w:gridCol w:w="91"/>
      </w:tblGrid>
      <w:tr w14:paraId="28653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31" w:type="dxa"/>
            <w:vMerge w:val="restart"/>
            <w:tcBorders>
              <w:top w:val="single" w:color="000000" w:sz="6" w:space="0"/>
              <w:left w:val="single" w:color="000000" w:sz="6" w:space="0"/>
              <w:bottom w:val="nil"/>
            </w:tcBorders>
            <w:vAlign w:val="top"/>
          </w:tcPr>
          <w:p w14:paraId="2934F992">
            <w:pPr>
              <w:rPr>
                <w:rFonts w:ascii="Arial"/>
                <w:sz w:val="21"/>
              </w:rPr>
            </w:pPr>
          </w:p>
        </w:tc>
        <w:tc>
          <w:tcPr>
            <w:tcW w:w="80" w:type="dxa"/>
            <w:tcBorders>
              <w:top w:val="single" w:color="000000" w:sz="6" w:space="0"/>
              <w:bottom w:val="nil"/>
            </w:tcBorders>
            <w:vAlign w:val="top"/>
          </w:tcPr>
          <w:p w14:paraId="043C385D">
            <w:pPr>
              <w:rPr>
                <w:rFonts w:ascii="Arial"/>
                <w:sz w:val="21"/>
              </w:rPr>
            </w:pPr>
          </w:p>
        </w:tc>
        <w:tc>
          <w:tcPr>
            <w:tcW w:w="699" w:type="dxa"/>
            <w:tcBorders>
              <w:top w:val="single" w:color="000000" w:sz="6" w:space="0"/>
            </w:tcBorders>
            <w:vAlign w:val="top"/>
          </w:tcPr>
          <w:p w14:paraId="7C31C04E">
            <w:pPr>
              <w:rPr>
                <w:rFonts w:ascii="Arial"/>
                <w:sz w:val="21"/>
              </w:rPr>
            </w:pPr>
          </w:p>
        </w:tc>
        <w:tc>
          <w:tcPr>
            <w:tcW w:w="1401" w:type="dxa"/>
            <w:gridSpan w:val="2"/>
            <w:tcBorders>
              <w:top w:val="single" w:color="000000" w:sz="6" w:space="0"/>
            </w:tcBorders>
            <w:vAlign w:val="top"/>
          </w:tcPr>
          <w:p w14:paraId="5B45955C">
            <w:pPr>
              <w:pStyle w:val="6"/>
              <w:spacing w:before="87" w:line="223" w:lineRule="auto"/>
              <w:ind w:left="375"/>
              <w:rPr>
                <w:sz w:val="22"/>
                <w:szCs w:val="22"/>
              </w:rPr>
            </w:pPr>
            <w:r>
              <w:rPr>
                <w:spacing w:val="-3"/>
                <w:sz w:val="22"/>
                <w:szCs w:val="22"/>
              </w:rPr>
              <w:t>卫生间</w:t>
            </w:r>
          </w:p>
        </w:tc>
        <w:tc>
          <w:tcPr>
            <w:tcW w:w="4567" w:type="dxa"/>
            <w:tcBorders>
              <w:top w:val="single" w:color="000000" w:sz="6" w:space="0"/>
            </w:tcBorders>
            <w:vAlign w:val="top"/>
          </w:tcPr>
          <w:p w14:paraId="42FE9FB8">
            <w:pPr>
              <w:pStyle w:val="6"/>
              <w:spacing w:before="87" w:line="219" w:lineRule="auto"/>
              <w:ind w:left="149"/>
              <w:rPr>
                <w:rFonts w:ascii="Times New Roman" w:hAnsi="Times New Roman" w:eastAsia="Times New Roman" w:cs="Times New Roman"/>
                <w:sz w:val="22"/>
                <w:szCs w:val="22"/>
              </w:rPr>
            </w:pPr>
            <w:r>
              <w:rPr>
                <w:spacing w:val="-5"/>
                <w:sz w:val="22"/>
                <w:szCs w:val="22"/>
              </w:rPr>
              <w:t>占地面积</w:t>
            </w:r>
            <w:r>
              <w:rPr>
                <w:spacing w:val="-16"/>
                <w:sz w:val="22"/>
                <w:szCs w:val="22"/>
              </w:rPr>
              <w:t xml:space="preserve"> </w:t>
            </w:r>
            <w:r>
              <w:rPr>
                <w:rFonts w:ascii="Times New Roman" w:hAnsi="Times New Roman" w:eastAsia="Times New Roman" w:cs="Times New Roman"/>
                <w:spacing w:val="-5"/>
                <w:sz w:val="22"/>
                <w:szCs w:val="22"/>
              </w:rPr>
              <w:t>10.7m</w:t>
            </w:r>
            <w:r>
              <w:rPr>
                <w:rFonts w:ascii="Times New Roman" w:hAnsi="Times New Roman" w:eastAsia="Times New Roman" w:cs="Times New Roman"/>
                <w:spacing w:val="-5"/>
                <w:position w:val="7"/>
                <w:sz w:val="14"/>
                <w:szCs w:val="14"/>
              </w:rPr>
              <w:t>2</w:t>
            </w:r>
            <w:r>
              <w:rPr>
                <w:rFonts w:ascii="Times New Roman" w:hAnsi="Times New Roman" w:eastAsia="Times New Roman" w:cs="Times New Roman"/>
                <w:spacing w:val="-10"/>
                <w:position w:val="7"/>
                <w:sz w:val="14"/>
                <w:szCs w:val="14"/>
              </w:rPr>
              <w:t xml:space="preserve"> </w:t>
            </w:r>
            <w:r>
              <w:rPr>
                <w:spacing w:val="-5"/>
                <w:sz w:val="22"/>
                <w:szCs w:val="22"/>
              </w:rPr>
              <w:t>，位于加油站西南角，</w:t>
            </w:r>
            <w:r>
              <w:rPr>
                <w:rFonts w:ascii="Times New Roman" w:hAnsi="Times New Roman" w:eastAsia="Times New Roman" w:cs="Times New Roman"/>
                <w:spacing w:val="-5"/>
                <w:sz w:val="22"/>
                <w:szCs w:val="22"/>
              </w:rPr>
              <w:t>1F</w:t>
            </w:r>
          </w:p>
        </w:tc>
        <w:tc>
          <w:tcPr>
            <w:tcW w:w="1319" w:type="dxa"/>
            <w:tcBorders>
              <w:top w:val="single" w:color="000000" w:sz="6" w:space="0"/>
            </w:tcBorders>
            <w:vAlign w:val="top"/>
          </w:tcPr>
          <w:p w14:paraId="0DAB2665">
            <w:pPr>
              <w:pStyle w:val="6"/>
              <w:spacing w:before="87" w:line="222" w:lineRule="auto"/>
              <w:ind w:left="452"/>
              <w:rPr>
                <w:sz w:val="22"/>
                <w:szCs w:val="22"/>
              </w:rPr>
            </w:pPr>
            <w:r>
              <w:rPr>
                <w:spacing w:val="-4"/>
                <w:sz w:val="22"/>
                <w:szCs w:val="22"/>
              </w:rPr>
              <w:t>利旧</w:t>
            </w:r>
          </w:p>
        </w:tc>
        <w:tc>
          <w:tcPr>
            <w:tcW w:w="91" w:type="dxa"/>
            <w:tcBorders>
              <w:top w:val="single" w:color="000000" w:sz="6" w:space="0"/>
              <w:bottom w:val="nil"/>
              <w:right w:val="single" w:color="000000" w:sz="6" w:space="0"/>
            </w:tcBorders>
            <w:vAlign w:val="top"/>
          </w:tcPr>
          <w:p w14:paraId="5BFF09D0">
            <w:pPr>
              <w:rPr>
                <w:rFonts w:ascii="Arial"/>
                <w:sz w:val="21"/>
              </w:rPr>
            </w:pPr>
          </w:p>
        </w:tc>
      </w:tr>
      <w:tr w14:paraId="42B35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831" w:type="dxa"/>
            <w:vMerge w:val="continue"/>
            <w:tcBorders>
              <w:top w:val="nil"/>
              <w:left w:val="single" w:color="000000" w:sz="6" w:space="0"/>
              <w:bottom w:val="nil"/>
            </w:tcBorders>
            <w:vAlign w:val="top"/>
          </w:tcPr>
          <w:p w14:paraId="011C284D">
            <w:pPr>
              <w:rPr>
                <w:rFonts w:ascii="Arial"/>
                <w:sz w:val="21"/>
              </w:rPr>
            </w:pPr>
          </w:p>
        </w:tc>
        <w:tc>
          <w:tcPr>
            <w:tcW w:w="80" w:type="dxa"/>
            <w:tcBorders>
              <w:top w:val="nil"/>
              <w:bottom w:val="nil"/>
            </w:tcBorders>
            <w:vAlign w:val="top"/>
          </w:tcPr>
          <w:p w14:paraId="2F3EBBFF">
            <w:pPr>
              <w:rPr>
                <w:rFonts w:ascii="Arial"/>
                <w:sz w:val="21"/>
              </w:rPr>
            </w:pPr>
          </w:p>
        </w:tc>
        <w:tc>
          <w:tcPr>
            <w:tcW w:w="699" w:type="dxa"/>
            <w:vMerge w:val="restart"/>
            <w:tcBorders>
              <w:bottom w:val="nil"/>
            </w:tcBorders>
            <w:vAlign w:val="top"/>
          </w:tcPr>
          <w:p w14:paraId="08472A38">
            <w:pPr>
              <w:spacing w:line="250" w:lineRule="auto"/>
              <w:rPr>
                <w:rFonts w:ascii="Arial"/>
                <w:sz w:val="21"/>
              </w:rPr>
            </w:pPr>
          </w:p>
          <w:p w14:paraId="204089F7">
            <w:pPr>
              <w:spacing w:line="250" w:lineRule="auto"/>
              <w:rPr>
                <w:rFonts w:ascii="Arial"/>
                <w:sz w:val="21"/>
              </w:rPr>
            </w:pPr>
          </w:p>
          <w:p w14:paraId="0275421B">
            <w:pPr>
              <w:spacing w:line="250" w:lineRule="auto"/>
              <w:rPr>
                <w:rFonts w:ascii="Arial"/>
                <w:sz w:val="21"/>
              </w:rPr>
            </w:pPr>
          </w:p>
          <w:p w14:paraId="0028DBBD">
            <w:pPr>
              <w:spacing w:line="250" w:lineRule="auto"/>
              <w:rPr>
                <w:rFonts w:ascii="Arial"/>
                <w:sz w:val="21"/>
              </w:rPr>
            </w:pPr>
          </w:p>
          <w:p w14:paraId="5EA8888C">
            <w:pPr>
              <w:spacing w:line="250" w:lineRule="auto"/>
              <w:rPr>
                <w:rFonts w:ascii="Arial"/>
                <w:sz w:val="21"/>
              </w:rPr>
            </w:pPr>
          </w:p>
          <w:p w14:paraId="5949C66C">
            <w:pPr>
              <w:spacing w:line="250" w:lineRule="auto"/>
              <w:rPr>
                <w:rFonts w:ascii="Arial"/>
                <w:sz w:val="21"/>
              </w:rPr>
            </w:pPr>
          </w:p>
          <w:p w14:paraId="38228E4F">
            <w:pPr>
              <w:spacing w:line="250" w:lineRule="auto"/>
              <w:rPr>
                <w:rFonts w:ascii="Arial"/>
                <w:sz w:val="21"/>
              </w:rPr>
            </w:pPr>
          </w:p>
          <w:p w14:paraId="4C4A3538">
            <w:pPr>
              <w:spacing w:line="250" w:lineRule="auto"/>
              <w:rPr>
                <w:rFonts w:ascii="Arial"/>
                <w:sz w:val="21"/>
              </w:rPr>
            </w:pPr>
          </w:p>
          <w:p w14:paraId="4CD98B35">
            <w:pPr>
              <w:spacing w:line="250" w:lineRule="auto"/>
              <w:rPr>
                <w:rFonts w:ascii="Arial"/>
                <w:sz w:val="21"/>
              </w:rPr>
            </w:pPr>
          </w:p>
          <w:p w14:paraId="181EDC8C">
            <w:pPr>
              <w:spacing w:line="251" w:lineRule="auto"/>
              <w:rPr>
                <w:rFonts w:ascii="Arial"/>
                <w:sz w:val="21"/>
              </w:rPr>
            </w:pPr>
          </w:p>
          <w:p w14:paraId="1FF1A1DF">
            <w:pPr>
              <w:spacing w:line="251" w:lineRule="auto"/>
              <w:rPr>
                <w:rFonts w:ascii="Arial"/>
                <w:sz w:val="21"/>
              </w:rPr>
            </w:pPr>
          </w:p>
          <w:p w14:paraId="20681AB1">
            <w:pPr>
              <w:spacing w:line="251" w:lineRule="auto"/>
              <w:rPr>
                <w:rFonts w:ascii="Arial"/>
                <w:sz w:val="21"/>
              </w:rPr>
            </w:pPr>
          </w:p>
          <w:p w14:paraId="4E20ECE2">
            <w:pPr>
              <w:spacing w:line="251" w:lineRule="auto"/>
              <w:rPr>
                <w:rFonts w:ascii="Arial"/>
                <w:sz w:val="21"/>
              </w:rPr>
            </w:pPr>
          </w:p>
          <w:p w14:paraId="3C50F6C5">
            <w:pPr>
              <w:spacing w:line="251" w:lineRule="auto"/>
              <w:rPr>
                <w:rFonts w:ascii="Arial"/>
                <w:sz w:val="21"/>
              </w:rPr>
            </w:pPr>
          </w:p>
          <w:p w14:paraId="6D478A44">
            <w:pPr>
              <w:spacing w:line="251" w:lineRule="auto"/>
              <w:rPr>
                <w:rFonts w:ascii="Arial"/>
                <w:sz w:val="21"/>
              </w:rPr>
            </w:pPr>
          </w:p>
          <w:p w14:paraId="292485CC">
            <w:pPr>
              <w:pStyle w:val="6"/>
              <w:spacing w:before="71"/>
              <w:ind w:left="132" w:right="131" w:firstLine="4"/>
              <w:rPr>
                <w:sz w:val="22"/>
                <w:szCs w:val="22"/>
              </w:rPr>
            </w:pPr>
            <w:r>
              <w:rPr>
                <w:spacing w:val="-7"/>
                <w:sz w:val="22"/>
                <w:szCs w:val="22"/>
              </w:rPr>
              <w:t>公用</w:t>
            </w:r>
            <w:r>
              <w:rPr>
                <w:spacing w:val="-5"/>
                <w:sz w:val="22"/>
                <w:szCs w:val="22"/>
              </w:rPr>
              <w:t>工程</w:t>
            </w:r>
          </w:p>
        </w:tc>
        <w:tc>
          <w:tcPr>
            <w:tcW w:w="1401" w:type="dxa"/>
            <w:gridSpan w:val="2"/>
            <w:vAlign w:val="top"/>
          </w:tcPr>
          <w:p w14:paraId="6C9B2190">
            <w:pPr>
              <w:pStyle w:val="6"/>
              <w:spacing w:before="73" w:line="220" w:lineRule="auto"/>
              <w:ind w:left="482"/>
              <w:rPr>
                <w:sz w:val="22"/>
                <w:szCs w:val="22"/>
              </w:rPr>
            </w:pPr>
            <w:r>
              <w:rPr>
                <w:spacing w:val="-4"/>
                <w:sz w:val="22"/>
                <w:szCs w:val="22"/>
              </w:rPr>
              <w:t>给水</w:t>
            </w:r>
          </w:p>
        </w:tc>
        <w:tc>
          <w:tcPr>
            <w:tcW w:w="4567" w:type="dxa"/>
            <w:vAlign w:val="top"/>
          </w:tcPr>
          <w:p w14:paraId="11358A94">
            <w:pPr>
              <w:pStyle w:val="6"/>
              <w:spacing w:before="73" w:line="219" w:lineRule="auto"/>
              <w:ind w:left="139"/>
              <w:rPr>
                <w:sz w:val="22"/>
                <w:szCs w:val="22"/>
              </w:rPr>
            </w:pPr>
            <w:r>
              <w:rPr>
                <w:spacing w:val="-4"/>
                <w:sz w:val="22"/>
                <w:szCs w:val="22"/>
              </w:rPr>
              <w:t>由市政给水管网供给</w:t>
            </w:r>
          </w:p>
        </w:tc>
        <w:tc>
          <w:tcPr>
            <w:tcW w:w="1319" w:type="dxa"/>
            <w:vAlign w:val="top"/>
          </w:tcPr>
          <w:p w14:paraId="556D3014">
            <w:pPr>
              <w:pStyle w:val="6"/>
              <w:spacing w:before="73" w:line="219" w:lineRule="auto"/>
              <w:ind w:left="453"/>
              <w:rPr>
                <w:sz w:val="22"/>
                <w:szCs w:val="22"/>
              </w:rPr>
            </w:pPr>
            <w:r>
              <w:rPr>
                <w:spacing w:val="-5"/>
                <w:sz w:val="22"/>
                <w:szCs w:val="22"/>
              </w:rPr>
              <w:t>依托</w:t>
            </w:r>
          </w:p>
        </w:tc>
        <w:tc>
          <w:tcPr>
            <w:tcW w:w="91" w:type="dxa"/>
            <w:tcBorders>
              <w:top w:val="nil"/>
              <w:bottom w:val="nil"/>
              <w:right w:val="single" w:color="000000" w:sz="6" w:space="0"/>
            </w:tcBorders>
            <w:vAlign w:val="top"/>
          </w:tcPr>
          <w:p w14:paraId="2DCB7B8B">
            <w:pPr>
              <w:rPr>
                <w:rFonts w:ascii="Arial"/>
                <w:sz w:val="21"/>
              </w:rPr>
            </w:pPr>
          </w:p>
        </w:tc>
      </w:tr>
      <w:tr w14:paraId="2FC62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31" w:type="dxa"/>
            <w:vMerge w:val="continue"/>
            <w:tcBorders>
              <w:top w:val="nil"/>
              <w:left w:val="single" w:color="000000" w:sz="6" w:space="0"/>
              <w:bottom w:val="nil"/>
            </w:tcBorders>
            <w:vAlign w:val="top"/>
          </w:tcPr>
          <w:p w14:paraId="4391634A">
            <w:pPr>
              <w:rPr>
                <w:rFonts w:ascii="Arial"/>
                <w:sz w:val="21"/>
              </w:rPr>
            </w:pPr>
          </w:p>
        </w:tc>
        <w:tc>
          <w:tcPr>
            <w:tcW w:w="80" w:type="dxa"/>
            <w:tcBorders>
              <w:top w:val="nil"/>
              <w:bottom w:val="nil"/>
            </w:tcBorders>
            <w:vAlign w:val="top"/>
          </w:tcPr>
          <w:p w14:paraId="56B4471F">
            <w:pPr>
              <w:rPr>
                <w:rFonts w:ascii="Arial"/>
                <w:sz w:val="21"/>
              </w:rPr>
            </w:pPr>
          </w:p>
        </w:tc>
        <w:tc>
          <w:tcPr>
            <w:tcW w:w="699" w:type="dxa"/>
            <w:vMerge w:val="continue"/>
            <w:tcBorders>
              <w:top w:val="nil"/>
              <w:bottom w:val="nil"/>
            </w:tcBorders>
            <w:vAlign w:val="top"/>
          </w:tcPr>
          <w:p w14:paraId="57BE358C">
            <w:pPr>
              <w:rPr>
                <w:rFonts w:ascii="Arial"/>
                <w:sz w:val="21"/>
              </w:rPr>
            </w:pPr>
          </w:p>
        </w:tc>
        <w:tc>
          <w:tcPr>
            <w:tcW w:w="1401" w:type="dxa"/>
            <w:gridSpan w:val="2"/>
            <w:vAlign w:val="top"/>
          </w:tcPr>
          <w:p w14:paraId="2E885759">
            <w:pPr>
              <w:pStyle w:val="6"/>
              <w:spacing w:before="176" w:line="219" w:lineRule="auto"/>
              <w:ind w:left="482"/>
              <w:rPr>
                <w:sz w:val="22"/>
                <w:szCs w:val="22"/>
              </w:rPr>
            </w:pPr>
            <w:r>
              <w:rPr>
                <w:spacing w:val="-4"/>
                <w:sz w:val="22"/>
                <w:szCs w:val="22"/>
              </w:rPr>
              <w:t>供电</w:t>
            </w:r>
          </w:p>
        </w:tc>
        <w:tc>
          <w:tcPr>
            <w:tcW w:w="4567" w:type="dxa"/>
            <w:vAlign w:val="top"/>
          </w:tcPr>
          <w:p w14:paraId="12D2FCF7">
            <w:pPr>
              <w:pStyle w:val="6"/>
              <w:spacing w:before="34" w:line="221" w:lineRule="auto"/>
              <w:ind w:left="114" w:right="99" w:firstLine="4"/>
              <w:rPr>
                <w:sz w:val="22"/>
                <w:szCs w:val="22"/>
              </w:rPr>
            </w:pPr>
            <w:r>
              <w:rPr>
                <w:spacing w:val="-5"/>
                <w:sz w:val="22"/>
                <w:szCs w:val="22"/>
              </w:rPr>
              <w:t>市政</w:t>
            </w:r>
            <w:r>
              <w:rPr>
                <w:spacing w:val="-26"/>
                <w:sz w:val="22"/>
                <w:szCs w:val="22"/>
              </w:rPr>
              <w:t xml:space="preserve"> </w:t>
            </w:r>
            <w:r>
              <w:rPr>
                <w:rFonts w:ascii="Times New Roman" w:hAnsi="Times New Roman" w:eastAsia="Times New Roman" w:cs="Times New Roman"/>
                <w:spacing w:val="-5"/>
                <w:sz w:val="22"/>
                <w:szCs w:val="22"/>
              </w:rPr>
              <w:t xml:space="preserve">10kV </w:t>
            </w:r>
            <w:r>
              <w:rPr>
                <w:spacing w:val="-5"/>
                <w:sz w:val="22"/>
                <w:szCs w:val="22"/>
              </w:rPr>
              <w:t>供电系统供给，配置</w:t>
            </w:r>
            <w:r>
              <w:rPr>
                <w:spacing w:val="-32"/>
                <w:sz w:val="22"/>
                <w:szCs w:val="22"/>
              </w:rPr>
              <w:t xml:space="preserve"> </w:t>
            </w:r>
            <w:r>
              <w:rPr>
                <w:rFonts w:ascii="Times New Roman" w:hAnsi="Times New Roman" w:eastAsia="Times New Roman" w:cs="Times New Roman"/>
                <w:spacing w:val="-5"/>
                <w:sz w:val="22"/>
                <w:szCs w:val="22"/>
              </w:rPr>
              <w:t>1</w:t>
            </w:r>
            <w:r>
              <w:rPr>
                <w:rFonts w:ascii="Times New Roman" w:hAnsi="Times New Roman" w:eastAsia="Times New Roman" w:cs="Times New Roman"/>
                <w:spacing w:val="26"/>
                <w:w w:val="101"/>
                <w:sz w:val="22"/>
                <w:szCs w:val="22"/>
              </w:rPr>
              <w:t xml:space="preserve"> </w:t>
            </w:r>
            <w:r>
              <w:rPr>
                <w:spacing w:val="-5"/>
                <w:sz w:val="22"/>
                <w:szCs w:val="22"/>
              </w:rPr>
              <w:t>台</w:t>
            </w:r>
            <w:r>
              <w:rPr>
                <w:spacing w:val="-46"/>
                <w:sz w:val="22"/>
                <w:szCs w:val="22"/>
              </w:rPr>
              <w:t xml:space="preserve"> </w:t>
            </w:r>
            <w:r>
              <w:rPr>
                <w:rFonts w:ascii="Times New Roman" w:hAnsi="Times New Roman" w:eastAsia="Times New Roman" w:cs="Times New Roman"/>
                <w:spacing w:val="-5"/>
                <w:sz w:val="22"/>
                <w:szCs w:val="22"/>
              </w:rPr>
              <w:t xml:space="preserve">30KW </w:t>
            </w:r>
            <w:r>
              <w:rPr>
                <w:spacing w:val="-5"/>
                <w:sz w:val="22"/>
                <w:szCs w:val="22"/>
              </w:rPr>
              <w:t>备</w:t>
            </w:r>
            <w:r>
              <w:rPr>
                <w:spacing w:val="-1"/>
                <w:sz w:val="22"/>
                <w:szCs w:val="22"/>
              </w:rPr>
              <w:t>用柴油发电机作为应急备用电源</w:t>
            </w:r>
          </w:p>
        </w:tc>
        <w:tc>
          <w:tcPr>
            <w:tcW w:w="1319" w:type="dxa"/>
            <w:vAlign w:val="top"/>
          </w:tcPr>
          <w:p w14:paraId="08BA5454">
            <w:pPr>
              <w:pStyle w:val="6"/>
              <w:spacing w:before="176" w:line="219" w:lineRule="auto"/>
              <w:ind w:left="453"/>
              <w:rPr>
                <w:sz w:val="22"/>
                <w:szCs w:val="22"/>
              </w:rPr>
            </w:pPr>
            <w:r>
              <w:rPr>
                <w:spacing w:val="-5"/>
                <w:sz w:val="22"/>
                <w:szCs w:val="22"/>
              </w:rPr>
              <w:t>依托</w:t>
            </w:r>
          </w:p>
        </w:tc>
        <w:tc>
          <w:tcPr>
            <w:tcW w:w="91" w:type="dxa"/>
            <w:tcBorders>
              <w:top w:val="nil"/>
              <w:bottom w:val="nil"/>
              <w:right w:val="single" w:color="000000" w:sz="6" w:space="0"/>
            </w:tcBorders>
            <w:vAlign w:val="top"/>
          </w:tcPr>
          <w:p w14:paraId="3FD196C4">
            <w:pPr>
              <w:rPr>
                <w:rFonts w:ascii="Arial"/>
                <w:sz w:val="21"/>
              </w:rPr>
            </w:pPr>
          </w:p>
        </w:tc>
      </w:tr>
      <w:tr w14:paraId="5DDB2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7" w:hRule="atLeast"/>
        </w:trPr>
        <w:tc>
          <w:tcPr>
            <w:tcW w:w="831" w:type="dxa"/>
            <w:vMerge w:val="continue"/>
            <w:tcBorders>
              <w:top w:val="nil"/>
              <w:left w:val="single" w:color="000000" w:sz="6" w:space="0"/>
              <w:bottom w:val="nil"/>
            </w:tcBorders>
            <w:vAlign w:val="top"/>
          </w:tcPr>
          <w:p w14:paraId="5AF2FAF4">
            <w:pPr>
              <w:rPr>
                <w:rFonts w:ascii="Arial"/>
                <w:sz w:val="21"/>
              </w:rPr>
            </w:pPr>
          </w:p>
        </w:tc>
        <w:tc>
          <w:tcPr>
            <w:tcW w:w="80" w:type="dxa"/>
            <w:tcBorders>
              <w:top w:val="nil"/>
              <w:bottom w:val="nil"/>
            </w:tcBorders>
            <w:vAlign w:val="top"/>
          </w:tcPr>
          <w:p w14:paraId="5C6BAA47">
            <w:pPr>
              <w:rPr>
                <w:rFonts w:ascii="Arial"/>
                <w:sz w:val="21"/>
              </w:rPr>
            </w:pPr>
          </w:p>
        </w:tc>
        <w:tc>
          <w:tcPr>
            <w:tcW w:w="699" w:type="dxa"/>
            <w:vMerge w:val="continue"/>
            <w:tcBorders>
              <w:top w:val="nil"/>
              <w:bottom w:val="nil"/>
            </w:tcBorders>
            <w:vAlign w:val="top"/>
          </w:tcPr>
          <w:p w14:paraId="35F96B6B">
            <w:pPr>
              <w:rPr>
                <w:rFonts w:ascii="Arial"/>
                <w:sz w:val="21"/>
              </w:rPr>
            </w:pPr>
          </w:p>
        </w:tc>
        <w:tc>
          <w:tcPr>
            <w:tcW w:w="1401" w:type="dxa"/>
            <w:gridSpan w:val="2"/>
            <w:vAlign w:val="top"/>
          </w:tcPr>
          <w:p w14:paraId="2FB79F6C">
            <w:pPr>
              <w:spacing w:line="261" w:lineRule="auto"/>
              <w:rPr>
                <w:rFonts w:ascii="Arial"/>
                <w:sz w:val="21"/>
              </w:rPr>
            </w:pPr>
          </w:p>
          <w:p w14:paraId="16259A01">
            <w:pPr>
              <w:spacing w:line="261" w:lineRule="auto"/>
              <w:rPr>
                <w:rFonts w:ascii="Arial"/>
                <w:sz w:val="21"/>
              </w:rPr>
            </w:pPr>
          </w:p>
          <w:p w14:paraId="0B896155">
            <w:pPr>
              <w:spacing w:line="261" w:lineRule="auto"/>
              <w:rPr>
                <w:rFonts w:ascii="Arial"/>
                <w:sz w:val="21"/>
              </w:rPr>
            </w:pPr>
          </w:p>
          <w:p w14:paraId="7D59B939">
            <w:pPr>
              <w:spacing w:line="262" w:lineRule="auto"/>
              <w:rPr>
                <w:rFonts w:ascii="Arial"/>
                <w:sz w:val="21"/>
              </w:rPr>
            </w:pPr>
          </w:p>
          <w:p w14:paraId="3212C1BA">
            <w:pPr>
              <w:spacing w:line="262" w:lineRule="auto"/>
              <w:rPr>
                <w:rFonts w:ascii="Arial"/>
                <w:sz w:val="21"/>
              </w:rPr>
            </w:pPr>
          </w:p>
          <w:p w14:paraId="586B8B93">
            <w:pPr>
              <w:spacing w:line="262" w:lineRule="auto"/>
              <w:rPr>
                <w:rFonts w:ascii="Arial"/>
                <w:sz w:val="21"/>
              </w:rPr>
            </w:pPr>
          </w:p>
          <w:p w14:paraId="7F970568">
            <w:pPr>
              <w:spacing w:line="262" w:lineRule="auto"/>
              <w:rPr>
                <w:rFonts w:ascii="Arial"/>
                <w:sz w:val="21"/>
              </w:rPr>
            </w:pPr>
          </w:p>
          <w:p w14:paraId="59E7C53B">
            <w:pPr>
              <w:spacing w:line="262" w:lineRule="auto"/>
              <w:rPr>
                <w:rFonts w:ascii="Arial"/>
                <w:sz w:val="21"/>
              </w:rPr>
            </w:pPr>
          </w:p>
          <w:p w14:paraId="25FCBEEB">
            <w:pPr>
              <w:pStyle w:val="6"/>
              <w:spacing w:before="72" w:line="220" w:lineRule="auto"/>
              <w:ind w:left="482"/>
              <w:rPr>
                <w:sz w:val="22"/>
                <w:szCs w:val="22"/>
              </w:rPr>
            </w:pPr>
            <w:r>
              <w:rPr>
                <w:spacing w:val="-4"/>
                <w:sz w:val="22"/>
                <w:szCs w:val="22"/>
              </w:rPr>
              <w:t>排水</w:t>
            </w:r>
          </w:p>
        </w:tc>
        <w:tc>
          <w:tcPr>
            <w:tcW w:w="4567" w:type="dxa"/>
            <w:vAlign w:val="top"/>
          </w:tcPr>
          <w:p w14:paraId="3FDEF471">
            <w:pPr>
              <w:pStyle w:val="6"/>
              <w:spacing w:before="39" w:line="221" w:lineRule="auto"/>
              <w:ind w:left="118"/>
              <w:rPr>
                <w:sz w:val="22"/>
                <w:szCs w:val="22"/>
              </w:rPr>
            </w:pPr>
            <w:r>
              <w:rPr>
                <w:spacing w:val="-2"/>
                <w:sz w:val="22"/>
                <w:szCs w:val="22"/>
              </w:rPr>
              <w:t>实行雨污分流。</w:t>
            </w:r>
          </w:p>
          <w:p w14:paraId="75C475A0">
            <w:pPr>
              <w:pStyle w:val="6"/>
              <w:spacing w:before="22" w:line="239" w:lineRule="auto"/>
              <w:ind w:left="113" w:right="96" w:hanging="1"/>
              <w:rPr>
                <w:sz w:val="22"/>
                <w:szCs w:val="22"/>
              </w:rPr>
            </w:pPr>
            <w:r>
              <w:rPr>
                <w:spacing w:val="8"/>
                <w:sz w:val="22"/>
                <w:szCs w:val="22"/>
              </w:rPr>
              <w:t>①屋面及罩棚雨水等通过顶部雨水导流管引</w:t>
            </w:r>
            <w:r>
              <w:rPr>
                <w:spacing w:val="-3"/>
                <w:sz w:val="22"/>
                <w:szCs w:val="22"/>
              </w:rPr>
              <w:t>流进入加油站北侧市政雨水管网（市政雨水管</w:t>
            </w:r>
            <w:r>
              <w:rPr>
                <w:spacing w:val="-2"/>
                <w:sz w:val="22"/>
                <w:szCs w:val="22"/>
              </w:rPr>
              <w:t>网接口编号为</w:t>
            </w:r>
            <w:r>
              <w:rPr>
                <w:spacing w:val="-52"/>
                <w:sz w:val="22"/>
                <w:szCs w:val="22"/>
              </w:rPr>
              <w:t xml:space="preserve"> </w:t>
            </w:r>
            <w:r>
              <w:rPr>
                <w:rFonts w:ascii="Times New Roman" w:hAnsi="Times New Roman" w:eastAsia="Times New Roman" w:cs="Times New Roman"/>
                <w:spacing w:val="-2"/>
                <w:sz w:val="22"/>
                <w:szCs w:val="22"/>
              </w:rPr>
              <w:t>Y1</w:t>
            </w:r>
            <w:r>
              <w:rPr>
                <w:sz w:val="22"/>
                <w:szCs w:val="22"/>
              </w:rPr>
              <w:t>）；</w:t>
            </w:r>
          </w:p>
          <w:p w14:paraId="3EA51A74">
            <w:pPr>
              <w:pStyle w:val="6"/>
              <w:spacing w:before="4" w:line="239" w:lineRule="auto"/>
              <w:ind w:left="112" w:right="96" w:hanging="1"/>
              <w:rPr>
                <w:sz w:val="22"/>
                <w:szCs w:val="22"/>
              </w:rPr>
            </w:pPr>
            <w:r>
              <w:rPr>
                <w:spacing w:val="-3"/>
                <w:sz w:val="22"/>
                <w:szCs w:val="22"/>
              </w:rPr>
              <w:t>②场地冲洗废水及初期雨水经截水沟引入</w:t>
            </w:r>
            <w:r>
              <w:rPr>
                <w:spacing w:val="-34"/>
                <w:sz w:val="22"/>
                <w:szCs w:val="22"/>
              </w:rPr>
              <w:t xml:space="preserve"> </w:t>
            </w:r>
            <w:r>
              <w:rPr>
                <w:rFonts w:ascii="Times New Roman" w:hAnsi="Times New Roman" w:eastAsia="Times New Roman" w:cs="Times New Roman"/>
                <w:spacing w:val="-3"/>
                <w:sz w:val="22"/>
                <w:szCs w:val="22"/>
              </w:rPr>
              <w:t>1</w:t>
            </w:r>
            <w:r>
              <w:rPr>
                <w:rFonts w:ascii="Times New Roman" w:hAnsi="Times New Roman" w:eastAsia="Times New Roman" w:cs="Times New Roman"/>
                <w:spacing w:val="-11"/>
                <w:sz w:val="22"/>
                <w:szCs w:val="22"/>
              </w:rPr>
              <w:t xml:space="preserve"> </w:t>
            </w:r>
            <w:r>
              <w:rPr>
                <w:spacing w:val="-3"/>
                <w:sz w:val="22"/>
                <w:szCs w:val="22"/>
              </w:rPr>
              <w:t>座三段式隔油沉砂池处理，处理达《污水综合排</w:t>
            </w:r>
            <w:r>
              <w:rPr>
                <w:spacing w:val="-1"/>
                <w:sz w:val="22"/>
                <w:szCs w:val="22"/>
              </w:rPr>
              <w:t>放标准》（</w:t>
            </w:r>
            <w:r>
              <w:rPr>
                <w:rFonts w:ascii="Times New Roman" w:hAnsi="Times New Roman" w:eastAsia="Times New Roman" w:cs="Times New Roman"/>
                <w:spacing w:val="-1"/>
                <w:sz w:val="22"/>
                <w:szCs w:val="22"/>
              </w:rPr>
              <w:t>GB8978-</w:t>
            </w:r>
            <w:r>
              <w:rPr>
                <w:rFonts w:ascii="Times New Roman" w:hAnsi="Times New Roman" w:eastAsia="Times New Roman" w:cs="Times New Roman"/>
                <w:spacing w:val="-18"/>
                <w:sz w:val="22"/>
                <w:szCs w:val="22"/>
              </w:rPr>
              <w:t xml:space="preserve"> </w:t>
            </w:r>
            <w:r>
              <w:rPr>
                <w:rFonts w:ascii="Times New Roman" w:hAnsi="Times New Roman" w:eastAsia="Times New Roman" w:cs="Times New Roman"/>
                <w:spacing w:val="-1"/>
                <w:sz w:val="22"/>
                <w:szCs w:val="22"/>
              </w:rPr>
              <w:t>1996</w:t>
            </w:r>
            <w:r>
              <w:rPr>
                <w:spacing w:val="-1"/>
                <w:sz w:val="22"/>
                <w:szCs w:val="22"/>
              </w:rPr>
              <w:t>）三级排放标准后，</w:t>
            </w:r>
            <w:r>
              <w:rPr>
                <w:spacing w:val="-3"/>
                <w:sz w:val="22"/>
                <w:szCs w:val="22"/>
              </w:rPr>
              <w:t>排入加油站西北侧市政污水管网。卸油区及加油区外设环形截流沟，末端连接至三段式隔油</w:t>
            </w:r>
            <w:r>
              <w:rPr>
                <w:spacing w:val="-4"/>
                <w:sz w:val="22"/>
                <w:szCs w:val="22"/>
              </w:rPr>
              <w:t>池；</w:t>
            </w:r>
          </w:p>
          <w:p w14:paraId="09C05F28">
            <w:pPr>
              <w:pStyle w:val="6"/>
              <w:spacing w:before="2" w:line="231" w:lineRule="auto"/>
              <w:ind w:left="112" w:right="3" w:hanging="1"/>
              <w:rPr>
                <w:sz w:val="22"/>
                <w:szCs w:val="22"/>
              </w:rPr>
            </w:pPr>
            <w:r>
              <w:rPr>
                <w:spacing w:val="-3"/>
                <w:sz w:val="22"/>
                <w:szCs w:val="22"/>
              </w:rPr>
              <w:t>③员工、司乘人员等产生的生活污水经生化池</w:t>
            </w:r>
            <w:r>
              <w:rPr>
                <w:spacing w:val="-5"/>
                <w:sz w:val="22"/>
                <w:szCs w:val="22"/>
              </w:rPr>
              <w:t>处理达《污水综合排放标准》（</w:t>
            </w:r>
            <w:r>
              <w:rPr>
                <w:rFonts w:ascii="Times New Roman" w:hAnsi="Times New Roman" w:eastAsia="Times New Roman" w:cs="Times New Roman"/>
                <w:spacing w:val="-5"/>
                <w:sz w:val="22"/>
                <w:szCs w:val="22"/>
              </w:rPr>
              <w:t>GB8978-1996</w:t>
            </w:r>
            <w:r>
              <w:rPr>
                <w:spacing w:val="-5"/>
                <w:sz w:val="22"/>
                <w:szCs w:val="22"/>
              </w:rPr>
              <w:t>）</w:t>
            </w:r>
            <w:r>
              <w:rPr>
                <w:sz w:val="22"/>
                <w:szCs w:val="22"/>
              </w:rPr>
              <w:t>三级标准，排入加油站西北侧市政污水管网，</w:t>
            </w:r>
            <w:r>
              <w:rPr>
                <w:spacing w:val="-3"/>
                <w:sz w:val="22"/>
                <w:szCs w:val="22"/>
              </w:rPr>
              <w:t>最终进入大九污水处理厂进一步处理达《城镇</w:t>
            </w:r>
            <w:r>
              <w:rPr>
                <w:spacing w:val="-9"/>
                <w:sz w:val="22"/>
                <w:szCs w:val="22"/>
              </w:rPr>
              <w:t>污水处理厂污染物排放标准》（</w:t>
            </w:r>
            <w:r>
              <w:rPr>
                <w:rFonts w:ascii="Times New Roman" w:hAnsi="Times New Roman" w:eastAsia="Times New Roman" w:cs="Times New Roman"/>
                <w:spacing w:val="-9"/>
                <w:sz w:val="22"/>
                <w:szCs w:val="22"/>
              </w:rPr>
              <w:t>GB18918-2002</w:t>
            </w:r>
            <w:r>
              <w:rPr>
                <w:spacing w:val="-9"/>
                <w:sz w:val="22"/>
                <w:szCs w:val="22"/>
              </w:rPr>
              <w:t>）</w:t>
            </w:r>
            <w:r>
              <w:rPr>
                <w:spacing w:val="-1"/>
                <w:sz w:val="22"/>
                <w:szCs w:val="22"/>
              </w:rPr>
              <w:t>一级</w:t>
            </w:r>
            <w:r>
              <w:rPr>
                <w:spacing w:val="-51"/>
                <w:sz w:val="22"/>
                <w:szCs w:val="22"/>
              </w:rPr>
              <w:t xml:space="preserve"> </w:t>
            </w:r>
            <w:r>
              <w:rPr>
                <w:rFonts w:ascii="Times New Roman" w:hAnsi="Times New Roman" w:eastAsia="Times New Roman" w:cs="Times New Roman"/>
                <w:spacing w:val="-1"/>
                <w:sz w:val="22"/>
                <w:szCs w:val="22"/>
              </w:rPr>
              <w:t xml:space="preserve">A </w:t>
            </w:r>
            <w:r>
              <w:rPr>
                <w:spacing w:val="-1"/>
                <w:sz w:val="22"/>
                <w:szCs w:val="22"/>
              </w:rPr>
              <w:t>标准后，排入跳蹬河</w:t>
            </w:r>
          </w:p>
        </w:tc>
        <w:tc>
          <w:tcPr>
            <w:tcW w:w="1319" w:type="dxa"/>
            <w:vAlign w:val="top"/>
          </w:tcPr>
          <w:p w14:paraId="409E2275">
            <w:pPr>
              <w:spacing w:line="261" w:lineRule="auto"/>
              <w:rPr>
                <w:rFonts w:ascii="Arial"/>
                <w:sz w:val="21"/>
              </w:rPr>
            </w:pPr>
          </w:p>
          <w:p w14:paraId="4EB9AAB0">
            <w:pPr>
              <w:spacing w:line="261" w:lineRule="auto"/>
              <w:rPr>
                <w:rFonts w:ascii="Arial"/>
                <w:sz w:val="21"/>
              </w:rPr>
            </w:pPr>
          </w:p>
          <w:p w14:paraId="0BEF1592">
            <w:pPr>
              <w:spacing w:line="261" w:lineRule="auto"/>
              <w:rPr>
                <w:rFonts w:ascii="Arial"/>
                <w:sz w:val="21"/>
              </w:rPr>
            </w:pPr>
          </w:p>
          <w:p w14:paraId="3A74ACDE">
            <w:pPr>
              <w:spacing w:line="262" w:lineRule="auto"/>
              <w:rPr>
                <w:rFonts w:ascii="Arial"/>
                <w:sz w:val="21"/>
              </w:rPr>
            </w:pPr>
          </w:p>
          <w:p w14:paraId="08DB2B48">
            <w:pPr>
              <w:spacing w:line="262" w:lineRule="auto"/>
              <w:rPr>
                <w:rFonts w:ascii="Arial"/>
                <w:sz w:val="21"/>
              </w:rPr>
            </w:pPr>
          </w:p>
          <w:p w14:paraId="792F4558">
            <w:pPr>
              <w:spacing w:line="262" w:lineRule="auto"/>
              <w:rPr>
                <w:rFonts w:ascii="Arial"/>
                <w:sz w:val="21"/>
              </w:rPr>
            </w:pPr>
          </w:p>
          <w:p w14:paraId="464F0565">
            <w:pPr>
              <w:spacing w:line="262" w:lineRule="auto"/>
              <w:rPr>
                <w:rFonts w:ascii="Arial"/>
                <w:sz w:val="21"/>
              </w:rPr>
            </w:pPr>
          </w:p>
          <w:p w14:paraId="171F5AD9">
            <w:pPr>
              <w:spacing w:line="262" w:lineRule="auto"/>
              <w:rPr>
                <w:rFonts w:ascii="Arial"/>
                <w:sz w:val="21"/>
              </w:rPr>
            </w:pPr>
          </w:p>
          <w:p w14:paraId="19EE3A89">
            <w:pPr>
              <w:pStyle w:val="6"/>
              <w:spacing w:before="72" w:line="222" w:lineRule="auto"/>
              <w:ind w:left="452"/>
              <w:rPr>
                <w:sz w:val="22"/>
                <w:szCs w:val="22"/>
              </w:rPr>
            </w:pPr>
            <w:r>
              <w:rPr>
                <w:spacing w:val="-4"/>
                <w:sz w:val="22"/>
                <w:szCs w:val="22"/>
              </w:rPr>
              <w:t>利旧</w:t>
            </w:r>
          </w:p>
        </w:tc>
        <w:tc>
          <w:tcPr>
            <w:tcW w:w="91" w:type="dxa"/>
            <w:tcBorders>
              <w:top w:val="nil"/>
              <w:bottom w:val="nil"/>
              <w:right w:val="single" w:color="000000" w:sz="6" w:space="0"/>
            </w:tcBorders>
            <w:vAlign w:val="top"/>
          </w:tcPr>
          <w:p w14:paraId="688310CB">
            <w:pPr>
              <w:rPr>
                <w:rFonts w:ascii="Arial"/>
                <w:sz w:val="21"/>
              </w:rPr>
            </w:pPr>
          </w:p>
        </w:tc>
      </w:tr>
      <w:tr w14:paraId="36588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3" w:hRule="atLeast"/>
        </w:trPr>
        <w:tc>
          <w:tcPr>
            <w:tcW w:w="831" w:type="dxa"/>
            <w:vMerge w:val="continue"/>
            <w:tcBorders>
              <w:top w:val="nil"/>
              <w:left w:val="single" w:color="000000" w:sz="6" w:space="0"/>
              <w:bottom w:val="nil"/>
            </w:tcBorders>
            <w:vAlign w:val="top"/>
          </w:tcPr>
          <w:p w14:paraId="1C2F2D6A">
            <w:pPr>
              <w:rPr>
                <w:rFonts w:ascii="Arial"/>
                <w:sz w:val="21"/>
              </w:rPr>
            </w:pPr>
          </w:p>
        </w:tc>
        <w:tc>
          <w:tcPr>
            <w:tcW w:w="80" w:type="dxa"/>
            <w:tcBorders>
              <w:top w:val="nil"/>
              <w:bottom w:val="nil"/>
            </w:tcBorders>
            <w:vAlign w:val="top"/>
          </w:tcPr>
          <w:p w14:paraId="2D5406DF">
            <w:pPr>
              <w:rPr>
                <w:rFonts w:ascii="Arial"/>
                <w:sz w:val="21"/>
              </w:rPr>
            </w:pPr>
          </w:p>
        </w:tc>
        <w:tc>
          <w:tcPr>
            <w:tcW w:w="699" w:type="dxa"/>
            <w:vMerge w:val="continue"/>
            <w:tcBorders>
              <w:top w:val="nil"/>
              <w:bottom w:val="nil"/>
            </w:tcBorders>
            <w:vAlign w:val="top"/>
          </w:tcPr>
          <w:p w14:paraId="091DAF07">
            <w:pPr>
              <w:rPr>
                <w:rFonts w:ascii="Arial"/>
                <w:sz w:val="21"/>
              </w:rPr>
            </w:pPr>
          </w:p>
        </w:tc>
        <w:tc>
          <w:tcPr>
            <w:tcW w:w="1401" w:type="dxa"/>
            <w:gridSpan w:val="2"/>
            <w:vAlign w:val="top"/>
          </w:tcPr>
          <w:p w14:paraId="5C48B5B9">
            <w:pPr>
              <w:spacing w:line="344" w:lineRule="auto"/>
              <w:rPr>
                <w:rFonts w:ascii="Arial"/>
                <w:sz w:val="21"/>
              </w:rPr>
            </w:pPr>
          </w:p>
          <w:p w14:paraId="67C9F997">
            <w:pPr>
              <w:spacing w:line="344" w:lineRule="auto"/>
              <w:rPr>
                <w:rFonts w:ascii="Arial"/>
                <w:sz w:val="21"/>
              </w:rPr>
            </w:pPr>
          </w:p>
          <w:p w14:paraId="5684D1BA">
            <w:pPr>
              <w:pStyle w:val="6"/>
              <w:spacing w:before="72" w:line="221" w:lineRule="auto"/>
              <w:ind w:left="486"/>
              <w:rPr>
                <w:sz w:val="22"/>
                <w:szCs w:val="22"/>
              </w:rPr>
            </w:pPr>
            <w:r>
              <w:rPr>
                <w:spacing w:val="-6"/>
                <w:sz w:val="22"/>
                <w:szCs w:val="22"/>
              </w:rPr>
              <w:t>消防</w:t>
            </w:r>
          </w:p>
        </w:tc>
        <w:tc>
          <w:tcPr>
            <w:tcW w:w="4567" w:type="dxa"/>
            <w:vAlign w:val="top"/>
          </w:tcPr>
          <w:p w14:paraId="7CD9AC45">
            <w:pPr>
              <w:pStyle w:val="6"/>
              <w:spacing w:before="52" w:line="235" w:lineRule="auto"/>
              <w:ind w:left="112" w:right="99" w:firstLine="13"/>
              <w:rPr>
                <w:sz w:val="22"/>
                <w:szCs w:val="22"/>
              </w:rPr>
            </w:pPr>
            <w:r>
              <w:rPr>
                <w:spacing w:val="2"/>
                <w:sz w:val="22"/>
                <w:szCs w:val="22"/>
              </w:rPr>
              <w:t xml:space="preserve">临近卸油区处设置 </w:t>
            </w:r>
            <w:r>
              <w:rPr>
                <w:rFonts w:ascii="Times New Roman" w:hAnsi="Times New Roman" w:eastAsia="Times New Roman" w:cs="Times New Roman"/>
                <w:spacing w:val="2"/>
                <w:sz w:val="22"/>
                <w:szCs w:val="22"/>
              </w:rPr>
              <w:t>1</w:t>
            </w:r>
            <w:r>
              <w:rPr>
                <w:rFonts w:ascii="Times New Roman" w:hAnsi="Times New Roman" w:eastAsia="Times New Roman" w:cs="Times New Roman"/>
                <w:spacing w:val="20"/>
                <w:sz w:val="22"/>
                <w:szCs w:val="22"/>
              </w:rPr>
              <w:t xml:space="preserve"> </w:t>
            </w:r>
            <w:r>
              <w:rPr>
                <w:spacing w:val="2"/>
                <w:sz w:val="22"/>
                <w:szCs w:val="22"/>
              </w:rPr>
              <w:t>座</w:t>
            </w:r>
            <w:r>
              <w:rPr>
                <w:spacing w:val="-41"/>
                <w:sz w:val="22"/>
                <w:szCs w:val="22"/>
              </w:rPr>
              <w:t xml:space="preserve"> </w:t>
            </w:r>
            <w:r>
              <w:rPr>
                <w:rFonts w:ascii="Times New Roman" w:hAnsi="Times New Roman" w:eastAsia="Times New Roman" w:cs="Times New Roman"/>
                <w:spacing w:val="2"/>
                <w:sz w:val="22"/>
                <w:szCs w:val="22"/>
              </w:rPr>
              <w:t>2m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24"/>
                <w:w w:val="101"/>
                <w:position w:val="7"/>
                <w:sz w:val="14"/>
                <w:szCs w:val="14"/>
              </w:rPr>
              <w:t xml:space="preserve"> </w:t>
            </w:r>
            <w:r>
              <w:rPr>
                <w:spacing w:val="2"/>
                <w:sz w:val="22"/>
                <w:szCs w:val="22"/>
              </w:rPr>
              <w:t>消防沙池、</w:t>
            </w:r>
            <w:r>
              <w:rPr>
                <w:rFonts w:ascii="Times New Roman" w:hAnsi="Times New Roman" w:eastAsia="Times New Roman" w:cs="Times New Roman"/>
                <w:spacing w:val="2"/>
                <w:sz w:val="22"/>
                <w:szCs w:val="22"/>
              </w:rPr>
              <w:t>35</w:t>
            </w:r>
            <w:r>
              <w:rPr>
                <w:rFonts w:ascii="Times New Roman" w:hAnsi="Times New Roman" w:eastAsia="Times New Roman" w:cs="Times New Roman"/>
                <w:sz w:val="22"/>
                <w:szCs w:val="22"/>
              </w:rPr>
              <w:t>kg</w:t>
            </w:r>
            <w:r>
              <w:rPr>
                <w:spacing w:val="-1"/>
                <w:sz w:val="22"/>
                <w:szCs w:val="22"/>
              </w:rPr>
              <w:t>干粉灭火器</w:t>
            </w:r>
            <w:r>
              <w:rPr>
                <w:spacing w:val="-53"/>
                <w:sz w:val="22"/>
                <w:szCs w:val="22"/>
              </w:rPr>
              <w:t xml:space="preserve"> </w:t>
            </w:r>
            <w:r>
              <w:rPr>
                <w:rFonts w:ascii="Times New Roman" w:hAnsi="Times New Roman" w:eastAsia="Times New Roman" w:cs="Times New Roman"/>
                <w:spacing w:val="-1"/>
                <w:sz w:val="22"/>
                <w:szCs w:val="22"/>
              </w:rPr>
              <w:t xml:space="preserve">2 </w:t>
            </w:r>
            <w:r>
              <w:rPr>
                <w:spacing w:val="-1"/>
                <w:sz w:val="22"/>
                <w:szCs w:val="22"/>
              </w:rPr>
              <w:t>具；</w:t>
            </w:r>
          </w:p>
          <w:p w14:paraId="26034F29">
            <w:pPr>
              <w:pStyle w:val="6"/>
              <w:spacing w:before="10" w:line="235" w:lineRule="auto"/>
              <w:ind w:left="113" w:right="99"/>
              <w:rPr>
                <w:sz w:val="22"/>
                <w:szCs w:val="22"/>
              </w:rPr>
            </w:pPr>
            <w:r>
              <w:rPr>
                <w:sz w:val="22"/>
                <w:szCs w:val="22"/>
              </w:rPr>
              <w:t>加油区设置</w:t>
            </w:r>
            <w:r>
              <w:rPr>
                <w:spacing w:val="-25"/>
                <w:sz w:val="22"/>
                <w:szCs w:val="22"/>
              </w:rPr>
              <w:t xml:space="preserve"> </w:t>
            </w:r>
            <w:r>
              <w:rPr>
                <w:rFonts w:ascii="Times New Roman" w:hAnsi="Times New Roman" w:eastAsia="Times New Roman" w:cs="Times New Roman"/>
                <w:sz w:val="22"/>
                <w:szCs w:val="22"/>
              </w:rPr>
              <w:t>5kg</w:t>
            </w:r>
            <w:r>
              <w:rPr>
                <w:rFonts w:ascii="Times New Roman" w:hAnsi="Times New Roman" w:eastAsia="Times New Roman" w:cs="Times New Roman"/>
                <w:spacing w:val="15"/>
                <w:sz w:val="22"/>
                <w:szCs w:val="22"/>
              </w:rPr>
              <w:t xml:space="preserve"> </w:t>
            </w:r>
            <w:r>
              <w:rPr>
                <w:sz w:val="22"/>
                <w:szCs w:val="22"/>
              </w:rPr>
              <w:t>干粉灭火器</w:t>
            </w:r>
            <w:r>
              <w:rPr>
                <w:spacing w:val="-22"/>
                <w:sz w:val="22"/>
                <w:szCs w:val="22"/>
              </w:rPr>
              <w:t xml:space="preserve"> </w:t>
            </w:r>
            <w:r>
              <w:rPr>
                <w:rFonts w:ascii="Times New Roman" w:hAnsi="Times New Roman" w:eastAsia="Times New Roman" w:cs="Times New Roman"/>
                <w:sz w:val="22"/>
                <w:szCs w:val="22"/>
              </w:rPr>
              <w:t>12</w:t>
            </w:r>
            <w:r>
              <w:rPr>
                <w:rFonts w:ascii="Times New Roman" w:hAnsi="Times New Roman" w:eastAsia="Times New Roman" w:cs="Times New Roman"/>
                <w:spacing w:val="18"/>
                <w:sz w:val="22"/>
                <w:szCs w:val="22"/>
              </w:rPr>
              <w:t xml:space="preserve"> </w:t>
            </w:r>
            <w:r>
              <w:rPr>
                <w:sz w:val="22"/>
                <w:szCs w:val="22"/>
              </w:rPr>
              <w:t>具、灭火毯</w:t>
            </w:r>
            <w:r>
              <w:rPr>
                <w:spacing w:val="-38"/>
                <w:sz w:val="22"/>
                <w:szCs w:val="22"/>
              </w:rPr>
              <w:t xml:space="preserve"> </w:t>
            </w:r>
            <w:r>
              <w:rPr>
                <w:rFonts w:ascii="Times New Roman" w:hAnsi="Times New Roman" w:eastAsia="Times New Roman" w:cs="Times New Roman"/>
                <w:sz w:val="22"/>
                <w:szCs w:val="22"/>
              </w:rPr>
              <w:t>5</w:t>
            </w:r>
            <w:r>
              <w:rPr>
                <w:spacing w:val="-4"/>
                <w:sz w:val="22"/>
                <w:szCs w:val="22"/>
              </w:rPr>
              <w:t>块；</w:t>
            </w:r>
          </w:p>
          <w:p w14:paraId="44B27F3C">
            <w:pPr>
              <w:pStyle w:val="6"/>
              <w:spacing w:before="9" w:line="220" w:lineRule="auto"/>
              <w:ind w:left="113"/>
              <w:rPr>
                <w:sz w:val="22"/>
                <w:szCs w:val="22"/>
              </w:rPr>
            </w:pPr>
            <w:r>
              <w:rPr>
                <w:spacing w:val="-4"/>
                <w:sz w:val="22"/>
                <w:szCs w:val="22"/>
              </w:rPr>
              <w:t>站房设置</w:t>
            </w:r>
            <w:r>
              <w:rPr>
                <w:spacing w:val="-43"/>
                <w:sz w:val="22"/>
                <w:szCs w:val="22"/>
              </w:rPr>
              <w:t xml:space="preserve"> </w:t>
            </w:r>
            <w:r>
              <w:rPr>
                <w:rFonts w:ascii="Times New Roman" w:hAnsi="Times New Roman" w:eastAsia="Times New Roman" w:cs="Times New Roman"/>
                <w:spacing w:val="-4"/>
                <w:sz w:val="22"/>
                <w:szCs w:val="22"/>
              </w:rPr>
              <w:t>CO</w:t>
            </w:r>
            <w:r>
              <w:rPr>
                <w:rFonts w:ascii="Times New Roman" w:hAnsi="Times New Roman" w:eastAsia="Times New Roman" w:cs="Times New Roman"/>
                <w:spacing w:val="-4"/>
                <w:position w:val="-1"/>
                <w:sz w:val="14"/>
                <w:szCs w:val="14"/>
              </w:rPr>
              <w:t>2</w:t>
            </w:r>
            <w:r>
              <w:rPr>
                <w:rFonts w:ascii="Times New Roman" w:hAnsi="Times New Roman" w:eastAsia="Times New Roman" w:cs="Times New Roman"/>
                <w:spacing w:val="14"/>
                <w:position w:val="-1"/>
                <w:sz w:val="14"/>
                <w:szCs w:val="14"/>
              </w:rPr>
              <w:t xml:space="preserve"> </w:t>
            </w:r>
            <w:r>
              <w:rPr>
                <w:spacing w:val="-4"/>
                <w:sz w:val="22"/>
                <w:szCs w:val="22"/>
              </w:rPr>
              <w:t>灭火器</w:t>
            </w:r>
            <w:r>
              <w:rPr>
                <w:spacing w:val="-51"/>
                <w:sz w:val="22"/>
                <w:szCs w:val="22"/>
              </w:rPr>
              <w:t xml:space="preserve"> </w:t>
            </w:r>
            <w:r>
              <w:rPr>
                <w:rFonts w:ascii="Times New Roman" w:hAnsi="Times New Roman" w:eastAsia="Times New Roman" w:cs="Times New Roman"/>
                <w:spacing w:val="-4"/>
                <w:sz w:val="22"/>
                <w:szCs w:val="22"/>
              </w:rPr>
              <w:t>2</w:t>
            </w:r>
            <w:r>
              <w:rPr>
                <w:rFonts w:ascii="Times New Roman" w:hAnsi="Times New Roman" w:eastAsia="Times New Roman" w:cs="Times New Roman"/>
                <w:spacing w:val="14"/>
                <w:sz w:val="22"/>
                <w:szCs w:val="22"/>
              </w:rPr>
              <w:t xml:space="preserve"> </w:t>
            </w:r>
            <w:r>
              <w:rPr>
                <w:spacing w:val="-4"/>
                <w:sz w:val="22"/>
                <w:szCs w:val="22"/>
              </w:rPr>
              <w:t>具；</w:t>
            </w:r>
          </w:p>
          <w:p w14:paraId="782F1BC0">
            <w:pPr>
              <w:pStyle w:val="6"/>
              <w:spacing w:before="22" w:line="198" w:lineRule="auto"/>
              <w:ind w:left="117"/>
              <w:rPr>
                <w:sz w:val="22"/>
                <w:szCs w:val="22"/>
              </w:rPr>
            </w:pPr>
            <w:r>
              <w:rPr>
                <w:spacing w:val="2"/>
                <w:sz w:val="22"/>
                <w:szCs w:val="22"/>
              </w:rPr>
              <w:t>消防器材箱配备了</w:t>
            </w:r>
            <w:r>
              <w:rPr>
                <w:rFonts w:ascii="Times New Roman" w:hAnsi="Times New Roman" w:eastAsia="Times New Roman" w:cs="Times New Roman"/>
                <w:spacing w:val="2"/>
                <w:sz w:val="22"/>
                <w:szCs w:val="22"/>
              </w:rPr>
              <w:t xml:space="preserve">4 </w:t>
            </w:r>
            <w:r>
              <w:rPr>
                <w:spacing w:val="2"/>
                <w:sz w:val="22"/>
                <w:szCs w:val="22"/>
              </w:rPr>
              <w:t>个消防桶、</w:t>
            </w:r>
            <w:r>
              <w:rPr>
                <w:rFonts w:ascii="Times New Roman" w:hAnsi="Times New Roman" w:eastAsia="Times New Roman" w:cs="Times New Roman"/>
                <w:spacing w:val="2"/>
                <w:sz w:val="22"/>
                <w:szCs w:val="22"/>
              </w:rPr>
              <w:t xml:space="preserve">4 </w:t>
            </w:r>
            <w:r>
              <w:rPr>
                <w:spacing w:val="2"/>
                <w:sz w:val="22"/>
                <w:szCs w:val="22"/>
              </w:rPr>
              <w:t>把消防锹</w:t>
            </w:r>
          </w:p>
        </w:tc>
        <w:tc>
          <w:tcPr>
            <w:tcW w:w="1319" w:type="dxa"/>
            <w:vAlign w:val="top"/>
          </w:tcPr>
          <w:p w14:paraId="28A6A2E8">
            <w:pPr>
              <w:spacing w:line="344" w:lineRule="auto"/>
              <w:rPr>
                <w:rFonts w:ascii="Arial"/>
                <w:sz w:val="21"/>
              </w:rPr>
            </w:pPr>
          </w:p>
          <w:p w14:paraId="122A8B9E">
            <w:pPr>
              <w:spacing w:line="345" w:lineRule="auto"/>
              <w:rPr>
                <w:rFonts w:ascii="Arial"/>
                <w:sz w:val="21"/>
              </w:rPr>
            </w:pPr>
          </w:p>
          <w:p w14:paraId="46A79EAF">
            <w:pPr>
              <w:pStyle w:val="6"/>
              <w:spacing w:before="71" w:line="222" w:lineRule="auto"/>
              <w:ind w:left="452"/>
              <w:rPr>
                <w:sz w:val="22"/>
                <w:szCs w:val="22"/>
              </w:rPr>
            </w:pPr>
            <w:r>
              <w:rPr>
                <w:spacing w:val="-4"/>
                <w:sz w:val="22"/>
                <w:szCs w:val="22"/>
              </w:rPr>
              <w:t>利旧</w:t>
            </w:r>
          </w:p>
        </w:tc>
        <w:tc>
          <w:tcPr>
            <w:tcW w:w="91" w:type="dxa"/>
            <w:tcBorders>
              <w:top w:val="nil"/>
              <w:bottom w:val="nil"/>
              <w:right w:val="single" w:color="000000" w:sz="6" w:space="0"/>
            </w:tcBorders>
            <w:vAlign w:val="top"/>
          </w:tcPr>
          <w:p w14:paraId="486F48EB">
            <w:pPr>
              <w:rPr>
                <w:rFonts w:ascii="Arial"/>
                <w:sz w:val="21"/>
              </w:rPr>
            </w:pPr>
          </w:p>
        </w:tc>
      </w:tr>
      <w:tr w14:paraId="31FDD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831" w:type="dxa"/>
            <w:vMerge w:val="continue"/>
            <w:tcBorders>
              <w:top w:val="nil"/>
              <w:left w:val="single" w:color="000000" w:sz="6" w:space="0"/>
              <w:bottom w:val="nil"/>
            </w:tcBorders>
            <w:vAlign w:val="top"/>
          </w:tcPr>
          <w:p w14:paraId="0F34702C">
            <w:pPr>
              <w:rPr>
                <w:rFonts w:ascii="Arial"/>
                <w:sz w:val="21"/>
              </w:rPr>
            </w:pPr>
          </w:p>
        </w:tc>
        <w:tc>
          <w:tcPr>
            <w:tcW w:w="80" w:type="dxa"/>
            <w:tcBorders>
              <w:top w:val="nil"/>
              <w:bottom w:val="nil"/>
            </w:tcBorders>
            <w:vAlign w:val="top"/>
          </w:tcPr>
          <w:p w14:paraId="18FC86DA">
            <w:pPr>
              <w:rPr>
                <w:rFonts w:ascii="Arial"/>
                <w:sz w:val="21"/>
              </w:rPr>
            </w:pPr>
          </w:p>
        </w:tc>
        <w:tc>
          <w:tcPr>
            <w:tcW w:w="699" w:type="dxa"/>
            <w:vMerge w:val="continue"/>
            <w:tcBorders>
              <w:top w:val="nil"/>
              <w:bottom w:val="nil"/>
            </w:tcBorders>
            <w:vAlign w:val="top"/>
          </w:tcPr>
          <w:p w14:paraId="0F1C63BB">
            <w:pPr>
              <w:rPr>
                <w:rFonts w:ascii="Arial"/>
                <w:sz w:val="21"/>
              </w:rPr>
            </w:pPr>
          </w:p>
        </w:tc>
        <w:tc>
          <w:tcPr>
            <w:tcW w:w="1401" w:type="dxa"/>
            <w:gridSpan w:val="2"/>
            <w:vAlign w:val="top"/>
          </w:tcPr>
          <w:p w14:paraId="51DAAF66">
            <w:pPr>
              <w:pStyle w:val="6"/>
              <w:spacing w:before="87" w:line="221" w:lineRule="auto"/>
              <w:ind w:left="153"/>
              <w:rPr>
                <w:sz w:val="22"/>
                <w:szCs w:val="22"/>
              </w:rPr>
            </w:pPr>
            <w:r>
              <w:rPr>
                <w:spacing w:val="-2"/>
                <w:sz w:val="22"/>
                <w:szCs w:val="22"/>
              </w:rPr>
              <w:t>通风及空调</w:t>
            </w:r>
          </w:p>
        </w:tc>
        <w:tc>
          <w:tcPr>
            <w:tcW w:w="4567" w:type="dxa"/>
            <w:vAlign w:val="top"/>
          </w:tcPr>
          <w:p w14:paraId="2F5DB3FE">
            <w:pPr>
              <w:pStyle w:val="6"/>
              <w:spacing w:before="88" w:line="220" w:lineRule="auto"/>
              <w:ind w:left="117"/>
              <w:rPr>
                <w:sz w:val="22"/>
                <w:szCs w:val="22"/>
              </w:rPr>
            </w:pPr>
            <w:r>
              <w:rPr>
                <w:spacing w:val="-2"/>
                <w:sz w:val="22"/>
                <w:szCs w:val="22"/>
              </w:rPr>
              <w:t>办公设分体空凋</w:t>
            </w:r>
          </w:p>
        </w:tc>
        <w:tc>
          <w:tcPr>
            <w:tcW w:w="1319" w:type="dxa"/>
            <w:vAlign w:val="top"/>
          </w:tcPr>
          <w:p w14:paraId="3E57E4A1">
            <w:pPr>
              <w:pStyle w:val="6"/>
              <w:spacing w:before="88" w:line="222" w:lineRule="auto"/>
              <w:ind w:left="452"/>
              <w:rPr>
                <w:sz w:val="22"/>
                <w:szCs w:val="22"/>
              </w:rPr>
            </w:pPr>
            <w:r>
              <w:rPr>
                <w:spacing w:val="-4"/>
                <w:sz w:val="22"/>
                <w:szCs w:val="22"/>
              </w:rPr>
              <w:t>利旧</w:t>
            </w:r>
          </w:p>
        </w:tc>
        <w:tc>
          <w:tcPr>
            <w:tcW w:w="91" w:type="dxa"/>
            <w:tcBorders>
              <w:top w:val="nil"/>
              <w:bottom w:val="nil"/>
              <w:right w:val="single" w:color="000000" w:sz="6" w:space="0"/>
            </w:tcBorders>
            <w:vAlign w:val="top"/>
          </w:tcPr>
          <w:p w14:paraId="52314678">
            <w:pPr>
              <w:rPr>
                <w:rFonts w:ascii="Arial"/>
                <w:sz w:val="21"/>
              </w:rPr>
            </w:pPr>
          </w:p>
        </w:tc>
      </w:tr>
      <w:tr w14:paraId="4632C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831" w:type="dxa"/>
            <w:vMerge w:val="continue"/>
            <w:tcBorders>
              <w:top w:val="nil"/>
              <w:left w:val="single" w:color="000000" w:sz="6" w:space="0"/>
              <w:bottom w:val="nil"/>
            </w:tcBorders>
            <w:vAlign w:val="top"/>
          </w:tcPr>
          <w:p w14:paraId="2BCDC7E2">
            <w:pPr>
              <w:rPr>
                <w:rFonts w:ascii="Arial"/>
                <w:sz w:val="21"/>
              </w:rPr>
            </w:pPr>
          </w:p>
        </w:tc>
        <w:tc>
          <w:tcPr>
            <w:tcW w:w="80" w:type="dxa"/>
            <w:tcBorders>
              <w:top w:val="nil"/>
              <w:bottom w:val="nil"/>
            </w:tcBorders>
            <w:vAlign w:val="top"/>
          </w:tcPr>
          <w:p w14:paraId="7089187B">
            <w:pPr>
              <w:rPr>
                <w:rFonts w:ascii="Arial"/>
                <w:sz w:val="21"/>
              </w:rPr>
            </w:pPr>
          </w:p>
        </w:tc>
        <w:tc>
          <w:tcPr>
            <w:tcW w:w="699" w:type="dxa"/>
            <w:vMerge w:val="continue"/>
            <w:tcBorders>
              <w:top w:val="nil"/>
            </w:tcBorders>
            <w:vAlign w:val="top"/>
          </w:tcPr>
          <w:p w14:paraId="4D38E0E6">
            <w:pPr>
              <w:rPr>
                <w:rFonts w:ascii="Arial"/>
                <w:sz w:val="21"/>
              </w:rPr>
            </w:pPr>
          </w:p>
        </w:tc>
        <w:tc>
          <w:tcPr>
            <w:tcW w:w="1401" w:type="dxa"/>
            <w:gridSpan w:val="2"/>
            <w:vAlign w:val="top"/>
          </w:tcPr>
          <w:p w14:paraId="0878953E">
            <w:pPr>
              <w:pStyle w:val="6"/>
              <w:spacing w:before="197" w:line="219" w:lineRule="auto"/>
              <w:ind w:left="167"/>
              <w:rPr>
                <w:sz w:val="22"/>
                <w:szCs w:val="22"/>
              </w:rPr>
            </w:pPr>
            <w:r>
              <w:rPr>
                <w:spacing w:val="-5"/>
                <w:sz w:val="22"/>
                <w:szCs w:val="22"/>
              </w:rPr>
              <w:t>防雷及静电</w:t>
            </w:r>
          </w:p>
        </w:tc>
        <w:tc>
          <w:tcPr>
            <w:tcW w:w="4567" w:type="dxa"/>
            <w:vAlign w:val="top"/>
          </w:tcPr>
          <w:p w14:paraId="1CC1A6FD">
            <w:pPr>
              <w:pStyle w:val="6"/>
              <w:spacing w:before="53" w:line="220" w:lineRule="auto"/>
              <w:ind w:left="116" w:right="96" w:hanging="3"/>
              <w:rPr>
                <w:sz w:val="22"/>
                <w:szCs w:val="22"/>
              </w:rPr>
            </w:pPr>
            <w:r>
              <w:rPr>
                <w:spacing w:val="-4"/>
                <w:sz w:val="22"/>
                <w:szCs w:val="22"/>
              </w:rPr>
              <w:t>站区设置</w:t>
            </w:r>
            <w:r>
              <w:rPr>
                <w:spacing w:val="-31"/>
                <w:sz w:val="22"/>
                <w:szCs w:val="22"/>
              </w:rPr>
              <w:t xml:space="preserve"> </w:t>
            </w:r>
            <w:r>
              <w:rPr>
                <w:rFonts w:ascii="Times New Roman" w:hAnsi="Times New Roman" w:eastAsia="Times New Roman" w:cs="Times New Roman"/>
                <w:spacing w:val="-4"/>
                <w:sz w:val="22"/>
                <w:szCs w:val="22"/>
              </w:rPr>
              <w:t xml:space="preserve">1 </w:t>
            </w:r>
            <w:r>
              <w:rPr>
                <w:spacing w:val="-4"/>
                <w:sz w:val="22"/>
                <w:szCs w:val="22"/>
              </w:rPr>
              <w:t>套静电接地报警仪及</w:t>
            </w:r>
            <w:r>
              <w:rPr>
                <w:spacing w:val="-41"/>
                <w:sz w:val="22"/>
                <w:szCs w:val="22"/>
              </w:rPr>
              <w:t xml:space="preserve"> </w:t>
            </w:r>
            <w:r>
              <w:rPr>
                <w:rFonts w:ascii="Times New Roman" w:hAnsi="Times New Roman" w:eastAsia="Times New Roman" w:cs="Times New Roman"/>
                <w:spacing w:val="-4"/>
                <w:sz w:val="22"/>
                <w:szCs w:val="22"/>
              </w:rPr>
              <w:t xml:space="preserve">1 </w:t>
            </w:r>
            <w:r>
              <w:rPr>
                <w:spacing w:val="-4"/>
                <w:sz w:val="22"/>
                <w:szCs w:val="22"/>
              </w:rPr>
              <w:t>个人体静电消除器</w:t>
            </w:r>
          </w:p>
        </w:tc>
        <w:tc>
          <w:tcPr>
            <w:tcW w:w="1319" w:type="dxa"/>
            <w:vAlign w:val="top"/>
          </w:tcPr>
          <w:p w14:paraId="428D4D73">
            <w:pPr>
              <w:pStyle w:val="6"/>
              <w:spacing w:before="197" w:line="222" w:lineRule="auto"/>
              <w:ind w:left="452"/>
              <w:rPr>
                <w:sz w:val="22"/>
                <w:szCs w:val="22"/>
              </w:rPr>
            </w:pPr>
            <w:r>
              <w:rPr>
                <w:spacing w:val="-4"/>
                <w:sz w:val="22"/>
                <w:szCs w:val="22"/>
              </w:rPr>
              <w:t>利旧</w:t>
            </w:r>
          </w:p>
        </w:tc>
        <w:tc>
          <w:tcPr>
            <w:tcW w:w="91" w:type="dxa"/>
            <w:tcBorders>
              <w:top w:val="nil"/>
              <w:bottom w:val="nil"/>
              <w:right w:val="single" w:color="000000" w:sz="6" w:space="0"/>
            </w:tcBorders>
            <w:vAlign w:val="top"/>
          </w:tcPr>
          <w:p w14:paraId="767EC46E">
            <w:pPr>
              <w:rPr>
                <w:rFonts w:ascii="Arial"/>
                <w:sz w:val="21"/>
              </w:rPr>
            </w:pPr>
          </w:p>
        </w:tc>
      </w:tr>
      <w:tr w14:paraId="40242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trPr>
        <w:tc>
          <w:tcPr>
            <w:tcW w:w="831" w:type="dxa"/>
            <w:vMerge w:val="continue"/>
            <w:tcBorders>
              <w:top w:val="nil"/>
              <w:left w:val="single" w:color="000000" w:sz="6" w:space="0"/>
              <w:bottom w:val="nil"/>
            </w:tcBorders>
            <w:vAlign w:val="top"/>
          </w:tcPr>
          <w:p w14:paraId="4ABC78CF">
            <w:pPr>
              <w:rPr>
                <w:rFonts w:ascii="Arial"/>
                <w:sz w:val="21"/>
              </w:rPr>
            </w:pPr>
          </w:p>
        </w:tc>
        <w:tc>
          <w:tcPr>
            <w:tcW w:w="80" w:type="dxa"/>
            <w:tcBorders>
              <w:top w:val="nil"/>
              <w:bottom w:val="nil"/>
            </w:tcBorders>
            <w:vAlign w:val="top"/>
          </w:tcPr>
          <w:p w14:paraId="621AC01B">
            <w:pPr>
              <w:rPr>
                <w:rFonts w:ascii="Arial"/>
                <w:sz w:val="21"/>
              </w:rPr>
            </w:pPr>
          </w:p>
        </w:tc>
        <w:tc>
          <w:tcPr>
            <w:tcW w:w="699" w:type="dxa"/>
            <w:vMerge w:val="restart"/>
            <w:tcBorders>
              <w:bottom w:val="nil"/>
            </w:tcBorders>
            <w:vAlign w:val="top"/>
          </w:tcPr>
          <w:p w14:paraId="2C4B420B">
            <w:pPr>
              <w:spacing w:line="246" w:lineRule="auto"/>
              <w:rPr>
                <w:rFonts w:ascii="Arial"/>
                <w:sz w:val="21"/>
              </w:rPr>
            </w:pPr>
          </w:p>
          <w:p w14:paraId="14408254">
            <w:pPr>
              <w:spacing w:line="246" w:lineRule="auto"/>
              <w:rPr>
                <w:rFonts w:ascii="Arial"/>
                <w:sz w:val="21"/>
              </w:rPr>
            </w:pPr>
          </w:p>
          <w:p w14:paraId="514AC81C">
            <w:pPr>
              <w:spacing w:line="246" w:lineRule="auto"/>
              <w:rPr>
                <w:rFonts w:ascii="Arial"/>
                <w:sz w:val="21"/>
              </w:rPr>
            </w:pPr>
          </w:p>
          <w:p w14:paraId="58843BEB">
            <w:pPr>
              <w:spacing w:line="246" w:lineRule="auto"/>
              <w:rPr>
                <w:rFonts w:ascii="Arial"/>
                <w:sz w:val="21"/>
              </w:rPr>
            </w:pPr>
          </w:p>
          <w:p w14:paraId="6EDAAB87">
            <w:pPr>
              <w:spacing w:line="246" w:lineRule="auto"/>
              <w:rPr>
                <w:rFonts w:ascii="Arial"/>
                <w:sz w:val="21"/>
              </w:rPr>
            </w:pPr>
          </w:p>
          <w:p w14:paraId="4372D9E3">
            <w:pPr>
              <w:spacing w:line="246" w:lineRule="auto"/>
              <w:rPr>
                <w:rFonts w:ascii="Arial"/>
                <w:sz w:val="21"/>
              </w:rPr>
            </w:pPr>
          </w:p>
          <w:p w14:paraId="62530166">
            <w:pPr>
              <w:spacing w:line="247" w:lineRule="auto"/>
              <w:rPr>
                <w:rFonts w:ascii="Arial"/>
                <w:sz w:val="21"/>
              </w:rPr>
            </w:pPr>
          </w:p>
          <w:p w14:paraId="7D538CA8">
            <w:pPr>
              <w:spacing w:line="247" w:lineRule="auto"/>
              <w:rPr>
                <w:rFonts w:ascii="Arial"/>
                <w:sz w:val="21"/>
              </w:rPr>
            </w:pPr>
          </w:p>
          <w:p w14:paraId="55692D15">
            <w:pPr>
              <w:pStyle w:val="6"/>
              <w:spacing w:before="72" w:line="242" w:lineRule="auto"/>
              <w:ind w:left="131" w:right="131" w:hanging="2"/>
              <w:rPr>
                <w:sz w:val="22"/>
                <w:szCs w:val="22"/>
              </w:rPr>
            </w:pPr>
            <w:r>
              <w:rPr>
                <w:spacing w:val="-4"/>
                <w:sz w:val="22"/>
                <w:szCs w:val="22"/>
              </w:rPr>
              <w:t>环保</w:t>
            </w:r>
            <w:r>
              <w:rPr>
                <w:spacing w:val="-5"/>
                <w:sz w:val="22"/>
                <w:szCs w:val="22"/>
              </w:rPr>
              <w:t>工程</w:t>
            </w:r>
          </w:p>
        </w:tc>
        <w:tc>
          <w:tcPr>
            <w:tcW w:w="396" w:type="dxa"/>
            <w:vMerge w:val="restart"/>
            <w:tcBorders>
              <w:bottom w:val="nil"/>
            </w:tcBorders>
            <w:textDirection w:val="tbRlV"/>
            <w:vAlign w:val="top"/>
          </w:tcPr>
          <w:p w14:paraId="7540B7F8">
            <w:pPr>
              <w:pStyle w:val="6"/>
              <w:spacing w:before="68" w:line="209" w:lineRule="auto"/>
              <w:ind w:left="616"/>
              <w:rPr>
                <w:sz w:val="22"/>
                <w:szCs w:val="22"/>
              </w:rPr>
            </w:pPr>
            <w:r>
              <w:rPr>
                <w:spacing w:val="33"/>
                <w:sz w:val="22"/>
                <w:szCs w:val="22"/>
              </w:rPr>
              <w:t>废水</w:t>
            </w:r>
          </w:p>
        </w:tc>
        <w:tc>
          <w:tcPr>
            <w:tcW w:w="1005" w:type="dxa"/>
            <w:vAlign w:val="top"/>
          </w:tcPr>
          <w:p w14:paraId="5B40EAB8">
            <w:pPr>
              <w:spacing w:line="252" w:lineRule="auto"/>
              <w:rPr>
                <w:rFonts w:ascii="Arial"/>
                <w:sz w:val="21"/>
              </w:rPr>
            </w:pPr>
          </w:p>
          <w:p w14:paraId="4908424C">
            <w:pPr>
              <w:pStyle w:val="6"/>
              <w:spacing w:before="72" w:line="222" w:lineRule="auto"/>
              <w:ind w:left="176"/>
              <w:rPr>
                <w:sz w:val="22"/>
                <w:szCs w:val="22"/>
              </w:rPr>
            </w:pPr>
            <w:r>
              <w:rPr>
                <w:spacing w:val="-3"/>
                <w:sz w:val="22"/>
                <w:szCs w:val="22"/>
              </w:rPr>
              <w:t>生化池</w:t>
            </w:r>
          </w:p>
        </w:tc>
        <w:tc>
          <w:tcPr>
            <w:tcW w:w="4567" w:type="dxa"/>
            <w:vAlign w:val="top"/>
          </w:tcPr>
          <w:p w14:paraId="672A98D5">
            <w:pPr>
              <w:pStyle w:val="6"/>
              <w:spacing w:before="44" w:line="220" w:lineRule="auto"/>
              <w:ind w:left="115" w:right="99" w:hanging="1"/>
              <w:jc w:val="both"/>
              <w:rPr>
                <w:sz w:val="22"/>
                <w:szCs w:val="22"/>
              </w:rPr>
            </w:pPr>
            <w:r>
              <w:rPr>
                <w:spacing w:val="8"/>
                <w:sz w:val="22"/>
                <w:szCs w:val="22"/>
              </w:rPr>
              <w:t>生活污水生化池处理达标后排入市政污水管</w:t>
            </w:r>
            <w:r>
              <w:rPr>
                <w:spacing w:val="-5"/>
                <w:sz w:val="22"/>
                <w:szCs w:val="22"/>
              </w:rPr>
              <w:t>网，生化池处理能力为</w:t>
            </w:r>
            <w:r>
              <w:rPr>
                <w:spacing w:val="-22"/>
                <w:sz w:val="22"/>
                <w:szCs w:val="22"/>
              </w:rPr>
              <w:t xml:space="preserve"> </w:t>
            </w:r>
            <w:r>
              <w:rPr>
                <w:rFonts w:ascii="Times New Roman" w:hAnsi="Times New Roman" w:eastAsia="Times New Roman" w:cs="Times New Roman"/>
                <w:spacing w:val="-5"/>
                <w:sz w:val="22"/>
                <w:szCs w:val="22"/>
              </w:rPr>
              <w:t>15m</w:t>
            </w:r>
            <w:r>
              <w:rPr>
                <w:rFonts w:ascii="Times New Roman" w:hAnsi="Times New Roman" w:eastAsia="Times New Roman" w:cs="Times New Roman"/>
                <w:spacing w:val="-5"/>
                <w:position w:val="7"/>
                <w:sz w:val="14"/>
                <w:szCs w:val="14"/>
              </w:rPr>
              <w:t>3</w:t>
            </w:r>
            <w:r>
              <w:rPr>
                <w:rFonts w:ascii="Times New Roman" w:hAnsi="Times New Roman" w:eastAsia="Times New Roman" w:cs="Times New Roman"/>
                <w:spacing w:val="-5"/>
                <w:sz w:val="22"/>
                <w:szCs w:val="22"/>
              </w:rPr>
              <w:t>/d</w:t>
            </w:r>
            <w:r>
              <w:rPr>
                <w:spacing w:val="-5"/>
                <w:sz w:val="22"/>
                <w:szCs w:val="22"/>
              </w:rPr>
              <w:t>，位于加油站西</w:t>
            </w:r>
            <w:r>
              <w:rPr>
                <w:spacing w:val="-3"/>
                <w:sz w:val="22"/>
                <w:szCs w:val="22"/>
              </w:rPr>
              <w:t>北侧入口旁</w:t>
            </w:r>
          </w:p>
        </w:tc>
        <w:tc>
          <w:tcPr>
            <w:tcW w:w="1319" w:type="dxa"/>
            <w:vAlign w:val="top"/>
          </w:tcPr>
          <w:p w14:paraId="46247F7F">
            <w:pPr>
              <w:spacing w:line="253" w:lineRule="auto"/>
              <w:rPr>
                <w:rFonts w:ascii="Arial"/>
                <w:sz w:val="21"/>
              </w:rPr>
            </w:pPr>
          </w:p>
          <w:p w14:paraId="207F76C8">
            <w:pPr>
              <w:pStyle w:val="6"/>
              <w:spacing w:before="72" w:line="222" w:lineRule="auto"/>
              <w:ind w:left="452"/>
              <w:rPr>
                <w:sz w:val="22"/>
                <w:szCs w:val="22"/>
              </w:rPr>
            </w:pPr>
            <w:r>
              <w:rPr>
                <w:spacing w:val="-4"/>
                <w:sz w:val="22"/>
                <w:szCs w:val="22"/>
              </w:rPr>
              <w:t>利旧</w:t>
            </w:r>
          </w:p>
        </w:tc>
        <w:tc>
          <w:tcPr>
            <w:tcW w:w="91" w:type="dxa"/>
            <w:tcBorders>
              <w:top w:val="nil"/>
              <w:bottom w:val="nil"/>
              <w:right w:val="single" w:color="000000" w:sz="6" w:space="0"/>
            </w:tcBorders>
            <w:vAlign w:val="top"/>
          </w:tcPr>
          <w:p w14:paraId="3AE302F2">
            <w:pPr>
              <w:rPr>
                <w:rFonts w:ascii="Arial"/>
                <w:sz w:val="21"/>
              </w:rPr>
            </w:pPr>
          </w:p>
        </w:tc>
      </w:tr>
      <w:tr w14:paraId="236FC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6" w:hRule="atLeast"/>
        </w:trPr>
        <w:tc>
          <w:tcPr>
            <w:tcW w:w="831" w:type="dxa"/>
            <w:vMerge w:val="continue"/>
            <w:tcBorders>
              <w:top w:val="nil"/>
              <w:left w:val="single" w:color="000000" w:sz="6" w:space="0"/>
              <w:bottom w:val="nil"/>
            </w:tcBorders>
            <w:vAlign w:val="top"/>
          </w:tcPr>
          <w:p w14:paraId="1E56F5D2">
            <w:pPr>
              <w:rPr>
                <w:rFonts w:ascii="Arial"/>
                <w:sz w:val="21"/>
              </w:rPr>
            </w:pPr>
          </w:p>
        </w:tc>
        <w:tc>
          <w:tcPr>
            <w:tcW w:w="80" w:type="dxa"/>
            <w:tcBorders>
              <w:top w:val="nil"/>
              <w:bottom w:val="nil"/>
            </w:tcBorders>
            <w:vAlign w:val="top"/>
          </w:tcPr>
          <w:p w14:paraId="18363DD2">
            <w:pPr>
              <w:rPr>
                <w:rFonts w:ascii="Arial"/>
                <w:sz w:val="21"/>
              </w:rPr>
            </w:pPr>
          </w:p>
        </w:tc>
        <w:tc>
          <w:tcPr>
            <w:tcW w:w="699" w:type="dxa"/>
            <w:vMerge w:val="continue"/>
            <w:tcBorders>
              <w:top w:val="nil"/>
              <w:bottom w:val="nil"/>
            </w:tcBorders>
            <w:vAlign w:val="top"/>
          </w:tcPr>
          <w:p w14:paraId="663A0C83">
            <w:pPr>
              <w:rPr>
                <w:rFonts w:ascii="Arial"/>
                <w:sz w:val="21"/>
              </w:rPr>
            </w:pPr>
          </w:p>
        </w:tc>
        <w:tc>
          <w:tcPr>
            <w:tcW w:w="396" w:type="dxa"/>
            <w:vMerge w:val="continue"/>
            <w:tcBorders>
              <w:top w:val="nil"/>
            </w:tcBorders>
            <w:textDirection w:val="tbRlV"/>
            <w:vAlign w:val="top"/>
          </w:tcPr>
          <w:p w14:paraId="6CAC07FF">
            <w:pPr>
              <w:rPr>
                <w:rFonts w:ascii="Arial"/>
                <w:sz w:val="21"/>
              </w:rPr>
            </w:pPr>
          </w:p>
        </w:tc>
        <w:tc>
          <w:tcPr>
            <w:tcW w:w="1005" w:type="dxa"/>
            <w:vAlign w:val="top"/>
          </w:tcPr>
          <w:p w14:paraId="0861C9A4">
            <w:pPr>
              <w:spacing w:line="273" w:lineRule="auto"/>
              <w:rPr>
                <w:rFonts w:ascii="Arial"/>
                <w:sz w:val="21"/>
              </w:rPr>
            </w:pPr>
          </w:p>
          <w:p w14:paraId="079CF158">
            <w:pPr>
              <w:pStyle w:val="6"/>
              <w:spacing w:before="71" w:line="222" w:lineRule="auto"/>
              <w:ind w:left="187"/>
              <w:rPr>
                <w:sz w:val="22"/>
                <w:szCs w:val="22"/>
              </w:rPr>
            </w:pPr>
            <w:r>
              <w:rPr>
                <w:spacing w:val="-7"/>
                <w:sz w:val="22"/>
                <w:szCs w:val="22"/>
              </w:rPr>
              <w:t>隔油池</w:t>
            </w:r>
          </w:p>
        </w:tc>
        <w:tc>
          <w:tcPr>
            <w:tcW w:w="4567" w:type="dxa"/>
            <w:vAlign w:val="top"/>
          </w:tcPr>
          <w:p w14:paraId="24733B14">
            <w:pPr>
              <w:pStyle w:val="6"/>
              <w:spacing w:before="62" w:line="222" w:lineRule="auto"/>
              <w:ind w:left="112" w:right="96"/>
              <w:jc w:val="both"/>
              <w:rPr>
                <w:sz w:val="22"/>
                <w:szCs w:val="22"/>
              </w:rPr>
            </w:pPr>
            <w:r>
              <w:rPr>
                <w:spacing w:val="8"/>
                <w:sz w:val="22"/>
                <w:szCs w:val="22"/>
              </w:rPr>
              <w:t>场地冲洗废水经环形截流沟导流入隔油沉淀</w:t>
            </w:r>
            <w:r>
              <w:rPr>
                <w:spacing w:val="-3"/>
                <w:sz w:val="22"/>
                <w:szCs w:val="22"/>
              </w:rPr>
              <w:t>池隔油处理后排入市政污水管网，隔油池处理</w:t>
            </w:r>
            <w:r>
              <w:rPr>
                <w:spacing w:val="-2"/>
                <w:sz w:val="22"/>
                <w:szCs w:val="22"/>
              </w:rPr>
              <w:t>能力为</w:t>
            </w:r>
            <w:r>
              <w:rPr>
                <w:spacing w:val="-46"/>
                <w:sz w:val="22"/>
                <w:szCs w:val="22"/>
              </w:rPr>
              <w:t xml:space="preserve"> </w:t>
            </w:r>
            <w:r>
              <w:rPr>
                <w:rFonts w:ascii="Times New Roman" w:hAnsi="Times New Roman" w:eastAsia="Times New Roman" w:cs="Times New Roman"/>
                <w:spacing w:val="-2"/>
                <w:sz w:val="22"/>
                <w:szCs w:val="22"/>
              </w:rPr>
              <w:t>30m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2"/>
                <w:sz w:val="22"/>
                <w:szCs w:val="22"/>
              </w:rPr>
              <w:t>/d</w:t>
            </w:r>
            <w:r>
              <w:rPr>
                <w:rFonts w:ascii="Times New Roman" w:hAnsi="Times New Roman" w:eastAsia="Times New Roman" w:cs="Times New Roman"/>
                <w:spacing w:val="-31"/>
                <w:sz w:val="22"/>
                <w:szCs w:val="22"/>
              </w:rPr>
              <w:t xml:space="preserve"> </w:t>
            </w:r>
            <w:r>
              <w:rPr>
                <w:spacing w:val="-2"/>
                <w:sz w:val="22"/>
                <w:szCs w:val="22"/>
              </w:rPr>
              <w:t>，位于加油站西北侧入口旁</w:t>
            </w:r>
          </w:p>
        </w:tc>
        <w:tc>
          <w:tcPr>
            <w:tcW w:w="1319" w:type="dxa"/>
            <w:vAlign w:val="top"/>
          </w:tcPr>
          <w:p w14:paraId="0DFC3CB4">
            <w:pPr>
              <w:spacing w:line="273" w:lineRule="auto"/>
              <w:rPr>
                <w:rFonts w:ascii="Arial"/>
                <w:sz w:val="21"/>
              </w:rPr>
            </w:pPr>
          </w:p>
          <w:p w14:paraId="338B61DE">
            <w:pPr>
              <w:pStyle w:val="6"/>
              <w:spacing w:before="72" w:line="222" w:lineRule="auto"/>
              <w:ind w:left="452"/>
              <w:rPr>
                <w:sz w:val="22"/>
                <w:szCs w:val="22"/>
              </w:rPr>
            </w:pPr>
            <w:r>
              <w:rPr>
                <w:spacing w:val="-4"/>
                <w:sz w:val="22"/>
                <w:szCs w:val="22"/>
              </w:rPr>
              <w:t>利旧</w:t>
            </w:r>
          </w:p>
        </w:tc>
        <w:tc>
          <w:tcPr>
            <w:tcW w:w="91" w:type="dxa"/>
            <w:tcBorders>
              <w:top w:val="nil"/>
              <w:bottom w:val="nil"/>
              <w:right w:val="single" w:color="000000" w:sz="6" w:space="0"/>
            </w:tcBorders>
            <w:vAlign w:val="top"/>
          </w:tcPr>
          <w:p w14:paraId="1F2FC6CA">
            <w:pPr>
              <w:rPr>
                <w:rFonts w:ascii="Arial"/>
                <w:sz w:val="21"/>
              </w:rPr>
            </w:pPr>
          </w:p>
        </w:tc>
      </w:tr>
      <w:tr w14:paraId="6DFAE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7" w:hRule="atLeast"/>
        </w:trPr>
        <w:tc>
          <w:tcPr>
            <w:tcW w:w="831" w:type="dxa"/>
            <w:vMerge w:val="continue"/>
            <w:tcBorders>
              <w:top w:val="nil"/>
              <w:left w:val="single" w:color="000000" w:sz="6" w:space="0"/>
              <w:bottom w:val="nil"/>
            </w:tcBorders>
            <w:vAlign w:val="top"/>
          </w:tcPr>
          <w:p w14:paraId="3C332D39">
            <w:pPr>
              <w:rPr>
                <w:rFonts w:ascii="Arial"/>
                <w:sz w:val="21"/>
              </w:rPr>
            </w:pPr>
          </w:p>
        </w:tc>
        <w:tc>
          <w:tcPr>
            <w:tcW w:w="80" w:type="dxa"/>
            <w:tcBorders>
              <w:top w:val="nil"/>
              <w:bottom w:val="nil"/>
            </w:tcBorders>
            <w:vAlign w:val="top"/>
          </w:tcPr>
          <w:p w14:paraId="01DCFF88">
            <w:pPr>
              <w:rPr>
                <w:rFonts w:ascii="Arial"/>
                <w:sz w:val="21"/>
              </w:rPr>
            </w:pPr>
          </w:p>
        </w:tc>
        <w:tc>
          <w:tcPr>
            <w:tcW w:w="699" w:type="dxa"/>
            <w:vMerge w:val="continue"/>
            <w:tcBorders>
              <w:top w:val="nil"/>
              <w:bottom w:val="nil"/>
            </w:tcBorders>
            <w:vAlign w:val="top"/>
          </w:tcPr>
          <w:p w14:paraId="725BFA3A">
            <w:pPr>
              <w:rPr>
                <w:rFonts w:ascii="Arial"/>
                <w:sz w:val="21"/>
              </w:rPr>
            </w:pPr>
          </w:p>
        </w:tc>
        <w:tc>
          <w:tcPr>
            <w:tcW w:w="396" w:type="dxa"/>
            <w:vMerge w:val="restart"/>
            <w:tcBorders>
              <w:bottom w:val="nil"/>
            </w:tcBorders>
            <w:textDirection w:val="tbRlV"/>
            <w:vAlign w:val="top"/>
          </w:tcPr>
          <w:p w14:paraId="75357BA5">
            <w:pPr>
              <w:pStyle w:val="6"/>
              <w:spacing w:before="68" w:line="210" w:lineRule="auto"/>
              <w:ind w:left="1203"/>
              <w:rPr>
                <w:sz w:val="22"/>
                <w:szCs w:val="22"/>
              </w:rPr>
            </w:pPr>
            <w:r>
              <w:rPr>
                <w:spacing w:val="31"/>
                <w:sz w:val="22"/>
                <w:szCs w:val="22"/>
              </w:rPr>
              <w:t>废气</w:t>
            </w:r>
          </w:p>
        </w:tc>
        <w:tc>
          <w:tcPr>
            <w:tcW w:w="1005" w:type="dxa"/>
            <w:vMerge w:val="restart"/>
            <w:tcBorders>
              <w:bottom w:val="nil"/>
            </w:tcBorders>
            <w:vAlign w:val="top"/>
          </w:tcPr>
          <w:p w14:paraId="49AA1B11">
            <w:pPr>
              <w:spacing w:line="281" w:lineRule="auto"/>
              <w:rPr>
                <w:rFonts w:ascii="Arial"/>
                <w:sz w:val="21"/>
              </w:rPr>
            </w:pPr>
          </w:p>
          <w:p w14:paraId="7D779436">
            <w:pPr>
              <w:spacing w:line="281" w:lineRule="auto"/>
              <w:rPr>
                <w:rFonts w:ascii="Arial"/>
                <w:sz w:val="21"/>
              </w:rPr>
            </w:pPr>
          </w:p>
          <w:p w14:paraId="6FECE770">
            <w:pPr>
              <w:spacing w:line="281" w:lineRule="auto"/>
              <w:rPr>
                <w:rFonts w:ascii="Arial"/>
                <w:sz w:val="21"/>
              </w:rPr>
            </w:pPr>
          </w:p>
          <w:p w14:paraId="20C4739B">
            <w:pPr>
              <w:spacing w:line="281" w:lineRule="auto"/>
              <w:rPr>
                <w:rFonts w:ascii="Arial"/>
                <w:sz w:val="21"/>
              </w:rPr>
            </w:pPr>
          </w:p>
          <w:p w14:paraId="45B13D1C">
            <w:pPr>
              <w:pStyle w:val="6"/>
              <w:spacing w:before="72"/>
              <w:ind w:left="182" w:right="173" w:hanging="4"/>
              <w:rPr>
                <w:sz w:val="22"/>
                <w:szCs w:val="22"/>
              </w:rPr>
            </w:pPr>
            <w:r>
              <w:rPr>
                <w:spacing w:val="-4"/>
                <w:sz w:val="22"/>
                <w:szCs w:val="22"/>
              </w:rPr>
              <w:t>油气回</w:t>
            </w:r>
            <w:r>
              <w:rPr>
                <w:spacing w:val="-6"/>
                <w:sz w:val="22"/>
                <w:szCs w:val="22"/>
              </w:rPr>
              <w:t>收系统</w:t>
            </w:r>
          </w:p>
        </w:tc>
        <w:tc>
          <w:tcPr>
            <w:tcW w:w="4567" w:type="dxa"/>
            <w:vAlign w:val="top"/>
          </w:tcPr>
          <w:p w14:paraId="02FEF807">
            <w:pPr>
              <w:pStyle w:val="6"/>
              <w:spacing w:before="58" w:line="232" w:lineRule="auto"/>
              <w:ind w:left="112" w:firstLine="5"/>
              <w:jc w:val="both"/>
              <w:rPr>
                <w:sz w:val="22"/>
                <w:szCs w:val="22"/>
              </w:rPr>
            </w:pPr>
            <w:r>
              <w:rPr>
                <w:spacing w:val="-10"/>
                <w:sz w:val="22"/>
                <w:szCs w:val="22"/>
              </w:rPr>
              <w:t>卸油区：</w:t>
            </w:r>
            <w:r>
              <w:rPr>
                <w:rFonts w:ascii="Times New Roman" w:hAnsi="Times New Roman" w:eastAsia="Times New Roman" w:cs="Times New Roman"/>
                <w:spacing w:val="-10"/>
                <w:sz w:val="22"/>
                <w:szCs w:val="22"/>
              </w:rPr>
              <w:t>92</w:t>
            </w:r>
            <w:r>
              <w:rPr>
                <w:rFonts w:ascii="Times New Roman" w:hAnsi="Times New Roman" w:eastAsia="Times New Roman" w:cs="Times New Roman"/>
                <w:spacing w:val="-3"/>
                <w:position w:val="7"/>
                <w:sz w:val="14"/>
                <w:szCs w:val="14"/>
              </w:rPr>
              <w:t>#</w:t>
            </w:r>
            <w:r>
              <w:rPr>
                <w:spacing w:val="-3"/>
                <w:sz w:val="22"/>
                <w:szCs w:val="22"/>
              </w:rPr>
              <w:t>汽油、</w:t>
            </w:r>
            <w:r>
              <w:rPr>
                <w:rFonts w:ascii="Times New Roman" w:hAnsi="Times New Roman" w:eastAsia="Times New Roman" w:cs="Times New Roman"/>
                <w:spacing w:val="-3"/>
                <w:sz w:val="22"/>
                <w:szCs w:val="22"/>
              </w:rPr>
              <w:t>95</w:t>
            </w:r>
            <w:r>
              <w:rPr>
                <w:rFonts w:ascii="Times New Roman" w:hAnsi="Times New Roman" w:eastAsia="Times New Roman" w:cs="Times New Roman"/>
                <w:spacing w:val="-3"/>
                <w:position w:val="7"/>
                <w:sz w:val="14"/>
                <w:szCs w:val="14"/>
              </w:rPr>
              <w:t>#</w:t>
            </w:r>
            <w:r>
              <w:rPr>
                <w:spacing w:val="-3"/>
                <w:sz w:val="22"/>
                <w:szCs w:val="22"/>
              </w:rPr>
              <w:t>汽油及</w:t>
            </w:r>
            <w:r>
              <w:rPr>
                <w:spacing w:val="-41"/>
                <w:sz w:val="22"/>
                <w:szCs w:val="22"/>
              </w:rPr>
              <w:t xml:space="preserve"> </w:t>
            </w:r>
            <w:r>
              <w:rPr>
                <w:rFonts w:ascii="Times New Roman" w:hAnsi="Times New Roman" w:eastAsia="Times New Roman" w:cs="Times New Roman"/>
                <w:spacing w:val="-3"/>
                <w:sz w:val="22"/>
                <w:szCs w:val="22"/>
              </w:rPr>
              <w:t>98</w:t>
            </w:r>
            <w:r>
              <w:rPr>
                <w:rFonts w:ascii="Times New Roman" w:hAnsi="Times New Roman" w:eastAsia="Times New Roman" w:cs="Times New Roman"/>
                <w:spacing w:val="-3"/>
                <w:position w:val="7"/>
                <w:sz w:val="14"/>
                <w:szCs w:val="14"/>
              </w:rPr>
              <w:t>#</w:t>
            </w:r>
            <w:r>
              <w:rPr>
                <w:spacing w:val="-3"/>
                <w:sz w:val="22"/>
                <w:szCs w:val="22"/>
              </w:rPr>
              <w:t>汽油储油罐安</w:t>
            </w:r>
            <w:r>
              <w:rPr>
                <w:spacing w:val="-4"/>
                <w:sz w:val="22"/>
                <w:szCs w:val="22"/>
              </w:rPr>
              <w:t>装卸油油气回收系统（即一次油气回收系统</w:t>
            </w:r>
            <w:r>
              <w:rPr>
                <w:spacing w:val="-48"/>
                <w:sz w:val="22"/>
                <w:szCs w:val="22"/>
              </w:rPr>
              <w:t>），</w:t>
            </w:r>
            <w:r>
              <w:rPr>
                <w:spacing w:val="-3"/>
                <w:sz w:val="22"/>
                <w:szCs w:val="22"/>
              </w:rPr>
              <w:t>包括设置回气管线快速接头、油罐安装卸油防溢阀和浮球阀以及通气管顶部真空压力帽。卸油时，油罐内的油气由卸油油气回收管经快速</w:t>
            </w:r>
            <w:r>
              <w:rPr>
                <w:spacing w:val="-2"/>
                <w:sz w:val="22"/>
                <w:szCs w:val="22"/>
              </w:rPr>
              <w:t>接头排入油罐车</w:t>
            </w:r>
          </w:p>
        </w:tc>
        <w:tc>
          <w:tcPr>
            <w:tcW w:w="1319" w:type="dxa"/>
            <w:vAlign w:val="top"/>
          </w:tcPr>
          <w:p w14:paraId="2E7E64FE">
            <w:pPr>
              <w:spacing w:line="346" w:lineRule="auto"/>
              <w:rPr>
                <w:rFonts w:ascii="Arial"/>
                <w:sz w:val="21"/>
              </w:rPr>
            </w:pPr>
          </w:p>
          <w:p w14:paraId="374C8CB0">
            <w:pPr>
              <w:spacing w:line="347" w:lineRule="auto"/>
              <w:rPr>
                <w:rFonts w:ascii="Arial"/>
                <w:sz w:val="21"/>
              </w:rPr>
            </w:pPr>
          </w:p>
          <w:p w14:paraId="5045D5F4">
            <w:pPr>
              <w:pStyle w:val="6"/>
              <w:spacing w:before="72" w:line="222" w:lineRule="auto"/>
              <w:ind w:left="452"/>
              <w:rPr>
                <w:sz w:val="22"/>
                <w:szCs w:val="22"/>
              </w:rPr>
            </w:pPr>
            <w:r>
              <w:rPr>
                <w:spacing w:val="-4"/>
                <w:sz w:val="22"/>
                <w:szCs w:val="22"/>
              </w:rPr>
              <w:t>利旧</w:t>
            </w:r>
          </w:p>
        </w:tc>
        <w:tc>
          <w:tcPr>
            <w:tcW w:w="91" w:type="dxa"/>
            <w:tcBorders>
              <w:top w:val="nil"/>
              <w:bottom w:val="nil"/>
              <w:right w:val="single" w:color="000000" w:sz="6" w:space="0"/>
            </w:tcBorders>
            <w:vAlign w:val="top"/>
          </w:tcPr>
          <w:p w14:paraId="7A0A2B73">
            <w:pPr>
              <w:rPr>
                <w:rFonts w:ascii="Arial"/>
                <w:sz w:val="21"/>
              </w:rPr>
            </w:pPr>
          </w:p>
        </w:tc>
      </w:tr>
      <w:tr w14:paraId="7AB36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8" w:hRule="atLeast"/>
        </w:trPr>
        <w:tc>
          <w:tcPr>
            <w:tcW w:w="831" w:type="dxa"/>
            <w:vMerge w:val="continue"/>
            <w:tcBorders>
              <w:top w:val="nil"/>
              <w:left w:val="single" w:color="000000" w:sz="6" w:space="0"/>
              <w:bottom w:val="single" w:color="000000" w:sz="6" w:space="0"/>
            </w:tcBorders>
            <w:vAlign w:val="top"/>
          </w:tcPr>
          <w:p w14:paraId="6796DA8D">
            <w:pPr>
              <w:rPr>
                <w:rFonts w:ascii="Arial"/>
                <w:sz w:val="21"/>
              </w:rPr>
            </w:pPr>
          </w:p>
        </w:tc>
        <w:tc>
          <w:tcPr>
            <w:tcW w:w="80" w:type="dxa"/>
            <w:tcBorders>
              <w:top w:val="nil"/>
              <w:bottom w:val="single" w:color="000000" w:sz="6" w:space="0"/>
            </w:tcBorders>
            <w:vAlign w:val="top"/>
          </w:tcPr>
          <w:p w14:paraId="08D4ECC3">
            <w:pPr>
              <w:rPr>
                <w:rFonts w:ascii="Arial"/>
                <w:sz w:val="21"/>
              </w:rPr>
            </w:pPr>
          </w:p>
        </w:tc>
        <w:tc>
          <w:tcPr>
            <w:tcW w:w="699" w:type="dxa"/>
            <w:vMerge w:val="continue"/>
            <w:tcBorders>
              <w:top w:val="nil"/>
              <w:bottom w:val="single" w:color="000000" w:sz="6" w:space="0"/>
            </w:tcBorders>
            <w:vAlign w:val="top"/>
          </w:tcPr>
          <w:p w14:paraId="17158059">
            <w:pPr>
              <w:rPr>
                <w:rFonts w:ascii="Arial"/>
                <w:sz w:val="21"/>
              </w:rPr>
            </w:pPr>
          </w:p>
        </w:tc>
        <w:tc>
          <w:tcPr>
            <w:tcW w:w="396" w:type="dxa"/>
            <w:vMerge w:val="continue"/>
            <w:tcBorders>
              <w:top w:val="nil"/>
              <w:bottom w:val="single" w:color="000000" w:sz="6" w:space="0"/>
            </w:tcBorders>
            <w:textDirection w:val="tbRlV"/>
            <w:vAlign w:val="top"/>
          </w:tcPr>
          <w:p w14:paraId="01EC4FD8">
            <w:pPr>
              <w:rPr>
                <w:rFonts w:ascii="Arial"/>
                <w:sz w:val="21"/>
              </w:rPr>
            </w:pPr>
          </w:p>
        </w:tc>
        <w:tc>
          <w:tcPr>
            <w:tcW w:w="1005" w:type="dxa"/>
            <w:vMerge w:val="continue"/>
            <w:tcBorders>
              <w:top w:val="nil"/>
              <w:bottom w:val="single" w:color="000000" w:sz="6" w:space="0"/>
            </w:tcBorders>
            <w:vAlign w:val="top"/>
          </w:tcPr>
          <w:p w14:paraId="5C471752">
            <w:pPr>
              <w:rPr>
                <w:rFonts w:ascii="Arial"/>
                <w:sz w:val="21"/>
              </w:rPr>
            </w:pPr>
          </w:p>
        </w:tc>
        <w:tc>
          <w:tcPr>
            <w:tcW w:w="4567" w:type="dxa"/>
            <w:tcBorders>
              <w:bottom w:val="single" w:color="000000" w:sz="6" w:space="0"/>
            </w:tcBorders>
            <w:vAlign w:val="top"/>
          </w:tcPr>
          <w:p w14:paraId="49092F99">
            <w:pPr>
              <w:pStyle w:val="6"/>
              <w:spacing w:before="46" w:line="231" w:lineRule="auto"/>
              <w:ind w:left="113" w:right="99"/>
              <w:jc w:val="both"/>
              <w:rPr>
                <w:sz w:val="22"/>
                <w:szCs w:val="22"/>
              </w:rPr>
            </w:pPr>
            <w:r>
              <w:rPr>
                <w:spacing w:val="-3"/>
                <w:sz w:val="22"/>
                <w:szCs w:val="22"/>
              </w:rPr>
              <w:t>加油区：采用具有油气回收功能自封式税控加</w:t>
            </w:r>
            <w:r>
              <w:rPr>
                <w:spacing w:val="-2"/>
                <w:sz w:val="22"/>
                <w:szCs w:val="22"/>
              </w:rPr>
              <w:t>油机（即二次油气回收系统</w:t>
            </w:r>
            <w:r>
              <w:rPr>
                <w:spacing w:val="-8"/>
                <w:sz w:val="22"/>
                <w:szCs w:val="22"/>
              </w:rPr>
              <w:t>），</w:t>
            </w:r>
            <w:r>
              <w:rPr>
                <w:spacing w:val="-2"/>
                <w:sz w:val="22"/>
                <w:szCs w:val="22"/>
              </w:rPr>
              <w:t>加油时油气通</w:t>
            </w:r>
            <w:r>
              <w:rPr>
                <w:spacing w:val="-3"/>
                <w:sz w:val="22"/>
                <w:szCs w:val="22"/>
              </w:rPr>
              <w:t>过油气分离阀、油气过滤器后，通过加油机内</w:t>
            </w:r>
            <w:r>
              <w:rPr>
                <w:spacing w:val="-1"/>
                <w:sz w:val="22"/>
                <w:szCs w:val="22"/>
              </w:rPr>
              <w:t>油气回收泵将油气输回油罐</w:t>
            </w:r>
          </w:p>
        </w:tc>
        <w:tc>
          <w:tcPr>
            <w:tcW w:w="1319" w:type="dxa"/>
            <w:tcBorders>
              <w:bottom w:val="single" w:color="000000" w:sz="6" w:space="0"/>
            </w:tcBorders>
            <w:vAlign w:val="top"/>
          </w:tcPr>
          <w:p w14:paraId="5E01E36F">
            <w:pPr>
              <w:spacing w:line="398" w:lineRule="auto"/>
              <w:rPr>
                <w:rFonts w:ascii="Arial"/>
                <w:sz w:val="21"/>
              </w:rPr>
            </w:pPr>
          </w:p>
          <w:p w14:paraId="0832F425">
            <w:pPr>
              <w:pStyle w:val="6"/>
              <w:spacing w:before="72" w:line="222" w:lineRule="auto"/>
              <w:ind w:left="452"/>
              <w:rPr>
                <w:sz w:val="22"/>
                <w:szCs w:val="22"/>
              </w:rPr>
            </w:pPr>
            <w:r>
              <w:rPr>
                <w:spacing w:val="-4"/>
                <w:sz w:val="22"/>
                <w:szCs w:val="22"/>
              </w:rPr>
              <w:t>利旧</w:t>
            </w:r>
          </w:p>
        </w:tc>
        <w:tc>
          <w:tcPr>
            <w:tcW w:w="91" w:type="dxa"/>
            <w:tcBorders>
              <w:top w:val="nil"/>
              <w:bottom w:val="single" w:color="000000" w:sz="6" w:space="0"/>
              <w:right w:val="single" w:color="000000" w:sz="6" w:space="0"/>
            </w:tcBorders>
            <w:vAlign w:val="top"/>
          </w:tcPr>
          <w:p w14:paraId="708D0AC6">
            <w:pPr>
              <w:rPr>
                <w:rFonts w:ascii="Arial"/>
                <w:sz w:val="21"/>
              </w:rPr>
            </w:pPr>
          </w:p>
        </w:tc>
      </w:tr>
    </w:tbl>
    <w:p w14:paraId="6B8C8594">
      <w:pPr>
        <w:pStyle w:val="2"/>
        <w:rPr>
          <w:sz w:val="21"/>
        </w:rPr>
      </w:pPr>
    </w:p>
    <w:p w14:paraId="6C909755">
      <w:pPr>
        <w:rPr>
          <w:sz w:val="21"/>
          <w:szCs w:val="21"/>
        </w:rPr>
        <w:sectPr>
          <w:footerReference r:id="rId36" w:type="default"/>
          <w:pgSz w:w="11906" w:h="16839"/>
          <w:pgMar w:top="400" w:right="1451" w:bottom="1009" w:left="1451" w:header="0" w:footer="770" w:gutter="0"/>
          <w:cols w:space="720" w:num="1"/>
        </w:sectPr>
      </w:pPr>
    </w:p>
    <w:p w14:paraId="2758C9F1">
      <w:pPr>
        <w:spacing w:before="19"/>
      </w:pPr>
      <w:r>
        <w:drawing>
          <wp:anchor distT="0" distB="0" distL="0" distR="0" simplePos="0" relativeHeight="251663360" behindDoc="0" locked="0" layoutInCell="0" allowOverlap="1">
            <wp:simplePos x="0" y="0"/>
            <wp:positionH relativeFrom="page">
              <wp:posOffset>6555740</wp:posOffset>
            </wp:positionH>
            <wp:positionV relativeFrom="page">
              <wp:posOffset>8252460</wp:posOffset>
            </wp:positionV>
            <wp:extent cx="6350" cy="120332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16"/>
                    <a:stretch>
                      <a:fillRect/>
                    </a:stretch>
                  </pic:blipFill>
                  <pic:spPr>
                    <a:xfrm>
                      <a:off x="0" y="0"/>
                      <a:ext cx="6350" cy="1203325"/>
                    </a:xfrm>
                    <a:prstGeom prst="rect">
                      <a:avLst/>
                    </a:prstGeom>
                  </pic:spPr>
                </pic:pic>
              </a:graphicData>
            </a:graphic>
          </wp:anchor>
        </w:drawing>
      </w:r>
      <w:r>
        <w:drawing>
          <wp:anchor distT="0" distB="0" distL="0" distR="0" simplePos="0" relativeHeight="251662336" behindDoc="0" locked="0" layoutInCell="0" allowOverlap="1">
            <wp:simplePos x="0" y="0"/>
            <wp:positionH relativeFrom="page">
              <wp:posOffset>1518920</wp:posOffset>
            </wp:positionH>
            <wp:positionV relativeFrom="page">
              <wp:posOffset>8246110</wp:posOffset>
            </wp:positionV>
            <wp:extent cx="6350" cy="1209675"/>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7"/>
                    <a:stretch>
                      <a:fillRect/>
                    </a:stretch>
                  </pic:blipFill>
                  <pic:spPr>
                    <a:xfrm>
                      <a:off x="0" y="0"/>
                      <a:ext cx="6350" cy="1209421"/>
                    </a:xfrm>
                    <a:prstGeom prst="rect">
                      <a:avLst/>
                    </a:prstGeom>
                  </pic:spPr>
                </pic:pic>
              </a:graphicData>
            </a:graphic>
          </wp:anchor>
        </w:drawing>
      </w:r>
      <w:r>
        <w:pict>
          <v:shape id="_x0000_s1028" o:spid="_x0000_s1028" style="position:absolute;left:0pt;margin-left:517.95pt;margin-top:86.5pt;height:401.8pt;width:0.5pt;mso-position-horizontal-relative:page;mso-position-vertical-relative:page;z-index:251664384;mso-width-relative:page;mso-height-relative:page;" filled="f" stroked="t" coordsize="10,8035" o:allowincell="f" path="m4,0l4,8035e">
            <v:fill on="f" focussize="0,0"/>
            <v:stroke weight="0.48pt" color="#000000" miterlimit="2" joinstyle="bevel"/>
            <v:imagedata o:title=""/>
            <o:lock v:ext="edit"/>
          </v:shape>
        </w:pict>
      </w:r>
    </w:p>
    <w:p w14:paraId="0174DEC8">
      <w:pPr>
        <w:spacing w:before="19"/>
      </w:pPr>
    </w:p>
    <w:p w14:paraId="6A676AFC">
      <w:pPr>
        <w:spacing w:before="19"/>
      </w:pPr>
    </w:p>
    <w:p w14:paraId="4B776788">
      <w:pPr>
        <w:spacing w:before="18"/>
      </w:pPr>
    </w:p>
    <w:p w14:paraId="52383B95">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783"/>
        <w:gridCol w:w="396"/>
        <w:gridCol w:w="150"/>
        <w:gridCol w:w="855"/>
        <w:gridCol w:w="1550"/>
        <w:gridCol w:w="2425"/>
        <w:gridCol w:w="593"/>
        <w:gridCol w:w="1405"/>
      </w:tblGrid>
      <w:tr w14:paraId="7C14F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831" w:type="dxa"/>
            <w:vMerge w:val="restart"/>
            <w:tcBorders>
              <w:top w:val="single" w:color="000000" w:sz="6" w:space="0"/>
              <w:left w:val="single" w:color="000000" w:sz="6" w:space="0"/>
              <w:bottom w:val="nil"/>
            </w:tcBorders>
            <w:vAlign w:val="top"/>
          </w:tcPr>
          <w:p w14:paraId="55943490">
            <w:pPr>
              <w:rPr>
                <w:rFonts w:ascii="Arial"/>
                <w:sz w:val="21"/>
              </w:rPr>
            </w:pPr>
          </w:p>
        </w:tc>
        <w:tc>
          <w:tcPr>
            <w:tcW w:w="783" w:type="dxa"/>
            <w:vMerge w:val="restart"/>
            <w:tcBorders>
              <w:top w:val="single" w:color="000000" w:sz="6" w:space="0"/>
              <w:bottom w:val="nil"/>
            </w:tcBorders>
            <w:vAlign w:val="top"/>
          </w:tcPr>
          <w:p w14:paraId="55F3F428">
            <w:pPr>
              <w:rPr>
                <w:rFonts w:ascii="Arial"/>
                <w:sz w:val="21"/>
              </w:rPr>
            </w:pPr>
            <w:r>
              <w:pict>
                <v:shape id="_x0000_s1029" o:spid="_x0000_s1029" style="position:absolute;left:0pt;margin-left:3.5pt;margin-top:1pt;height:402.3pt;width:0.5pt;mso-position-horizontal-relative:page;mso-position-vertical-relative:page;z-index:251661312;mso-width-relative:page;mso-height-relative:page;" filled="f" stroked="t" coordsize="10,8045" path="m4,0l4,8045e">
                  <v:fill on="f" focussize="0,0"/>
                  <v:stroke weight="0.48pt" color="#000000" miterlimit="2" joinstyle="bevel"/>
                  <v:imagedata o:title=""/>
                  <o:lock v:ext="edit"/>
                </v:shape>
              </w:pict>
            </w:r>
          </w:p>
        </w:tc>
        <w:tc>
          <w:tcPr>
            <w:tcW w:w="396" w:type="dxa"/>
            <w:vMerge w:val="restart"/>
            <w:tcBorders>
              <w:top w:val="single" w:color="000000" w:sz="6" w:space="0"/>
              <w:bottom w:val="nil"/>
            </w:tcBorders>
            <w:vAlign w:val="top"/>
          </w:tcPr>
          <w:p w14:paraId="6531AA93">
            <w:pPr>
              <w:rPr>
                <w:rFonts w:ascii="Arial"/>
                <w:sz w:val="21"/>
              </w:rPr>
            </w:pPr>
          </w:p>
        </w:tc>
        <w:tc>
          <w:tcPr>
            <w:tcW w:w="1005" w:type="dxa"/>
            <w:gridSpan w:val="2"/>
            <w:tcBorders>
              <w:top w:val="single" w:color="000000" w:sz="6" w:space="0"/>
            </w:tcBorders>
            <w:vAlign w:val="top"/>
          </w:tcPr>
          <w:p w14:paraId="0A103C30">
            <w:pPr>
              <w:rPr>
                <w:rFonts w:ascii="Arial"/>
                <w:sz w:val="21"/>
              </w:rPr>
            </w:pPr>
          </w:p>
        </w:tc>
        <w:tc>
          <w:tcPr>
            <w:tcW w:w="4568" w:type="dxa"/>
            <w:gridSpan w:val="3"/>
            <w:tcBorders>
              <w:top w:val="single" w:color="000000" w:sz="6" w:space="0"/>
            </w:tcBorders>
            <w:vAlign w:val="top"/>
          </w:tcPr>
          <w:p w14:paraId="73EC9E15">
            <w:pPr>
              <w:pStyle w:val="6"/>
              <w:spacing w:before="46" w:line="229" w:lineRule="auto"/>
              <w:ind w:left="107" w:right="104"/>
              <w:jc w:val="both"/>
              <w:rPr>
                <w:sz w:val="22"/>
                <w:szCs w:val="22"/>
              </w:rPr>
            </w:pPr>
            <w:r>
              <w:rPr>
                <w:spacing w:val="-3"/>
                <w:sz w:val="22"/>
                <w:szCs w:val="22"/>
              </w:rPr>
              <w:t>储油区：采用三次油气回收，在地埋式油罐设</w:t>
            </w:r>
            <w:r>
              <w:rPr>
                <w:spacing w:val="-4"/>
                <w:sz w:val="22"/>
                <w:szCs w:val="22"/>
              </w:rPr>
              <w:t>置抽气泵（压缩机）</w:t>
            </w:r>
            <w:r>
              <w:rPr>
                <w:rFonts w:ascii="Times New Roman" w:hAnsi="Times New Roman" w:eastAsia="Times New Roman" w:cs="Times New Roman"/>
                <w:spacing w:val="-4"/>
                <w:sz w:val="22"/>
                <w:szCs w:val="22"/>
              </w:rPr>
              <w:t>+</w:t>
            </w:r>
            <w:r>
              <w:rPr>
                <w:spacing w:val="-4"/>
                <w:sz w:val="22"/>
                <w:szCs w:val="22"/>
              </w:rPr>
              <w:t>冷凝器</w:t>
            </w:r>
            <w:r>
              <w:rPr>
                <w:rFonts w:ascii="Times New Roman" w:hAnsi="Times New Roman" w:eastAsia="Times New Roman" w:cs="Times New Roman"/>
                <w:spacing w:val="-4"/>
                <w:sz w:val="22"/>
                <w:szCs w:val="22"/>
              </w:rPr>
              <w:t>+</w:t>
            </w:r>
            <w:r>
              <w:rPr>
                <w:spacing w:val="-4"/>
                <w:sz w:val="22"/>
                <w:szCs w:val="22"/>
              </w:rPr>
              <w:t>膜组件对高浓度</w:t>
            </w:r>
            <w:r>
              <w:rPr>
                <w:spacing w:val="-1"/>
                <w:sz w:val="22"/>
                <w:szCs w:val="22"/>
              </w:rPr>
              <w:t>油气进行回收处理</w:t>
            </w:r>
          </w:p>
        </w:tc>
        <w:tc>
          <w:tcPr>
            <w:tcW w:w="1405" w:type="dxa"/>
            <w:tcBorders>
              <w:top w:val="single" w:color="000000" w:sz="6" w:space="0"/>
              <w:right w:val="single" w:color="000000" w:sz="6" w:space="0"/>
            </w:tcBorders>
            <w:vAlign w:val="top"/>
          </w:tcPr>
          <w:p w14:paraId="7DEC29F9">
            <w:pPr>
              <w:spacing w:line="259" w:lineRule="auto"/>
              <w:rPr>
                <w:rFonts w:ascii="Arial"/>
                <w:sz w:val="21"/>
              </w:rPr>
            </w:pPr>
          </w:p>
          <w:p w14:paraId="42C3F3BE">
            <w:pPr>
              <w:pStyle w:val="6"/>
              <w:spacing w:before="71" w:line="222" w:lineRule="auto"/>
              <w:ind w:left="447"/>
              <w:rPr>
                <w:sz w:val="22"/>
                <w:szCs w:val="22"/>
              </w:rPr>
            </w:pPr>
            <w:r>
              <w:rPr>
                <w:spacing w:val="-4"/>
                <w:sz w:val="22"/>
                <w:szCs w:val="22"/>
              </w:rPr>
              <w:t>利旧</w:t>
            </w:r>
          </w:p>
        </w:tc>
      </w:tr>
      <w:tr w14:paraId="2029D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831" w:type="dxa"/>
            <w:vMerge w:val="continue"/>
            <w:tcBorders>
              <w:top w:val="nil"/>
              <w:left w:val="single" w:color="000000" w:sz="6" w:space="0"/>
              <w:bottom w:val="nil"/>
            </w:tcBorders>
            <w:vAlign w:val="top"/>
          </w:tcPr>
          <w:p w14:paraId="0E2BD12A">
            <w:pPr>
              <w:rPr>
                <w:rFonts w:ascii="Arial"/>
                <w:sz w:val="21"/>
              </w:rPr>
            </w:pPr>
          </w:p>
        </w:tc>
        <w:tc>
          <w:tcPr>
            <w:tcW w:w="783" w:type="dxa"/>
            <w:vMerge w:val="continue"/>
            <w:tcBorders>
              <w:top w:val="nil"/>
              <w:bottom w:val="nil"/>
            </w:tcBorders>
            <w:vAlign w:val="top"/>
          </w:tcPr>
          <w:p w14:paraId="2444308B">
            <w:pPr>
              <w:rPr>
                <w:rFonts w:ascii="Arial"/>
                <w:sz w:val="21"/>
              </w:rPr>
            </w:pPr>
          </w:p>
        </w:tc>
        <w:tc>
          <w:tcPr>
            <w:tcW w:w="396" w:type="dxa"/>
            <w:vMerge w:val="continue"/>
            <w:tcBorders>
              <w:top w:val="nil"/>
              <w:bottom w:val="nil"/>
            </w:tcBorders>
            <w:vAlign w:val="top"/>
          </w:tcPr>
          <w:p w14:paraId="32122192">
            <w:pPr>
              <w:rPr>
                <w:rFonts w:ascii="Arial"/>
                <w:sz w:val="21"/>
              </w:rPr>
            </w:pPr>
          </w:p>
        </w:tc>
        <w:tc>
          <w:tcPr>
            <w:tcW w:w="1005" w:type="dxa"/>
            <w:gridSpan w:val="2"/>
            <w:vAlign w:val="top"/>
          </w:tcPr>
          <w:p w14:paraId="15C27395">
            <w:pPr>
              <w:pStyle w:val="6"/>
              <w:spacing w:before="156" w:line="242" w:lineRule="auto"/>
              <w:ind w:left="281" w:right="177" w:hanging="111"/>
              <w:rPr>
                <w:sz w:val="22"/>
                <w:szCs w:val="22"/>
              </w:rPr>
            </w:pPr>
            <w:r>
              <w:rPr>
                <w:spacing w:val="-3"/>
                <w:sz w:val="22"/>
                <w:szCs w:val="22"/>
              </w:rPr>
              <w:t>通气放</w:t>
            </w:r>
            <w:r>
              <w:rPr>
                <w:spacing w:val="-4"/>
                <w:sz w:val="22"/>
                <w:szCs w:val="22"/>
              </w:rPr>
              <w:t>气管</w:t>
            </w:r>
          </w:p>
        </w:tc>
        <w:tc>
          <w:tcPr>
            <w:tcW w:w="4568" w:type="dxa"/>
            <w:gridSpan w:val="3"/>
            <w:vAlign w:val="top"/>
          </w:tcPr>
          <w:p w14:paraId="1BF20493">
            <w:pPr>
              <w:pStyle w:val="6"/>
              <w:spacing w:before="34" w:line="228" w:lineRule="auto"/>
              <w:ind w:left="103" w:right="104" w:firstLine="6"/>
              <w:jc w:val="both"/>
              <w:rPr>
                <w:rFonts w:ascii="Times New Roman" w:hAnsi="Times New Roman" w:eastAsia="Times New Roman" w:cs="Times New Roman"/>
                <w:sz w:val="22"/>
                <w:szCs w:val="22"/>
              </w:rPr>
            </w:pPr>
            <w:r>
              <w:rPr>
                <w:spacing w:val="-5"/>
                <w:sz w:val="22"/>
                <w:szCs w:val="22"/>
              </w:rPr>
              <w:t>利旧原有</w:t>
            </w:r>
            <w:r>
              <w:rPr>
                <w:spacing w:val="-31"/>
                <w:sz w:val="22"/>
                <w:szCs w:val="22"/>
              </w:rPr>
              <w:t xml:space="preserve"> </w:t>
            </w:r>
            <w:r>
              <w:rPr>
                <w:rFonts w:ascii="Times New Roman" w:hAnsi="Times New Roman" w:eastAsia="Times New Roman" w:cs="Times New Roman"/>
                <w:spacing w:val="-5"/>
                <w:sz w:val="22"/>
                <w:szCs w:val="22"/>
              </w:rPr>
              <w:t xml:space="preserve">3 </w:t>
            </w:r>
            <w:r>
              <w:rPr>
                <w:spacing w:val="-5"/>
                <w:sz w:val="22"/>
                <w:szCs w:val="22"/>
              </w:rPr>
              <w:t>根通气立管，通气管口设有</w:t>
            </w:r>
            <w:r>
              <w:rPr>
                <w:spacing w:val="-51"/>
                <w:sz w:val="22"/>
                <w:szCs w:val="22"/>
              </w:rPr>
              <w:t xml:space="preserve"> </w:t>
            </w:r>
            <w:r>
              <w:rPr>
                <w:rFonts w:ascii="Times New Roman" w:hAnsi="Times New Roman" w:eastAsia="Times New Roman" w:cs="Times New Roman"/>
                <w:spacing w:val="-5"/>
                <w:sz w:val="22"/>
                <w:szCs w:val="22"/>
              </w:rPr>
              <w:t>P/V</w:t>
            </w:r>
            <w:r>
              <w:rPr>
                <w:rFonts w:ascii="Times New Roman" w:hAnsi="Times New Roman" w:eastAsia="Times New Roman" w:cs="Times New Roman"/>
                <w:spacing w:val="17"/>
                <w:w w:val="101"/>
                <w:sz w:val="22"/>
                <w:szCs w:val="22"/>
              </w:rPr>
              <w:t xml:space="preserve"> </w:t>
            </w:r>
            <w:r>
              <w:rPr>
                <w:spacing w:val="-5"/>
                <w:sz w:val="22"/>
                <w:szCs w:val="22"/>
              </w:rPr>
              <w:t>呼</w:t>
            </w:r>
            <w:r>
              <w:rPr>
                <w:spacing w:val="-4"/>
                <w:sz w:val="22"/>
                <w:szCs w:val="22"/>
              </w:rPr>
              <w:t>吸阀和阻火器，另设置紧急放空阀</w:t>
            </w:r>
            <w:r>
              <w:rPr>
                <w:spacing w:val="-17"/>
                <w:sz w:val="22"/>
                <w:szCs w:val="22"/>
              </w:rPr>
              <w:t xml:space="preserve"> </w:t>
            </w:r>
            <w:r>
              <w:rPr>
                <w:rFonts w:ascii="Times New Roman" w:hAnsi="Times New Roman" w:eastAsia="Times New Roman" w:cs="Times New Roman"/>
                <w:spacing w:val="-4"/>
                <w:sz w:val="22"/>
                <w:szCs w:val="22"/>
              </w:rPr>
              <w:t xml:space="preserve">1 </w:t>
            </w:r>
            <w:r>
              <w:rPr>
                <w:spacing w:val="-4"/>
                <w:sz w:val="22"/>
                <w:szCs w:val="22"/>
              </w:rPr>
              <w:t>根，高度</w:t>
            </w:r>
            <w:r>
              <w:rPr>
                <w:rFonts w:ascii="Times New Roman" w:hAnsi="Times New Roman" w:eastAsia="Times New Roman" w:cs="Times New Roman"/>
                <w:spacing w:val="-1"/>
                <w:sz w:val="22"/>
                <w:szCs w:val="22"/>
              </w:rPr>
              <w:t>≥4m</w:t>
            </w:r>
          </w:p>
        </w:tc>
        <w:tc>
          <w:tcPr>
            <w:tcW w:w="1405" w:type="dxa"/>
            <w:tcBorders>
              <w:right w:val="single" w:color="000000" w:sz="6" w:space="0"/>
            </w:tcBorders>
            <w:vAlign w:val="top"/>
          </w:tcPr>
          <w:p w14:paraId="7EA865F3">
            <w:pPr>
              <w:pStyle w:val="6"/>
              <w:spacing w:before="299" w:line="222" w:lineRule="auto"/>
              <w:ind w:left="447"/>
              <w:rPr>
                <w:sz w:val="22"/>
                <w:szCs w:val="22"/>
              </w:rPr>
            </w:pPr>
            <w:r>
              <w:rPr>
                <w:spacing w:val="-4"/>
                <w:sz w:val="22"/>
                <w:szCs w:val="22"/>
              </w:rPr>
              <w:t>利旧</w:t>
            </w:r>
          </w:p>
        </w:tc>
      </w:tr>
      <w:tr w14:paraId="4FC19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831" w:type="dxa"/>
            <w:vMerge w:val="continue"/>
            <w:tcBorders>
              <w:top w:val="nil"/>
              <w:left w:val="single" w:color="000000" w:sz="6" w:space="0"/>
              <w:bottom w:val="nil"/>
            </w:tcBorders>
            <w:vAlign w:val="top"/>
          </w:tcPr>
          <w:p w14:paraId="63E8029A">
            <w:pPr>
              <w:rPr>
                <w:rFonts w:ascii="Arial"/>
                <w:sz w:val="21"/>
              </w:rPr>
            </w:pPr>
          </w:p>
        </w:tc>
        <w:tc>
          <w:tcPr>
            <w:tcW w:w="783" w:type="dxa"/>
            <w:vMerge w:val="continue"/>
            <w:tcBorders>
              <w:top w:val="nil"/>
              <w:bottom w:val="nil"/>
            </w:tcBorders>
            <w:vAlign w:val="top"/>
          </w:tcPr>
          <w:p w14:paraId="0DBB4566">
            <w:pPr>
              <w:rPr>
                <w:rFonts w:ascii="Arial"/>
                <w:sz w:val="21"/>
              </w:rPr>
            </w:pPr>
          </w:p>
        </w:tc>
        <w:tc>
          <w:tcPr>
            <w:tcW w:w="396" w:type="dxa"/>
            <w:vMerge w:val="continue"/>
            <w:tcBorders>
              <w:top w:val="nil"/>
            </w:tcBorders>
            <w:vAlign w:val="top"/>
          </w:tcPr>
          <w:p w14:paraId="03109E8B">
            <w:pPr>
              <w:rPr>
                <w:rFonts w:ascii="Arial"/>
                <w:sz w:val="21"/>
              </w:rPr>
            </w:pPr>
          </w:p>
        </w:tc>
        <w:tc>
          <w:tcPr>
            <w:tcW w:w="1005" w:type="dxa"/>
            <w:gridSpan w:val="2"/>
            <w:vAlign w:val="top"/>
          </w:tcPr>
          <w:p w14:paraId="5EA469F5">
            <w:pPr>
              <w:pStyle w:val="6"/>
              <w:spacing w:before="32" w:line="221" w:lineRule="auto"/>
              <w:ind w:left="170"/>
              <w:rPr>
                <w:sz w:val="22"/>
                <w:szCs w:val="22"/>
              </w:rPr>
            </w:pPr>
            <w:r>
              <w:rPr>
                <w:spacing w:val="-3"/>
                <w:sz w:val="22"/>
                <w:szCs w:val="22"/>
              </w:rPr>
              <w:t>柴油发</w:t>
            </w:r>
          </w:p>
          <w:p w14:paraId="47882D20">
            <w:pPr>
              <w:pStyle w:val="6"/>
              <w:spacing w:before="21" w:line="223" w:lineRule="auto"/>
              <w:ind w:left="391" w:right="177" w:hanging="195"/>
              <w:rPr>
                <w:sz w:val="22"/>
                <w:szCs w:val="22"/>
              </w:rPr>
            </w:pPr>
            <w:r>
              <w:rPr>
                <w:spacing w:val="-12"/>
                <w:sz w:val="22"/>
                <w:szCs w:val="22"/>
              </w:rPr>
              <w:t>电机废</w:t>
            </w:r>
            <w:r>
              <w:rPr>
                <w:sz w:val="22"/>
                <w:szCs w:val="22"/>
              </w:rPr>
              <w:t>气</w:t>
            </w:r>
          </w:p>
        </w:tc>
        <w:tc>
          <w:tcPr>
            <w:tcW w:w="4568" w:type="dxa"/>
            <w:gridSpan w:val="3"/>
            <w:vAlign w:val="top"/>
          </w:tcPr>
          <w:p w14:paraId="1EA94B99">
            <w:pPr>
              <w:pStyle w:val="6"/>
              <w:spacing w:before="173" w:line="242" w:lineRule="auto"/>
              <w:ind w:left="127" w:right="101" w:hanging="18"/>
              <w:rPr>
                <w:sz w:val="22"/>
                <w:szCs w:val="22"/>
              </w:rPr>
            </w:pPr>
            <w:r>
              <w:rPr>
                <w:spacing w:val="-7"/>
                <w:sz w:val="22"/>
                <w:szCs w:val="22"/>
              </w:rPr>
              <w:t>配置</w:t>
            </w:r>
            <w:r>
              <w:rPr>
                <w:spacing w:val="-19"/>
                <w:sz w:val="22"/>
                <w:szCs w:val="22"/>
              </w:rPr>
              <w:t xml:space="preserve"> </w:t>
            </w:r>
            <w:r>
              <w:rPr>
                <w:rFonts w:ascii="Times New Roman" w:hAnsi="Times New Roman" w:eastAsia="Times New Roman" w:cs="Times New Roman"/>
                <w:spacing w:val="-7"/>
                <w:sz w:val="22"/>
                <w:szCs w:val="22"/>
              </w:rPr>
              <w:t>1</w:t>
            </w:r>
            <w:r>
              <w:rPr>
                <w:rFonts w:ascii="Times New Roman" w:hAnsi="Times New Roman" w:eastAsia="Times New Roman" w:cs="Times New Roman"/>
                <w:spacing w:val="26"/>
                <w:sz w:val="22"/>
                <w:szCs w:val="22"/>
              </w:rPr>
              <w:t xml:space="preserve"> </w:t>
            </w:r>
            <w:r>
              <w:rPr>
                <w:spacing w:val="-7"/>
                <w:sz w:val="22"/>
                <w:szCs w:val="22"/>
              </w:rPr>
              <w:t>台</w:t>
            </w:r>
            <w:r>
              <w:rPr>
                <w:spacing w:val="-49"/>
                <w:sz w:val="22"/>
                <w:szCs w:val="22"/>
              </w:rPr>
              <w:t xml:space="preserve"> </w:t>
            </w:r>
            <w:r>
              <w:rPr>
                <w:rFonts w:ascii="Times New Roman" w:hAnsi="Times New Roman" w:eastAsia="Times New Roman" w:cs="Times New Roman"/>
                <w:spacing w:val="-7"/>
                <w:sz w:val="22"/>
                <w:szCs w:val="22"/>
              </w:rPr>
              <w:t xml:space="preserve">30KW </w:t>
            </w:r>
            <w:r>
              <w:rPr>
                <w:spacing w:val="-7"/>
                <w:sz w:val="22"/>
                <w:szCs w:val="22"/>
              </w:rPr>
              <w:t>备用柴油发电机，运行时产生</w:t>
            </w:r>
            <w:r>
              <w:rPr>
                <w:spacing w:val="-2"/>
                <w:sz w:val="22"/>
                <w:szCs w:val="22"/>
              </w:rPr>
              <w:t>的废气经专用尾气管引至站房外排放</w:t>
            </w:r>
          </w:p>
        </w:tc>
        <w:tc>
          <w:tcPr>
            <w:tcW w:w="1405" w:type="dxa"/>
            <w:tcBorders>
              <w:right w:val="single" w:color="000000" w:sz="6" w:space="0"/>
            </w:tcBorders>
            <w:vAlign w:val="top"/>
          </w:tcPr>
          <w:p w14:paraId="372247ED">
            <w:pPr>
              <w:spacing w:line="245" w:lineRule="auto"/>
              <w:rPr>
                <w:rFonts w:ascii="Arial"/>
                <w:sz w:val="21"/>
              </w:rPr>
            </w:pPr>
          </w:p>
          <w:p w14:paraId="6036BD1F">
            <w:pPr>
              <w:pStyle w:val="6"/>
              <w:spacing w:before="72" w:line="222" w:lineRule="auto"/>
              <w:ind w:left="447"/>
              <w:rPr>
                <w:sz w:val="22"/>
                <w:szCs w:val="22"/>
              </w:rPr>
            </w:pPr>
            <w:r>
              <w:rPr>
                <w:spacing w:val="-4"/>
                <w:sz w:val="22"/>
                <w:szCs w:val="22"/>
              </w:rPr>
              <w:t>利旧</w:t>
            </w:r>
          </w:p>
        </w:tc>
      </w:tr>
      <w:tr w14:paraId="0A825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31" w:type="dxa"/>
            <w:vMerge w:val="continue"/>
            <w:tcBorders>
              <w:top w:val="nil"/>
              <w:left w:val="single" w:color="000000" w:sz="6" w:space="0"/>
              <w:bottom w:val="nil"/>
            </w:tcBorders>
            <w:vAlign w:val="top"/>
          </w:tcPr>
          <w:p w14:paraId="175E0DAE">
            <w:pPr>
              <w:rPr>
                <w:rFonts w:ascii="Arial"/>
                <w:sz w:val="21"/>
              </w:rPr>
            </w:pPr>
          </w:p>
        </w:tc>
        <w:tc>
          <w:tcPr>
            <w:tcW w:w="783" w:type="dxa"/>
            <w:vMerge w:val="continue"/>
            <w:tcBorders>
              <w:top w:val="nil"/>
              <w:bottom w:val="nil"/>
            </w:tcBorders>
            <w:vAlign w:val="top"/>
          </w:tcPr>
          <w:p w14:paraId="33DCA2A3">
            <w:pPr>
              <w:rPr>
                <w:rFonts w:ascii="Arial"/>
                <w:sz w:val="21"/>
              </w:rPr>
            </w:pPr>
          </w:p>
        </w:tc>
        <w:tc>
          <w:tcPr>
            <w:tcW w:w="396" w:type="dxa"/>
            <w:vMerge w:val="restart"/>
            <w:tcBorders>
              <w:bottom w:val="nil"/>
            </w:tcBorders>
            <w:textDirection w:val="tbRlV"/>
            <w:vAlign w:val="top"/>
          </w:tcPr>
          <w:p w14:paraId="0F453554">
            <w:pPr>
              <w:pStyle w:val="6"/>
              <w:spacing w:before="72" w:line="210" w:lineRule="auto"/>
              <w:ind w:left="898"/>
              <w:rPr>
                <w:sz w:val="22"/>
                <w:szCs w:val="22"/>
              </w:rPr>
            </w:pPr>
            <w:r>
              <w:rPr>
                <w:spacing w:val="33"/>
                <w:sz w:val="22"/>
                <w:szCs w:val="22"/>
              </w:rPr>
              <w:t>固废</w:t>
            </w:r>
          </w:p>
        </w:tc>
        <w:tc>
          <w:tcPr>
            <w:tcW w:w="1005" w:type="dxa"/>
            <w:gridSpan w:val="2"/>
            <w:vAlign w:val="top"/>
          </w:tcPr>
          <w:p w14:paraId="48C0ADBE">
            <w:pPr>
              <w:pStyle w:val="6"/>
              <w:spacing w:before="34" w:line="221" w:lineRule="auto"/>
              <w:ind w:left="282"/>
              <w:rPr>
                <w:sz w:val="22"/>
                <w:szCs w:val="22"/>
              </w:rPr>
            </w:pPr>
            <w:r>
              <w:rPr>
                <w:spacing w:val="-5"/>
                <w:sz w:val="22"/>
                <w:szCs w:val="22"/>
              </w:rPr>
              <w:t>生活</w:t>
            </w:r>
          </w:p>
          <w:p w14:paraId="2322808F">
            <w:pPr>
              <w:pStyle w:val="6"/>
              <w:spacing w:before="22" w:line="205" w:lineRule="auto"/>
              <w:ind w:left="282"/>
              <w:rPr>
                <w:sz w:val="22"/>
                <w:szCs w:val="22"/>
              </w:rPr>
            </w:pPr>
            <w:r>
              <w:rPr>
                <w:spacing w:val="-5"/>
                <w:sz w:val="22"/>
                <w:szCs w:val="22"/>
              </w:rPr>
              <w:t>垃圾</w:t>
            </w:r>
          </w:p>
        </w:tc>
        <w:tc>
          <w:tcPr>
            <w:tcW w:w="4568" w:type="dxa"/>
            <w:gridSpan w:val="3"/>
            <w:vAlign w:val="top"/>
          </w:tcPr>
          <w:p w14:paraId="4FC50F32">
            <w:pPr>
              <w:pStyle w:val="6"/>
              <w:spacing w:before="35" w:line="222" w:lineRule="auto"/>
              <w:ind w:left="133" w:right="104" w:hanging="21"/>
              <w:rPr>
                <w:sz w:val="22"/>
                <w:szCs w:val="22"/>
              </w:rPr>
            </w:pPr>
            <w:r>
              <w:rPr>
                <w:spacing w:val="-3"/>
                <w:sz w:val="22"/>
                <w:szCs w:val="22"/>
              </w:rPr>
              <w:t>设置生活垃圾收集桶，收集后定期交由环卫部</w:t>
            </w:r>
            <w:r>
              <w:rPr>
                <w:spacing w:val="-5"/>
                <w:sz w:val="22"/>
                <w:szCs w:val="22"/>
              </w:rPr>
              <w:t>门统一清运处置</w:t>
            </w:r>
          </w:p>
        </w:tc>
        <w:tc>
          <w:tcPr>
            <w:tcW w:w="1405" w:type="dxa"/>
            <w:tcBorders>
              <w:right w:val="single" w:color="000000" w:sz="6" w:space="0"/>
            </w:tcBorders>
            <w:vAlign w:val="top"/>
          </w:tcPr>
          <w:p w14:paraId="09F9CEA6">
            <w:pPr>
              <w:pStyle w:val="6"/>
              <w:spacing w:before="176" w:line="222" w:lineRule="auto"/>
              <w:ind w:left="447"/>
              <w:rPr>
                <w:sz w:val="22"/>
                <w:szCs w:val="22"/>
              </w:rPr>
            </w:pPr>
            <w:r>
              <w:rPr>
                <w:spacing w:val="-4"/>
                <w:sz w:val="22"/>
                <w:szCs w:val="22"/>
              </w:rPr>
              <w:t>利旧</w:t>
            </w:r>
          </w:p>
        </w:tc>
      </w:tr>
      <w:tr w14:paraId="4F7EF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31" w:type="dxa"/>
            <w:vMerge w:val="continue"/>
            <w:tcBorders>
              <w:top w:val="nil"/>
              <w:left w:val="single" w:color="000000" w:sz="6" w:space="0"/>
              <w:bottom w:val="nil"/>
            </w:tcBorders>
            <w:vAlign w:val="top"/>
          </w:tcPr>
          <w:p w14:paraId="39CB09F1">
            <w:pPr>
              <w:rPr>
                <w:rFonts w:ascii="Arial"/>
                <w:sz w:val="21"/>
              </w:rPr>
            </w:pPr>
          </w:p>
        </w:tc>
        <w:tc>
          <w:tcPr>
            <w:tcW w:w="783" w:type="dxa"/>
            <w:vMerge w:val="continue"/>
            <w:tcBorders>
              <w:top w:val="nil"/>
              <w:bottom w:val="nil"/>
            </w:tcBorders>
            <w:vAlign w:val="top"/>
          </w:tcPr>
          <w:p w14:paraId="014BC515">
            <w:pPr>
              <w:rPr>
                <w:rFonts w:ascii="Arial"/>
                <w:sz w:val="21"/>
              </w:rPr>
            </w:pPr>
          </w:p>
        </w:tc>
        <w:tc>
          <w:tcPr>
            <w:tcW w:w="396" w:type="dxa"/>
            <w:vMerge w:val="continue"/>
            <w:tcBorders>
              <w:top w:val="nil"/>
              <w:bottom w:val="nil"/>
            </w:tcBorders>
            <w:textDirection w:val="tbRlV"/>
            <w:vAlign w:val="top"/>
          </w:tcPr>
          <w:p w14:paraId="1F644062">
            <w:pPr>
              <w:rPr>
                <w:rFonts w:ascii="Arial"/>
                <w:sz w:val="21"/>
              </w:rPr>
            </w:pPr>
          </w:p>
        </w:tc>
        <w:tc>
          <w:tcPr>
            <w:tcW w:w="1005" w:type="dxa"/>
            <w:gridSpan w:val="2"/>
            <w:vAlign w:val="top"/>
          </w:tcPr>
          <w:p w14:paraId="4BDBB995">
            <w:pPr>
              <w:pStyle w:val="6"/>
              <w:spacing w:before="35" w:line="222" w:lineRule="auto"/>
              <w:ind w:left="174"/>
              <w:rPr>
                <w:sz w:val="22"/>
                <w:szCs w:val="22"/>
              </w:rPr>
            </w:pPr>
            <w:r>
              <w:rPr>
                <w:spacing w:val="-4"/>
                <w:sz w:val="22"/>
                <w:szCs w:val="22"/>
              </w:rPr>
              <w:t>一般工</w:t>
            </w:r>
          </w:p>
          <w:p w14:paraId="774980DD">
            <w:pPr>
              <w:pStyle w:val="6"/>
              <w:spacing w:before="22" w:line="204" w:lineRule="auto"/>
              <w:ind w:left="169"/>
              <w:rPr>
                <w:sz w:val="22"/>
                <w:szCs w:val="22"/>
              </w:rPr>
            </w:pPr>
            <w:r>
              <w:rPr>
                <w:spacing w:val="-2"/>
                <w:sz w:val="22"/>
                <w:szCs w:val="22"/>
              </w:rPr>
              <w:t>业固废</w:t>
            </w:r>
          </w:p>
        </w:tc>
        <w:tc>
          <w:tcPr>
            <w:tcW w:w="4568" w:type="dxa"/>
            <w:gridSpan w:val="3"/>
            <w:vAlign w:val="top"/>
          </w:tcPr>
          <w:p w14:paraId="32F592A9">
            <w:pPr>
              <w:pStyle w:val="6"/>
              <w:spacing w:before="177" w:line="220" w:lineRule="auto"/>
              <w:ind w:left="110"/>
              <w:rPr>
                <w:sz w:val="22"/>
                <w:szCs w:val="22"/>
              </w:rPr>
            </w:pPr>
            <w:r>
              <w:rPr>
                <w:spacing w:val="-3"/>
                <w:sz w:val="22"/>
                <w:szCs w:val="22"/>
              </w:rPr>
              <w:t>生化池定期清掏，交由环卫部门统一清运处置</w:t>
            </w:r>
          </w:p>
        </w:tc>
        <w:tc>
          <w:tcPr>
            <w:tcW w:w="1405" w:type="dxa"/>
            <w:tcBorders>
              <w:right w:val="single" w:color="000000" w:sz="6" w:space="0"/>
            </w:tcBorders>
            <w:vAlign w:val="top"/>
          </w:tcPr>
          <w:p w14:paraId="5DFA5910">
            <w:pPr>
              <w:spacing w:before="211" w:line="193" w:lineRule="auto"/>
              <w:ind w:left="62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28EBC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831" w:type="dxa"/>
            <w:vMerge w:val="continue"/>
            <w:tcBorders>
              <w:top w:val="nil"/>
              <w:left w:val="single" w:color="000000" w:sz="6" w:space="0"/>
              <w:bottom w:val="nil"/>
            </w:tcBorders>
            <w:vAlign w:val="top"/>
          </w:tcPr>
          <w:p w14:paraId="261335B2">
            <w:pPr>
              <w:rPr>
                <w:rFonts w:ascii="Arial"/>
                <w:sz w:val="21"/>
              </w:rPr>
            </w:pPr>
          </w:p>
        </w:tc>
        <w:tc>
          <w:tcPr>
            <w:tcW w:w="783" w:type="dxa"/>
            <w:vMerge w:val="continue"/>
            <w:tcBorders>
              <w:top w:val="nil"/>
              <w:bottom w:val="nil"/>
            </w:tcBorders>
            <w:vAlign w:val="top"/>
          </w:tcPr>
          <w:p w14:paraId="36B9D094">
            <w:pPr>
              <w:rPr>
                <w:rFonts w:ascii="Arial"/>
                <w:sz w:val="21"/>
              </w:rPr>
            </w:pPr>
          </w:p>
        </w:tc>
        <w:tc>
          <w:tcPr>
            <w:tcW w:w="396" w:type="dxa"/>
            <w:vMerge w:val="continue"/>
            <w:tcBorders>
              <w:top w:val="nil"/>
            </w:tcBorders>
            <w:textDirection w:val="tbRlV"/>
            <w:vAlign w:val="top"/>
          </w:tcPr>
          <w:p w14:paraId="1340498B">
            <w:pPr>
              <w:rPr>
                <w:rFonts w:ascii="Arial"/>
                <w:sz w:val="21"/>
              </w:rPr>
            </w:pPr>
          </w:p>
        </w:tc>
        <w:tc>
          <w:tcPr>
            <w:tcW w:w="1005" w:type="dxa"/>
            <w:gridSpan w:val="2"/>
            <w:vAlign w:val="top"/>
          </w:tcPr>
          <w:p w14:paraId="4CCFAA39">
            <w:pPr>
              <w:spacing w:line="249" w:lineRule="auto"/>
              <w:rPr>
                <w:rFonts w:ascii="Arial"/>
                <w:sz w:val="21"/>
              </w:rPr>
            </w:pPr>
          </w:p>
          <w:p w14:paraId="158CCD73">
            <w:pPr>
              <w:pStyle w:val="6"/>
              <w:spacing w:before="71"/>
              <w:ind w:left="280" w:right="285" w:firstLine="3"/>
              <w:rPr>
                <w:sz w:val="22"/>
                <w:szCs w:val="22"/>
              </w:rPr>
            </w:pPr>
            <w:r>
              <w:rPr>
                <w:spacing w:val="-5"/>
                <w:sz w:val="22"/>
                <w:szCs w:val="22"/>
              </w:rPr>
              <w:t>危险</w:t>
            </w:r>
            <w:r>
              <w:rPr>
                <w:spacing w:val="-3"/>
                <w:sz w:val="22"/>
                <w:szCs w:val="22"/>
              </w:rPr>
              <w:t>废物</w:t>
            </w:r>
          </w:p>
        </w:tc>
        <w:tc>
          <w:tcPr>
            <w:tcW w:w="4568" w:type="dxa"/>
            <w:gridSpan w:val="3"/>
            <w:vAlign w:val="top"/>
          </w:tcPr>
          <w:p w14:paraId="33740875">
            <w:pPr>
              <w:pStyle w:val="6"/>
              <w:spacing w:before="38" w:line="230" w:lineRule="auto"/>
              <w:ind w:left="109" w:right="101" w:firstLine="1"/>
              <w:jc w:val="both"/>
              <w:rPr>
                <w:sz w:val="22"/>
                <w:szCs w:val="22"/>
              </w:rPr>
            </w:pPr>
            <w:r>
              <w:rPr>
                <w:spacing w:val="-4"/>
                <w:sz w:val="22"/>
                <w:szCs w:val="22"/>
              </w:rPr>
              <w:t>依托现有危废贮存点</w:t>
            </w:r>
            <w:r>
              <w:rPr>
                <w:spacing w:val="-16"/>
                <w:sz w:val="22"/>
                <w:szCs w:val="22"/>
              </w:rPr>
              <w:t xml:space="preserve"> </w:t>
            </w:r>
            <w:r>
              <w:rPr>
                <w:rFonts w:ascii="Times New Roman" w:hAnsi="Times New Roman" w:eastAsia="Times New Roman" w:cs="Times New Roman"/>
                <w:spacing w:val="-4"/>
                <w:sz w:val="22"/>
                <w:szCs w:val="22"/>
              </w:rPr>
              <w:t xml:space="preserve">1 </w:t>
            </w:r>
            <w:r>
              <w:rPr>
                <w:spacing w:val="-4"/>
                <w:sz w:val="22"/>
                <w:szCs w:val="22"/>
              </w:rPr>
              <w:t>座，建筑面积为</w:t>
            </w:r>
            <w:r>
              <w:rPr>
                <w:spacing w:val="-51"/>
                <w:sz w:val="22"/>
                <w:szCs w:val="22"/>
              </w:rPr>
              <w:t xml:space="preserve"> </w:t>
            </w:r>
            <w:r>
              <w:rPr>
                <w:rFonts w:ascii="Times New Roman" w:hAnsi="Times New Roman" w:eastAsia="Times New Roman" w:cs="Times New Roman"/>
                <w:spacing w:val="-4"/>
                <w:sz w:val="22"/>
                <w:szCs w:val="22"/>
              </w:rPr>
              <w:t>2m</w:t>
            </w:r>
            <w:r>
              <w:rPr>
                <w:rFonts w:ascii="Times New Roman" w:hAnsi="Times New Roman" w:eastAsia="Times New Roman" w:cs="Times New Roman"/>
                <w:spacing w:val="-4"/>
                <w:position w:val="7"/>
                <w:sz w:val="14"/>
                <w:szCs w:val="14"/>
              </w:rPr>
              <w:t>2</w:t>
            </w:r>
            <w:r>
              <w:rPr>
                <w:rFonts w:ascii="Times New Roman" w:hAnsi="Times New Roman" w:eastAsia="Times New Roman" w:cs="Times New Roman"/>
                <w:spacing w:val="-7"/>
                <w:position w:val="7"/>
                <w:sz w:val="14"/>
                <w:szCs w:val="14"/>
              </w:rPr>
              <w:t xml:space="preserve"> </w:t>
            </w:r>
            <w:r>
              <w:rPr>
                <w:spacing w:val="-4"/>
                <w:sz w:val="22"/>
                <w:szCs w:val="22"/>
              </w:rPr>
              <w:t>，</w:t>
            </w:r>
            <w:r>
              <w:rPr>
                <w:spacing w:val="-3"/>
                <w:sz w:val="22"/>
                <w:szCs w:val="22"/>
              </w:rPr>
              <w:t>位于站内东南角，设置危险废物标识牌，用于临时暂存设备检修废物等危险废物，定期交由</w:t>
            </w:r>
            <w:r>
              <w:rPr>
                <w:spacing w:val="-1"/>
                <w:sz w:val="22"/>
                <w:szCs w:val="22"/>
              </w:rPr>
              <w:t>有危险废物处置资质单位进行清运处置</w:t>
            </w:r>
          </w:p>
        </w:tc>
        <w:tc>
          <w:tcPr>
            <w:tcW w:w="1405" w:type="dxa"/>
            <w:tcBorders>
              <w:right w:val="single" w:color="000000" w:sz="6" w:space="0"/>
            </w:tcBorders>
            <w:vAlign w:val="top"/>
          </w:tcPr>
          <w:p w14:paraId="22CD72AB">
            <w:pPr>
              <w:spacing w:line="390" w:lineRule="auto"/>
              <w:rPr>
                <w:rFonts w:ascii="Arial"/>
                <w:sz w:val="21"/>
              </w:rPr>
            </w:pPr>
          </w:p>
          <w:p w14:paraId="558BAC94">
            <w:pPr>
              <w:pStyle w:val="6"/>
              <w:spacing w:before="71" w:line="222" w:lineRule="auto"/>
              <w:ind w:left="447"/>
              <w:rPr>
                <w:sz w:val="22"/>
                <w:szCs w:val="22"/>
              </w:rPr>
            </w:pPr>
            <w:r>
              <w:rPr>
                <w:spacing w:val="-4"/>
                <w:sz w:val="22"/>
                <w:szCs w:val="22"/>
              </w:rPr>
              <w:t>利旧</w:t>
            </w:r>
          </w:p>
        </w:tc>
      </w:tr>
      <w:tr w14:paraId="58FDF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31" w:type="dxa"/>
            <w:vMerge w:val="continue"/>
            <w:tcBorders>
              <w:top w:val="nil"/>
              <w:left w:val="single" w:color="000000" w:sz="6" w:space="0"/>
              <w:bottom w:val="nil"/>
            </w:tcBorders>
            <w:vAlign w:val="top"/>
          </w:tcPr>
          <w:p w14:paraId="6BEC9A7A">
            <w:pPr>
              <w:rPr>
                <w:rFonts w:ascii="Arial"/>
                <w:sz w:val="21"/>
              </w:rPr>
            </w:pPr>
          </w:p>
        </w:tc>
        <w:tc>
          <w:tcPr>
            <w:tcW w:w="783" w:type="dxa"/>
            <w:vMerge w:val="continue"/>
            <w:tcBorders>
              <w:top w:val="nil"/>
              <w:bottom w:val="nil"/>
            </w:tcBorders>
            <w:vAlign w:val="top"/>
          </w:tcPr>
          <w:p w14:paraId="7577965D">
            <w:pPr>
              <w:rPr>
                <w:rFonts w:ascii="Arial"/>
                <w:sz w:val="21"/>
              </w:rPr>
            </w:pPr>
          </w:p>
        </w:tc>
        <w:tc>
          <w:tcPr>
            <w:tcW w:w="1401" w:type="dxa"/>
            <w:gridSpan w:val="3"/>
            <w:vAlign w:val="top"/>
          </w:tcPr>
          <w:p w14:paraId="53309FFB">
            <w:pPr>
              <w:pStyle w:val="6"/>
              <w:spacing w:before="180" w:line="221" w:lineRule="auto"/>
              <w:ind w:left="488"/>
              <w:rPr>
                <w:sz w:val="22"/>
                <w:szCs w:val="22"/>
              </w:rPr>
            </w:pPr>
            <w:r>
              <w:rPr>
                <w:spacing w:val="-9"/>
                <w:sz w:val="22"/>
                <w:szCs w:val="22"/>
              </w:rPr>
              <w:t>噪声</w:t>
            </w:r>
          </w:p>
        </w:tc>
        <w:tc>
          <w:tcPr>
            <w:tcW w:w="4568" w:type="dxa"/>
            <w:gridSpan w:val="3"/>
            <w:vAlign w:val="top"/>
          </w:tcPr>
          <w:p w14:paraId="6504242A">
            <w:pPr>
              <w:pStyle w:val="6"/>
              <w:spacing w:before="35" w:line="222" w:lineRule="auto"/>
              <w:ind w:left="113" w:right="104" w:hanging="2"/>
              <w:rPr>
                <w:sz w:val="22"/>
                <w:szCs w:val="22"/>
              </w:rPr>
            </w:pPr>
            <w:r>
              <w:rPr>
                <w:spacing w:val="-3"/>
                <w:sz w:val="22"/>
                <w:szCs w:val="22"/>
              </w:rPr>
              <w:t>各类泵采取隔声、减振措施；加强设备维护与</w:t>
            </w:r>
            <w:r>
              <w:rPr>
                <w:spacing w:val="-1"/>
                <w:sz w:val="22"/>
                <w:szCs w:val="22"/>
              </w:rPr>
              <w:t>管理；进出口设置减速及严禁鸣笛等标志</w:t>
            </w:r>
          </w:p>
        </w:tc>
        <w:tc>
          <w:tcPr>
            <w:tcW w:w="1405" w:type="dxa"/>
            <w:tcBorders>
              <w:right w:val="single" w:color="000000" w:sz="6" w:space="0"/>
            </w:tcBorders>
            <w:vAlign w:val="top"/>
          </w:tcPr>
          <w:p w14:paraId="075537B1">
            <w:pPr>
              <w:pStyle w:val="6"/>
              <w:spacing w:before="180" w:line="222" w:lineRule="auto"/>
              <w:ind w:left="447"/>
              <w:rPr>
                <w:sz w:val="22"/>
                <w:szCs w:val="22"/>
              </w:rPr>
            </w:pPr>
            <w:r>
              <w:rPr>
                <w:spacing w:val="-4"/>
                <w:sz w:val="22"/>
                <w:szCs w:val="22"/>
              </w:rPr>
              <w:t>利旧</w:t>
            </w:r>
          </w:p>
        </w:tc>
      </w:tr>
      <w:tr w14:paraId="0F22C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9" w:hRule="atLeast"/>
        </w:trPr>
        <w:tc>
          <w:tcPr>
            <w:tcW w:w="831" w:type="dxa"/>
            <w:vMerge w:val="continue"/>
            <w:tcBorders>
              <w:top w:val="nil"/>
              <w:left w:val="single" w:color="000000" w:sz="6" w:space="0"/>
              <w:bottom w:val="nil"/>
            </w:tcBorders>
            <w:vAlign w:val="top"/>
          </w:tcPr>
          <w:p w14:paraId="5ABDF748">
            <w:pPr>
              <w:rPr>
                <w:rFonts w:ascii="Arial"/>
                <w:sz w:val="21"/>
              </w:rPr>
            </w:pPr>
          </w:p>
        </w:tc>
        <w:tc>
          <w:tcPr>
            <w:tcW w:w="783" w:type="dxa"/>
            <w:vMerge w:val="continue"/>
            <w:tcBorders>
              <w:top w:val="nil"/>
            </w:tcBorders>
            <w:vAlign w:val="top"/>
          </w:tcPr>
          <w:p w14:paraId="1770553F">
            <w:pPr>
              <w:rPr>
                <w:rFonts w:ascii="Arial"/>
                <w:sz w:val="21"/>
              </w:rPr>
            </w:pPr>
          </w:p>
        </w:tc>
        <w:tc>
          <w:tcPr>
            <w:tcW w:w="1401" w:type="dxa"/>
            <w:gridSpan w:val="3"/>
            <w:vAlign w:val="top"/>
          </w:tcPr>
          <w:p w14:paraId="7D380B61">
            <w:pPr>
              <w:spacing w:line="274" w:lineRule="auto"/>
              <w:rPr>
                <w:rFonts w:ascii="Arial"/>
                <w:sz w:val="21"/>
              </w:rPr>
            </w:pPr>
          </w:p>
          <w:p w14:paraId="69532B55">
            <w:pPr>
              <w:spacing w:line="274" w:lineRule="auto"/>
              <w:rPr>
                <w:rFonts w:ascii="Arial"/>
                <w:sz w:val="21"/>
              </w:rPr>
            </w:pPr>
          </w:p>
          <w:p w14:paraId="04DBC1C7">
            <w:pPr>
              <w:spacing w:line="275" w:lineRule="auto"/>
              <w:rPr>
                <w:rFonts w:ascii="Arial"/>
                <w:sz w:val="21"/>
              </w:rPr>
            </w:pPr>
          </w:p>
          <w:p w14:paraId="4256F4C4">
            <w:pPr>
              <w:spacing w:line="275" w:lineRule="auto"/>
              <w:rPr>
                <w:rFonts w:ascii="Arial"/>
                <w:sz w:val="21"/>
              </w:rPr>
            </w:pPr>
          </w:p>
          <w:p w14:paraId="16AC16E6">
            <w:pPr>
              <w:pStyle w:val="6"/>
              <w:spacing w:before="72" w:line="221" w:lineRule="auto"/>
              <w:ind w:left="259"/>
              <w:rPr>
                <w:sz w:val="22"/>
                <w:szCs w:val="22"/>
              </w:rPr>
            </w:pPr>
            <w:r>
              <w:rPr>
                <w:spacing w:val="-2"/>
                <w:sz w:val="22"/>
                <w:szCs w:val="22"/>
              </w:rPr>
              <w:t>环境风险</w:t>
            </w:r>
          </w:p>
        </w:tc>
        <w:tc>
          <w:tcPr>
            <w:tcW w:w="4568" w:type="dxa"/>
            <w:gridSpan w:val="3"/>
            <w:vAlign w:val="top"/>
          </w:tcPr>
          <w:p w14:paraId="6C99C044">
            <w:pPr>
              <w:pStyle w:val="6"/>
              <w:spacing w:before="36" w:line="218" w:lineRule="auto"/>
              <w:ind w:left="108"/>
              <w:rPr>
                <w:sz w:val="22"/>
                <w:szCs w:val="22"/>
              </w:rPr>
            </w:pPr>
            <w:r>
              <w:rPr>
                <w:spacing w:val="-1"/>
                <w:sz w:val="22"/>
                <w:szCs w:val="22"/>
              </w:rPr>
              <w:t>①采用埋地式</w:t>
            </w:r>
            <w:r>
              <w:rPr>
                <w:spacing w:val="-51"/>
                <w:sz w:val="22"/>
                <w:szCs w:val="22"/>
              </w:rPr>
              <w:t xml:space="preserve"> </w:t>
            </w:r>
            <w:r>
              <w:rPr>
                <w:rFonts w:ascii="Times New Roman" w:hAnsi="Times New Roman" w:eastAsia="Times New Roman" w:cs="Times New Roman"/>
                <w:spacing w:val="-1"/>
                <w:sz w:val="22"/>
                <w:szCs w:val="22"/>
              </w:rPr>
              <w:t xml:space="preserve">FF </w:t>
            </w:r>
            <w:r>
              <w:rPr>
                <w:spacing w:val="-1"/>
                <w:sz w:val="22"/>
                <w:szCs w:val="22"/>
              </w:rPr>
              <w:t>双层储罐；</w:t>
            </w:r>
          </w:p>
          <w:p w14:paraId="048AEE03">
            <w:pPr>
              <w:pStyle w:val="6"/>
              <w:spacing w:before="25" w:line="218" w:lineRule="auto"/>
              <w:ind w:left="107"/>
              <w:rPr>
                <w:sz w:val="22"/>
                <w:szCs w:val="22"/>
              </w:rPr>
            </w:pPr>
            <w:r>
              <w:rPr>
                <w:spacing w:val="-1"/>
                <w:sz w:val="22"/>
                <w:szCs w:val="22"/>
              </w:rPr>
              <w:t>②加油机设置泄漏自动切断阀；</w:t>
            </w:r>
          </w:p>
          <w:p w14:paraId="74F85E69">
            <w:pPr>
              <w:pStyle w:val="6"/>
              <w:spacing w:before="25" w:line="218" w:lineRule="auto"/>
              <w:ind w:left="107"/>
              <w:rPr>
                <w:sz w:val="22"/>
                <w:szCs w:val="22"/>
              </w:rPr>
            </w:pPr>
            <w:r>
              <w:rPr>
                <w:spacing w:val="-1"/>
                <w:sz w:val="22"/>
                <w:szCs w:val="22"/>
              </w:rPr>
              <w:t>③加油区及储油区均设置视频监控；</w:t>
            </w:r>
          </w:p>
          <w:p w14:paraId="4584B200">
            <w:pPr>
              <w:pStyle w:val="6"/>
              <w:spacing w:before="25"/>
              <w:ind w:left="108" w:right="104" w:hanging="1"/>
              <w:rPr>
                <w:sz w:val="22"/>
                <w:szCs w:val="22"/>
              </w:rPr>
            </w:pPr>
            <w:r>
              <w:rPr>
                <w:spacing w:val="-3"/>
                <w:sz w:val="22"/>
                <w:szCs w:val="22"/>
              </w:rPr>
              <w:t>③卸油区、加油区及站房均配置相应数量消防器材；</w:t>
            </w:r>
          </w:p>
          <w:p w14:paraId="2A624F4F">
            <w:pPr>
              <w:pStyle w:val="6"/>
              <w:spacing w:line="218" w:lineRule="auto"/>
              <w:ind w:left="107"/>
              <w:rPr>
                <w:sz w:val="22"/>
                <w:szCs w:val="22"/>
              </w:rPr>
            </w:pPr>
            <w:r>
              <w:rPr>
                <w:spacing w:val="-1"/>
                <w:sz w:val="22"/>
                <w:szCs w:val="22"/>
              </w:rPr>
              <w:t>④加油作业区设置截流沟并接入隔油池；</w:t>
            </w:r>
          </w:p>
          <w:p w14:paraId="77D9695F">
            <w:pPr>
              <w:pStyle w:val="6"/>
              <w:spacing w:before="23" w:line="227" w:lineRule="auto"/>
              <w:ind w:left="107" w:right="104"/>
              <w:rPr>
                <w:sz w:val="22"/>
                <w:szCs w:val="22"/>
              </w:rPr>
            </w:pPr>
            <w:r>
              <w:rPr>
                <w:spacing w:val="-3"/>
                <w:sz w:val="22"/>
                <w:szCs w:val="22"/>
              </w:rPr>
              <w:t>⑤站内设置泄漏检测装置、液位仪（高低液位报警系统）、油气在线监测系统以及静电接地</w:t>
            </w:r>
            <w:r>
              <w:rPr>
                <w:spacing w:val="-2"/>
                <w:sz w:val="22"/>
                <w:szCs w:val="22"/>
              </w:rPr>
              <w:t>报警仪等</w:t>
            </w:r>
          </w:p>
        </w:tc>
        <w:tc>
          <w:tcPr>
            <w:tcW w:w="1405" w:type="dxa"/>
            <w:tcBorders>
              <w:right w:val="single" w:color="000000" w:sz="6" w:space="0"/>
            </w:tcBorders>
            <w:vAlign w:val="top"/>
          </w:tcPr>
          <w:p w14:paraId="67BEFAFE">
            <w:pPr>
              <w:spacing w:line="274" w:lineRule="auto"/>
              <w:rPr>
                <w:rFonts w:ascii="Arial"/>
                <w:sz w:val="21"/>
              </w:rPr>
            </w:pPr>
          </w:p>
          <w:p w14:paraId="1EB12C37">
            <w:pPr>
              <w:spacing w:line="275" w:lineRule="auto"/>
              <w:rPr>
                <w:rFonts w:ascii="Arial"/>
                <w:sz w:val="21"/>
              </w:rPr>
            </w:pPr>
          </w:p>
          <w:p w14:paraId="5F587A1B">
            <w:pPr>
              <w:spacing w:line="275" w:lineRule="auto"/>
              <w:rPr>
                <w:rFonts w:ascii="Arial"/>
                <w:sz w:val="21"/>
              </w:rPr>
            </w:pPr>
          </w:p>
          <w:p w14:paraId="4A137202">
            <w:pPr>
              <w:spacing w:line="275" w:lineRule="auto"/>
              <w:rPr>
                <w:rFonts w:ascii="Arial"/>
                <w:sz w:val="21"/>
              </w:rPr>
            </w:pPr>
          </w:p>
          <w:p w14:paraId="4E00E0BE">
            <w:pPr>
              <w:pStyle w:val="6"/>
              <w:spacing w:before="71" w:line="222" w:lineRule="auto"/>
              <w:ind w:left="447"/>
              <w:rPr>
                <w:sz w:val="22"/>
                <w:szCs w:val="22"/>
              </w:rPr>
            </w:pPr>
            <w:r>
              <w:rPr>
                <w:spacing w:val="-4"/>
                <w:sz w:val="22"/>
                <w:szCs w:val="22"/>
              </w:rPr>
              <w:t>利旧</w:t>
            </w:r>
          </w:p>
        </w:tc>
      </w:tr>
      <w:tr w14:paraId="0A387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1" w:hRule="atLeast"/>
        </w:trPr>
        <w:tc>
          <w:tcPr>
            <w:tcW w:w="831" w:type="dxa"/>
            <w:vMerge w:val="continue"/>
            <w:tcBorders>
              <w:top w:val="nil"/>
              <w:left w:val="single" w:color="000000" w:sz="6" w:space="0"/>
              <w:bottom w:val="nil"/>
            </w:tcBorders>
            <w:vAlign w:val="top"/>
          </w:tcPr>
          <w:p w14:paraId="483A9515">
            <w:pPr>
              <w:rPr>
                <w:rFonts w:ascii="Arial"/>
                <w:sz w:val="21"/>
              </w:rPr>
            </w:pPr>
          </w:p>
        </w:tc>
        <w:tc>
          <w:tcPr>
            <w:tcW w:w="8157" w:type="dxa"/>
            <w:gridSpan w:val="8"/>
            <w:tcBorders>
              <w:right w:val="single" w:color="000000" w:sz="6" w:space="0"/>
            </w:tcBorders>
            <w:vAlign w:val="top"/>
          </w:tcPr>
          <w:p w14:paraId="11BCB0EB">
            <w:pPr>
              <w:spacing w:line="264" w:lineRule="auto"/>
              <w:rPr>
                <w:rFonts w:ascii="Arial"/>
                <w:sz w:val="21"/>
              </w:rPr>
            </w:pPr>
          </w:p>
          <w:p w14:paraId="726FEC97">
            <w:pPr>
              <w:spacing w:line="265" w:lineRule="auto"/>
              <w:rPr>
                <w:rFonts w:ascii="Arial"/>
                <w:sz w:val="21"/>
              </w:rPr>
            </w:pPr>
          </w:p>
          <w:p w14:paraId="00E678D0">
            <w:pPr>
              <w:pStyle w:val="6"/>
              <w:spacing w:before="81" w:line="340" w:lineRule="auto"/>
              <w:ind w:left="110" w:right="102" w:firstLine="527"/>
              <w:jc w:val="both"/>
            </w:pPr>
            <w:r>
              <w:rPr>
                <w:spacing w:val="5"/>
              </w:rPr>
              <w:t>改建项目仅针对柴油罐更换为汽油罐，除部分老化管线替换及储罐</w:t>
            </w:r>
            <w:r>
              <w:rPr>
                <w:spacing w:val="8"/>
              </w:rPr>
              <w:t>配套安全环保设施外，新增</w:t>
            </w:r>
            <w:r>
              <w:rPr>
                <w:spacing w:val="-29"/>
              </w:rPr>
              <w:t xml:space="preserve"> </w:t>
            </w:r>
            <w:r>
              <w:rPr>
                <w:rFonts w:ascii="Times New Roman" w:hAnsi="Times New Roman" w:eastAsia="Times New Roman" w:cs="Times New Roman"/>
                <w:spacing w:val="8"/>
              </w:rPr>
              <w:t>98</w:t>
            </w:r>
            <w:r>
              <w:rPr>
                <w:rFonts w:ascii="Times New Roman" w:hAnsi="Times New Roman" w:eastAsia="Times New Roman" w:cs="Times New Roman"/>
                <w:spacing w:val="8"/>
                <w:position w:val="8"/>
                <w:sz w:val="16"/>
                <w:szCs w:val="16"/>
              </w:rPr>
              <w:t>#</w:t>
            </w:r>
            <w:r>
              <w:rPr>
                <w:spacing w:val="8"/>
              </w:rPr>
              <w:t>汽油对应的输送管线、加油枪、卸油口以及三级油气回收等配套设备均可利旧原</w:t>
            </w:r>
            <w:r>
              <w:rPr>
                <w:spacing w:val="-39"/>
              </w:rPr>
              <w:t xml:space="preserve"> </w:t>
            </w:r>
            <w:r>
              <w:rPr>
                <w:rFonts w:ascii="Times New Roman" w:hAnsi="Times New Roman" w:eastAsia="Times New Roman" w:cs="Times New Roman"/>
                <w:spacing w:val="8"/>
              </w:rPr>
              <w:t>0</w:t>
            </w:r>
            <w:r>
              <w:rPr>
                <w:rFonts w:ascii="Times New Roman" w:hAnsi="Times New Roman" w:eastAsia="Times New Roman" w:cs="Times New Roman"/>
                <w:spacing w:val="8"/>
                <w:position w:val="8"/>
                <w:sz w:val="16"/>
                <w:szCs w:val="16"/>
              </w:rPr>
              <w:t>#</w:t>
            </w:r>
            <w:r>
              <w:rPr>
                <w:spacing w:val="8"/>
              </w:rPr>
              <w:t>柴油对应设备。</w:t>
            </w:r>
          </w:p>
          <w:p w14:paraId="34271E1D">
            <w:pPr>
              <w:pStyle w:val="6"/>
              <w:spacing w:before="1" w:line="225" w:lineRule="auto"/>
              <w:ind w:left="106"/>
            </w:pPr>
            <w:r>
              <w:rPr>
                <w:rFonts w:ascii="Times New Roman" w:hAnsi="Times New Roman" w:eastAsia="Times New Roman" w:cs="Times New Roman"/>
                <w:b/>
                <w:bCs/>
                <w:spacing w:val="5"/>
              </w:rPr>
              <w:t xml:space="preserve">2.3.3 </w:t>
            </w:r>
            <w:r>
              <w:rPr>
                <w:b/>
                <w:bCs/>
                <w:spacing w:val="5"/>
              </w:rPr>
              <w:t>销售规模及产品方案</w:t>
            </w:r>
          </w:p>
          <w:p w14:paraId="4F6BBBA7">
            <w:pPr>
              <w:pStyle w:val="6"/>
              <w:spacing w:before="155" w:line="225" w:lineRule="auto"/>
              <w:ind w:left="629"/>
            </w:pPr>
            <w:r>
              <w:rPr>
                <w:spacing w:val="9"/>
              </w:rPr>
              <w:t>本项目改扩建完成前后产品方案及销售规模见下表。</w:t>
            </w:r>
          </w:p>
          <w:p w14:paraId="1D04B288">
            <w:pPr>
              <w:pStyle w:val="6"/>
              <w:spacing w:before="153" w:line="219" w:lineRule="auto"/>
              <w:ind w:left="1568"/>
            </w:pPr>
            <w:r>
              <w:rPr>
                <w:spacing w:val="7"/>
              </w:rPr>
              <w:t>表</w:t>
            </w:r>
            <w:r>
              <w:rPr>
                <w:spacing w:val="-54"/>
              </w:rPr>
              <w:t xml:space="preserve"> </w:t>
            </w:r>
            <w:r>
              <w:rPr>
                <w:rFonts w:ascii="Times New Roman" w:hAnsi="Times New Roman" w:eastAsia="Times New Roman" w:cs="Times New Roman"/>
                <w:spacing w:val="7"/>
              </w:rPr>
              <w:t xml:space="preserve">2.3-2    </w:t>
            </w:r>
            <w:r>
              <w:rPr>
                <w:spacing w:val="7"/>
              </w:rPr>
              <w:t>本项目产品方案及销售规</w:t>
            </w:r>
            <w:r>
              <w:rPr>
                <w:spacing w:val="6"/>
              </w:rPr>
              <w:t>模一览表</w:t>
            </w:r>
          </w:p>
        </w:tc>
      </w:tr>
      <w:tr w14:paraId="4A226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831" w:type="dxa"/>
            <w:vMerge w:val="continue"/>
            <w:tcBorders>
              <w:top w:val="nil"/>
              <w:left w:val="single" w:color="000000" w:sz="6" w:space="0"/>
              <w:bottom w:val="nil"/>
            </w:tcBorders>
            <w:vAlign w:val="top"/>
          </w:tcPr>
          <w:p w14:paraId="4280CB33">
            <w:pPr>
              <w:rPr>
                <w:rFonts w:ascii="Arial"/>
                <w:sz w:val="21"/>
              </w:rPr>
            </w:pPr>
          </w:p>
        </w:tc>
        <w:tc>
          <w:tcPr>
            <w:tcW w:w="1329" w:type="dxa"/>
            <w:gridSpan w:val="3"/>
            <w:vAlign w:val="top"/>
          </w:tcPr>
          <w:p w14:paraId="66E9D09E">
            <w:pPr>
              <w:pStyle w:val="6"/>
              <w:spacing w:before="88" w:line="220" w:lineRule="auto"/>
              <w:ind w:left="224"/>
              <w:rPr>
                <w:sz w:val="22"/>
                <w:szCs w:val="22"/>
              </w:rPr>
            </w:pPr>
            <w:r>
              <w:rPr>
                <w:spacing w:val="-5"/>
                <w:sz w:val="22"/>
                <w:szCs w:val="22"/>
              </w:rPr>
              <w:t>分类</w:t>
            </w:r>
          </w:p>
        </w:tc>
        <w:tc>
          <w:tcPr>
            <w:tcW w:w="2405" w:type="dxa"/>
            <w:gridSpan w:val="2"/>
            <w:vAlign w:val="top"/>
          </w:tcPr>
          <w:p w14:paraId="332A89FE">
            <w:pPr>
              <w:pStyle w:val="6"/>
              <w:spacing w:before="88" w:line="220" w:lineRule="auto"/>
              <w:ind w:left="124"/>
              <w:rPr>
                <w:sz w:val="22"/>
                <w:szCs w:val="22"/>
              </w:rPr>
            </w:pPr>
            <w:r>
              <w:rPr>
                <w:spacing w:val="-2"/>
                <w:sz w:val="22"/>
                <w:szCs w:val="22"/>
              </w:rPr>
              <w:t>改扩建前销售规模</w:t>
            </w:r>
          </w:p>
        </w:tc>
        <w:tc>
          <w:tcPr>
            <w:tcW w:w="2425" w:type="dxa"/>
            <w:vAlign w:val="top"/>
          </w:tcPr>
          <w:p w14:paraId="57B84344">
            <w:pPr>
              <w:pStyle w:val="6"/>
              <w:spacing w:before="88" w:line="220" w:lineRule="auto"/>
              <w:ind w:left="129"/>
              <w:rPr>
                <w:sz w:val="22"/>
                <w:szCs w:val="22"/>
              </w:rPr>
            </w:pPr>
            <w:r>
              <w:rPr>
                <w:spacing w:val="-2"/>
                <w:sz w:val="22"/>
                <w:szCs w:val="22"/>
              </w:rPr>
              <w:t>改扩建后销售规模</w:t>
            </w:r>
          </w:p>
        </w:tc>
        <w:tc>
          <w:tcPr>
            <w:tcW w:w="1998" w:type="dxa"/>
            <w:gridSpan w:val="2"/>
            <w:tcBorders>
              <w:right w:val="single" w:color="000000" w:sz="6" w:space="0"/>
            </w:tcBorders>
            <w:vAlign w:val="top"/>
          </w:tcPr>
          <w:p w14:paraId="75C723CA">
            <w:pPr>
              <w:pStyle w:val="6"/>
              <w:spacing w:before="87" w:line="222" w:lineRule="auto"/>
              <w:ind w:left="127"/>
              <w:rPr>
                <w:sz w:val="22"/>
                <w:szCs w:val="22"/>
              </w:rPr>
            </w:pPr>
            <w:r>
              <w:rPr>
                <w:spacing w:val="-5"/>
                <w:sz w:val="22"/>
                <w:szCs w:val="22"/>
              </w:rPr>
              <w:t>备注</w:t>
            </w:r>
          </w:p>
        </w:tc>
      </w:tr>
      <w:tr w14:paraId="71F4A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31" w:type="dxa"/>
            <w:vMerge w:val="continue"/>
            <w:tcBorders>
              <w:top w:val="nil"/>
              <w:left w:val="single" w:color="000000" w:sz="6" w:space="0"/>
              <w:bottom w:val="nil"/>
            </w:tcBorders>
            <w:vAlign w:val="top"/>
          </w:tcPr>
          <w:p w14:paraId="7346BC0B">
            <w:pPr>
              <w:rPr>
                <w:rFonts w:ascii="Arial"/>
                <w:sz w:val="21"/>
              </w:rPr>
            </w:pPr>
          </w:p>
        </w:tc>
        <w:tc>
          <w:tcPr>
            <w:tcW w:w="783" w:type="dxa"/>
            <w:vMerge w:val="restart"/>
            <w:tcBorders>
              <w:bottom w:val="nil"/>
            </w:tcBorders>
            <w:vAlign w:val="top"/>
          </w:tcPr>
          <w:p w14:paraId="50E84DD6">
            <w:pPr>
              <w:spacing w:line="440" w:lineRule="auto"/>
              <w:rPr>
                <w:rFonts w:ascii="Arial"/>
                <w:sz w:val="21"/>
              </w:rPr>
            </w:pPr>
          </w:p>
          <w:p w14:paraId="665F1588">
            <w:pPr>
              <w:pStyle w:val="6"/>
              <w:spacing w:before="72" w:line="242" w:lineRule="auto"/>
              <w:ind w:left="222" w:right="101" w:firstLine="2"/>
              <w:rPr>
                <w:sz w:val="22"/>
                <w:szCs w:val="22"/>
              </w:rPr>
            </w:pPr>
            <w:r>
              <w:rPr>
                <w:spacing w:val="5"/>
                <w:sz w:val="22"/>
                <w:szCs w:val="22"/>
              </w:rPr>
              <w:t>油品</w:t>
            </w:r>
            <w:r>
              <w:rPr>
                <w:spacing w:val="-4"/>
                <w:sz w:val="22"/>
                <w:szCs w:val="22"/>
              </w:rPr>
              <w:t>销售</w:t>
            </w:r>
          </w:p>
        </w:tc>
        <w:tc>
          <w:tcPr>
            <w:tcW w:w="546" w:type="dxa"/>
            <w:gridSpan w:val="2"/>
            <w:vAlign w:val="top"/>
          </w:tcPr>
          <w:p w14:paraId="6C99B76B">
            <w:pPr>
              <w:spacing w:before="107" w:line="206" w:lineRule="auto"/>
              <w:ind w:left="117"/>
              <w:rPr>
                <w:rFonts w:ascii="Times New Roman" w:hAnsi="Times New Roman" w:eastAsia="Times New Roman" w:cs="Times New Roman"/>
                <w:sz w:val="14"/>
                <w:szCs w:val="14"/>
              </w:rPr>
            </w:pPr>
            <w:r>
              <w:rPr>
                <w:rFonts w:ascii="Times New Roman" w:hAnsi="Times New Roman" w:eastAsia="Times New Roman" w:cs="Times New Roman"/>
                <w:spacing w:val="-4"/>
                <w:position w:val="-2"/>
                <w:sz w:val="22"/>
                <w:szCs w:val="22"/>
              </w:rPr>
              <w:t>0</w:t>
            </w:r>
            <w:r>
              <w:rPr>
                <w:rFonts w:ascii="Times New Roman" w:hAnsi="Times New Roman" w:eastAsia="Times New Roman" w:cs="Times New Roman"/>
                <w:spacing w:val="-4"/>
                <w:position w:val="5"/>
                <w:sz w:val="14"/>
                <w:szCs w:val="14"/>
              </w:rPr>
              <w:t>#</w:t>
            </w:r>
          </w:p>
        </w:tc>
        <w:tc>
          <w:tcPr>
            <w:tcW w:w="2405" w:type="dxa"/>
            <w:gridSpan w:val="2"/>
            <w:vAlign w:val="top"/>
          </w:tcPr>
          <w:p w14:paraId="0D482BBC">
            <w:pPr>
              <w:pStyle w:val="6"/>
              <w:spacing w:before="87" w:line="232" w:lineRule="auto"/>
              <w:ind w:left="134"/>
              <w:rPr>
                <w:sz w:val="22"/>
                <w:szCs w:val="22"/>
              </w:rPr>
            </w:pPr>
            <w:r>
              <w:rPr>
                <w:rFonts w:ascii="Times New Roman" w:hAnsi="Times New Roman" w:eastAsia="Times New Roman" w:cs="Times New Roman"/>
                <w:spacing w:val="-2"/>
                <w:sz w:val="22"/>
                <w:szCs w:val="22"/>
              </w:rPr>
              <w:t>1.644t/d</w:t>
            </w:r>
            <w:r>
              <w:rPr>
                <w:spacing w:val="-2"/>
                <w:sz w:val="22"/>
                <w:szCs w:val="22"/>
              </w:rPr>
              <w:t>（</w:t>
            </w:r>
            <w:r>
              <w:rPr>
                <w:rFonts w:ascii="Times New Roman" w:hAnsi="Times New Roman" w:eastAsia="Times New Roman" w:cs="Times New Roman"/>
                <w:spacing w:val="-2"/>
                <w:sz w:val="22"/>
                <w:szCs w:val="22"/>
              </w:rPr>
              <w:t>600t/a</w:t>
            </w:r>
            <w:r>
              <w:rPr>
                <w:spacing w:val="-2"/>
                <w:sz w:val="22"/>
                <w:szCs w:val="22"/>
              </w:rPr>
              <w:t>）</w:t>
            </w:r>
          </w:p>
        </w:tc>
        <w:tc>
          <w:tcPr>
            <w:tcW w:w="2425" w:type="dxa"/>
            <w:vAlign w:val="top"/>
          </w:tcPr>
          <w:p w14:paraId="61019D3B">
            <w:pPr>
              <w:spacing w:before="125" w:line="189" w:lineRule="auto"/>
              <w:ind w:left="120"/>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998" w:type="dxa"/>
            <w:gridSpan w:val="2"/>
            <w:tcBorders>
              <w:right w:val="single" w:color="000000" w:sz="6" w:space="0"/>
            </w:tcBorders>
            <w:vAlign w:val="top"/>
          </w:tcPr>
          <w:p w14:paraId="5100C7D5">
            <w:pPr>
              <w:pStyle w:val="6"/>
              <w:spacing w:before="87" w:line="220" w:lineRule="auto"/>
              <w:ind w:left="125"/>
              <w:rPr>
                <w:sz w:val="22"/>
                <w:szCs w:val="22"/>
              </w:rPr>
            </w:pPr>
            <w:r>
              <w:rPr>
                <w:spacing w:val="-2"/>
                <w:sz w:val="22"/>
                <w:szCs w:val="22"/>
              </w:rPr>
              <w:t>减少柴油种类</w:t>
            </w:r>
          </w:p>
        </w:tc>
      </w:tr>
      <w:tr w14:paraId="2B478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31" w:type="dxa"/>
            <w:vMerge w:val="continue"/>
            <w:tcBorders>
              <w:top w:val="nil"/>
              <w:left w:val="single" w:color="000000" w:sz="6" w:space="0"/>
              <w:bottom w:val="nil"/>
            </w:tcBorders>
            <w:vAlign w:val="top"/>
          </w:tcPr>
          <w:p w14:paraId="6A4DCC0C">
            <w:pPr>
              <w:rPr>
                <w:rFonts w:ascii="Arial"/>
                <w:sz w:val="21"/>
              </w:rPr>
            </w:pPr>
          </w:p>
        </w:tc>
        <w:tc>
          <w:tcPr>
            <w:tcW w:w="783" w:type="dxa"/>
            <w:vMerge w:val="continue"/>
            <w:tcBorders>
              <w:top w:val="nil"/>
              <w:bottom w:val="nil"/>
            </w:tcBorders>
            <w:vAlign w:val="top"/>
          </w:tcPr>
          <w:p w14:paraId="78DDFD40">
            <w:pPr>
              <w:rPr>
                <w:rFonts w:ascii="Arial"/>
                <w:sz w:val="21"/>
              </w:rPr>
            </w:pPr>
          </w:p>
        </w:tc>
        <w:tc>
          <w:tcPr>
            <w:tcW w:w="546" w:type="dxa"/>
            <w:gridSpan w:val="2"/>
            <w:vAlign w:val="top"/>
          </w:tcPr>
          <w:p w14:paraId="450D4A59">
            <w:pPr>
              <w:spacing w:before="107" w:line="206" w:lineRule="auto"/>
              <w:ind w:left="118"/>
              <w:rPr>
                <w:rFonts w:ascii="Times New Roman" w:hAnsi="Times New Roman" w:eastAsia="Times New Roman" w:cs="Times New Roman"/>
                <w:sz w:val="14"/>
                <w:szCs w:val="14"/>
              </w:rPr>
            </w:pPr>
            <w:r>
              <w:rPr>
                <w:rFonts w:ascii="Times New Roman" w:hAnsi="Times New Roman" w:eastAsia="Times New Roman" w:cs="Times New Roman"/>
                <w:spacing w:val="-3"/>
                <w:position w:val="-1"/>
                <w:sz w:val="22"/>
                <w:szCs w:val="22"/>
              </w:rPr>
              <w:t>92</w:t>
            </w:r>
            <w:r>
              <w:rPr>
                <w:rFonts w:ascii="Times New Roman" w:hAnsi="Times New Roman" w:eastAsia="Times New Roman" w:cs="Times New Roman"/>
                <w:spacing w:val="-3"/>
                <w:position w:val="5"/>
                <w:sz w:val="14"/>
                <w:szCs w:val="14"/>
              </w:rPr>
              <w:t>#</w:t>
            </w:r>
          </w:p>
        </w:tc>
        <w:tc>
          <w:tcPr>
            <w:tcW w:w="2405" w:type="dxa"/>
            <w:gridSpan w:val="2"/>
            <w:vAlign w:val="top"/>
          </w:tcPr>
          <w:p w14:paraId="553AD4F8">
            <w:pPr>
              <w:pStyle w:val="6"/>
              <w:spacing w:before="87" w:line="232" w:lineRule="auto"/>
              <w:ind w:left="117"/>
              <w:rPr>
                <w:sz w:val="22"/>
                <w:szCs w:val="22"/>
              </w:rPr>
            </w:pPr>
            <w:r>
              <w:rPr>
                <w:rFonts w:ascii="Times New Roman" w:hAnsi="Times New Roman" w:eastAsia="Times New Roman" w:cs="Times New Roman"/>
                <w:spacing w:val="-1"/>
                <w:sz w:val="22"/>
                <w:szCs w:val="22"/>
              </w:rPr>
              <w:t>3.01t/d</w:t>
            </w:r>
            <w:r>
              <w:rPr>
                <w:spacing w:val="-1"/>
                <w:sz w:val="22"/>
                <w:szCs w:val="22"/>
              </w:rPr>
              <w:t>（</w:t>
            </w:r>
            <w:r>
              <w:rPr>
                <w:rFonts w:ascii="Times New Roman" w:hAnsi="Times New Roman" w:eastAsia="Times New Roman" w:cs="Times New Roman"/>
                <w:spacing w:val="-1"/>
                <w:sz w:val="22"/>
                <w:szCs w:val="22"/>
              </w:rPr>
              <w:t>1100t/a</w:t>
            </w:r>
            <w:r>
              <w:rPr>
                <w:spacing w:val="-1"/>
                <w:sz w:val="22"/>
                <w:szCs w:val="22"/>
              </w:rPr>
              <w:t>）</w:t>
            </w:r>
          </w:p>
        </w:tc>
        <w:tc>
          <w:tcPr>
            <w:tcW w:w="2425" w:type="dxa"/>
            <w:vAlign w:val="top"/>
          </w:tcPr>
          <w:p w14:paraId="046E130B">
            <w:pPr>
              <w:pStyle w:val="6"/>
              <w:spacing w:before="87" w:line="232" w:lineRule="auto"/>
              <w:ind w:left="121"/>
              <w:rPr>
                <w:sz w:val="22"/>
                <w:szCs w:val="22"/>
              </w:rPr>
            </w:pPr>
            <w:r>
              <w:rPr>
                <w:rFonts w:ascii="Times New Roman" w:hAnsi="Times New Roman" w:eastAsia="Times New Roman" w:cs="Times New Roman"/>
                <w:spacing w:val="-1"/>
                <w:sz w:val="22"/>
                <w:szCs w:val="22"/>
              </w:rPr>
              <w:t>3.01t/d</w:t>
            </w:r>
            <w:r>
              <w:rPr>
                <w:spacing w:val="-1"/>
                <w:sz w:val="22"/>
                <w:szCs w:val="22"/>
              </w:rPr>
              <w:t>（</w:t>
            </w:r>
            <w:r>
              <w:rPr>
                <w:rFonts w:ascii="Times New Roman" w:hAnsi="Times New Roman" w:eastAsia="Times New Roman" w:cs="Times New Roman"/>
                <w:spacing w:val="-1"/>
                <w:sz w:val="22"/>
                <w:szCs w:val="22"/>
              </w:rPr>
              <w:t>1100t/a</w:t>
            </w:r>
            <w:r>
              <w:rPr>
                <w:spacing w:val="-1"/>
                <w:sz w:val="22"/>
                <w:szCs w:val="22"/>
              </w:rPr>
              <w:t>）</w:t>
            </w:r>
          </w:p>
        </w:tc>
        <w:tc>
          <w:tcPr>
            <w:tcW w:w="1998" w:type="dxa"/>
            <w:gridSpan w:val="2"/>
            <w:tcBorders>
              <w:right w:val="single" w:color="000000" w:sz="6" w:space="0"/>
            </w:tcBorders>
            <w:vAlign w:val="top"/>
          </w:tcPr>
          <w:p w14:paraId="1E4B5D7B">
            <w:pPr>
              <w:pStyle w:val="6"/>
              <w:spacing w:before="87" w:line="221" w:lineRule="auto"/>
              <w:ind w:left="126"/>
              <w:rPr>
                <w:sz w:val="22"/>
                <w:szCs w:val="22"/>
              </w:rPr>
            </w:pPr>
            <w:r>
              <w:rPr>
                <w:spacing w:val="-3"/>
                <w:sz w:val="22"/>
                <w:szCs w:val="22"/>
              </w:rPr>
              <w:t>无变化</w:t>
            </w:r>
          </w:p>
        </w:tc>
      </w:tr>
      <w:tr w14:paraId="0BD94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31" w:type="dxa"/>
            <w:vMerge w:val="continue"/>
            <w:tcBorders>
              <w:top w:val="nil"/>
              <w:left w:val="single" w:color="000000" w:sz="6" w:space="0"/>
              <w:bottom w:val="nil"/>
            </w:tcBorders>
            <w:vAlign w:val="top"/>
          </w:tcPr>
          <w:p w14:paraId="13E5A0FA">
            <w:pPr>
              <w:rPr>
                <w:rFonts w:ascii="Arial"/>
                <w:sz w:val="21"/>
              </w:rPr>
            </w:pPr>
          </w:p>
        </w:tc>
        <w:tc>
          <w:tcPr>
            <w:tcW w:w="783" w:type="dxa"/>
            <w:vMerge w:val="continue"/>
            <w:tcBorders>
              <w:top w:val="nil"/>
              <w:bottom w:val="nil"/>
            </w:tcBorders>
            <w:vAlign w:val="top"/>
          </w:tcPr>
          <w:p w14:paraId="60563A0B">
            <w:pPr>
              <w:rPr>
                <w:rFonts w:ascii="Arial"/>
                <w:sz w:val="21"/>
              </w:rPr>
            </w:pPr>
          </w:p>
        </w:tc>
        <w:tc>
          <w:tcPr>
            <w:tcW w:w="546" w:type="dxa"/>
            <w:gridSpan w:val="2"/>
            <w:vAlign w:val="top"/>
          </w:tcPr>
          <w:p w14:paraId="6BB35068">
            <w:pPr>
              <w:spacing w:before="107" w:line="206" w:lineRule="auto"/>
              <w:ind w:left="118"/>
              <w:rPr>
                <w:rFonts w:ascii="Times New Roman" w:hAnsi="Times New Roman" w:eastAsia="Times New Roman" w:cs="Times New Roman"/>
                <w:sz w:val="14"/>
                <w:szCs w:val="14"/>
              </w:rPr>
            </w:pPr>
            <w:r>
              <w:rPr>
                <w:rFonts w:ascii="Times New Roman" w:hAnsi="Times New Roman" w:eastAsia="Times New Roman" w:cs="Times New Roman"/>
                <w:spacing w:val="-3"/>
                <w:position w:val="-1"/>
                <w:sz w:val="22"/>
                <w:szCs w:val="22"/>
              </w:rPr>
              <w:t>95</w:t>
            </w:r>
            <w:r>
              <w:rPr>
                <w:rFonts w:ascii="Times New Roman" w:hAnsi="Times New Roman" w:eastAsia="Times New Roman" w:cs="Times New Roman"/>
                <w:spacing w:val="-3"/>
                <w:position w:val="5"/>
                <w:sz w:val="14"/>
                <w:szCs w:val="14"/>
              </w:rPr>
              <w:t>#</w:t>
            </w:r>
          </w:p>
        </w:tc>
        <w:tc>
          <w:tcPr>
            <w:tcW w:w="2405" w:type="dxa"/>
            <w:gridSpan w:val="2"/>
            <w:vAlign w:val="top"/>
          </w:tcPr>
          <w:p w14:paraId="3E4484B3">
            <w:pPr>
              <w:pStyle w:val="6"/>
              <w:spacing w:before="87" w:line="232" w:lineRule="auto"/>
              <w:ind w:left="134"/>
              <w:rPr>
                <w:sz w:val="22"/>
                <w:szCs w:val="22"/>
              </w:rPr>
            </w:pPr>
            <w:r>
              <w:rPr>
                <w:rFonts w:ascii="Times New Roman" w:hAnsi="Times New Roman" w:eastAsia="Times New Roman" w:cs="Times New Roman"/>
                <w:spacing w:val="-2"/>
                <w:sz w:val="22"/>
                <w:szCs w:val="22"/>
              </w:rPr>
              <w:t>1.23t/d</w:t>
            </w:r>
            <w:r>
              <w:rPr>
                <w:spacing w:val="-2"/>
                <w:sz w:val="22"/>
                <w:szCs w:val="22"/>
              </w:rPr>
              <w:t>（</w:t>
            </w:r>
            <w:r>
              <w:rPr>
                <w:rFonts w:ascii="Times New Roman" w:hAnsi="Times New Roman" w:eastAsia="Times New Roman" w:cs="Times New Roman"/>
                <w:spacing w:val="-2"/>
                <w:sz w:val="22"/>
                <w:szCs w:val="22"/>
              </w:rPr>
              <w:t>450t/a</w:t>
            </w:r>
            <w:r>
              <w:rPr>
                <w:spacing w:val="-2"/>
                <w:sz w:val="22"/>
                <w:szCs w:val="22"/>
              </w:rPr>
              <w:t>）</w:t>
            </w:r>
          </w:p>
        </w:tc>
        <w:tc>
          <w:tcPr>
            <w:tcW w:w="2425" w:type="dxa"/>
            <w:vAlign w:val="top"/>
          </w:tcPr>
          <w:p w14:paraId="18DC4B9A">
            <w:pPr>
              <w:pStyle w:val="6"/>
              <w:spacing w:before="87" w:line="232" w:lineRule="auto"/>
              <w:ind w:left="138"/>
              <w:rPr>
                <w:sz w:val="22"/>
                <w:szCs w:val="22"/>
              </w:rPr>
            </w:pPr>
            <w:r>
              <w:rPr>
                <w:rFonts w:ascii="Times New Roman" w:hAnsi="Times New Roman" w:eastAsia="Times New Roman" w:cs="Times New Roman"/>
                <w:spacing w:val="-2"/>
                <w:sz w:val="22"/>
                <w:szCs w:val="22"/>
              </w:rPr>
              <w:t>1.23t/d</w:t>
            </w:r>
            <w:r>
              <w:rPr>
                <w:spacing w:val="-2"/>
                <w:sz w:val="22"/>
                <w:szCs w:val="22"/>
              </w:rPr>
              <w:t>（</w:t>
            </w:r>
            <w:r>
              <w:rPr>
                <w:rFonts w:ascii="Times New Roman" w:hAnsi="Times New Roman" w:eastAsia="Times New Roman" w:cs="Times New Roman"/>
                <w:spacing w:val="-2"/>
                <w:sz w:val="22"/>
                <w:szCs w:val="22"/>
              </w:rPr>
              <w:t>450t/a</w:t>
            </w:r>
            <w:r>
              <w:rPr>
                <w:spacing w:val="-2"/>
                <w:sz w:val="22"/>
                <w:szCs w:val="22"/>
              </w:rPr>
              <w:t>）</w:t>
            </w:r>
          </w:p>
        </w:tc>
        <w:tc>
          <w:tcPr>
            <w:tcW w:w="1998" w:type="dxa"/>
            <w:gridSpan w:val="2"/>
            <w:tcBorders>
              <w:right w:val="single" w:color="000000" w:sz="6" w:space="0"/>
            </w:tcBorders>
            <w:vAlign w:val="top"/>
          </w:tcPr>
          <w:p w14:paraId="2E334508">
            <w:pPr>
              <w:pStyle w:val="6"/>
              <w:spacing w:before="87" w:line="221" w:lineRule="auto"/>
              <w:ind w:left="126"/>
              <w:rPr>
                <w:sz w:val="22"/>
                <w:szCs w:val="22"/>
              </w:rPr>
            </w:pPr>
            <w:r>
              <w:rPr>
                <w:spacing w:val="-3"/>
                <w:sz w:val="22"/>
                <w:szCs w:val="22"/>
              </w:rPr>
              <w:t>无变化</w:t>
            </w:r>
          </w:p>
        </w:tc>
      </w:tr>
      <w:tr w14:paraId="35EE7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831" w:type="dxa"/>
            <w:vMerge w:val="continue"/>
            <w:tcBorders>
              <w:top w:val="nil"/>
              <w:left w:val="single" w:color="000000" w:sz="6" w:space="0"/>
              <w:bottom w:val="single" w:color="000000" w:sz="6" w:space="0"/>
            </w:tcBorders>
            <w:vAlign w:val="top"/>
          </w:tcPr>
          <w:p w14:paraId="59CBD4A6">
            <w:pPr>
              <w:rPr>
                <w:rFonts w:ascii="Arial"/>
                <w:sz w:val="21"/>
              </w:rPr>
            </w:pPr>
          </w:p>
        </w:tc>
        <w:tc>
          <w:tcPr>
            <w:tcW w:w="783" w:type="dxa"/>
            <w:vMerge w:val="continue"/>
            <w:tcBorders>
              <w:top w:val="nil"/>
              <w:bottom w:val="single" w:color="000000" w:sz="6" w:space="0"/>
            </w:tcBorders>
            <w:vAlign w:val="top"/>
          </w:tcPr>
          <w:p w14:paraId="3C6F1655">
            <w:pPr>
              <w:rPr>
                <w:rFonts w:ascii="Arial"/>
                <w:sz w:val="21"/>
              </w:rPr>
            </w:pPr>
          </w:p>
        </w:tc>
        <w:tc>
          <w:tcPr>
            <w:tcW w:w="546" w:type="dxa"/>
            <w:gridSpan w:val="2"/>
            <w:tcBorders>
              <w:bottom w:val="single" w:color="000000" w:sz="6" w:space="0"/>
            </w:tcBorders>
            <w:vAlign w:val="top"/>
          </w:tcPr>
          <w:p w14:paraId="4DBEB1C3">
            <w:pPr>
              <w:spacing w:before="107" w:line="206" w:lineRule="auto"/>
              <w:ind w:left="118"/>
              <w:rPr>
                <w:rFonts w:ascii="Times New Roman" w:hAnsi="Times New Roman" w:eastAsia="Times New Roman" w:cs="Times New Roman"/>
                <w:sz w:val="14"/>
                <w:szCs w:val="14"/>
              </w:rPr>
            </w:pPr>
            <w:r>
              <w:rPr>
                <w:rFonts w:ascii="Times New Roman" w:hAnsi="Times New Roman" w:eastAsia="Times New Roman" w:cs="Times New Roman"/>
                <w:spacing w:val="-3"/>
                <w:position w:val="-1"/>
                <w:sz w:val="22"/>
                <w:szCs w:val="22"/>
              </w:rPr>
              <w:t>98</w:t>
            </w:r>
            <w:r>
              <w:rPr>
                <w:rFonts w:ascii="Times New Roman" w:hAnsi="Times New Roman" w:eastAsia="Times New Roman" w:cs="Times New Roman"/>
                <w:spacing w:val="-3"/>
                <w:position w:val="5"/>
                <w:sz w:val="14"/>
                <w:szCs w:val="14"/>
              </w:rPr>
              <w:t>#</w:t>
            </w:r>
          </w:p>
        </w:tc>
        <w:tc>
          <w:tcPr>
            <w:tcW w:w="2405" w:type="dxa"/>
            <w:gridSpan w:val="2"/>
            <w:tcBorders>
              <w:bottom w:val="single" w:color="000000" w:sz="6" w:space="0"/>
            </w:tcBorders>
            <w:vAlign w:val="top"/>
          </w:tcPr>
          <w:p w14:paraId="6AE53D45">
            <w:pPr>
              <w:spacing w:before="125" w:line="189" w:lineRule="auto"/>
              <w:ind w:left="116"/>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2425" w:type="dxa"/>
            <w:tcBorders>
              <w:bottom w:val="single" w:color="000000" w:sz="6" w:space="0"/>
            </w:tcBorders>
            <w:vAlign w:val="top"/>
          </w:tcPr>
          <w:p w14:paraId="1467E062">
            <w:pPr>
              <w:pStyle w:val="6"/>
              <w:spacing w:before="88" w:line="232" w:lineRule="auto"/>
              <w:ind w:left="120"/>
              <w:rPr>
                <w:sz w:val="22"/>
                <w:szCs w:val="22"/>
              </w:rPr>
            </w:pPr>
            <w:r>
              <w:rPr>
                <w:rFonts w:ascii="Times New Roman" w:hAnsi="Times New Roman" w:eastAsia="Times New Roman" w:cs="Times New Roman"/>
                <w:spacing w:val="-1"/>
                <w:sz w:val="22"/>
                <w:szCs w:val="22"/>
              </w:rPr>
              <w:t>0.41t/d</w:t>
            </w:r>
            <w:r>
              <w:rPr>
                <w:spacing w:val="-1"/>
                <w:sz w:val="22"/>
                <w:szCs w:val="22"/>
              </w:rPr>
              <w:t>（</w:t>
            </w:r>
            <w:r>
              <w:rPr>
                <w:rFonts w:ascii="Times New Roman" w:hAnsi="Times New Roman" w:eastAsia="Times New Roman" w:cs="Times New Roman"/>
                <w:spacing w:val="-1"/>
                <w:sz w:val="22"/>
                <w:szCs w:val="22"/>
              </w:rPr>
              <w:t>150t/a</w:t>
            </w:r>
            <w:r>
              <w:rPr>
                <w:spacing w:val="-1"/>
                <w:sz w:val="22"/>
                <w:szCs w:val="22"/>
              </w:rPr>
              <w:t>）</w:t>
            </w:r>
          </w:p>
        </w:tc>
        <w:tc>
          <w:tcPr>
            <w:tcW w:w="1998" w:type="dxa"/>
            <w:gridSpan w:val="2"/>
            <w:tcBorders>
              <w:bottom w:val="single" w:color="000000" w:sz="6" w:space="0"/>
              <w:right w:val="single" w:color="000000" w:sz="6" w:space="0"/>
            </w:tcBorders>
            <w:vAlign w:val="top"/>
          </w:tcPr>
          <w:p w14:paraId="17293CA7">
            <w:pPr>
              <w:pStyle w:val="6"/>
              <w:spacing w:before="87" w:line="220" w:lineRule="auto"/>
              <w:ind w:left="126"/>
              <w:rPr>
                <w:sz w:val="22"/>
                <w:szCs w:val="22"/>
              </w:rPr>
            </w:pPr>
            <w:r>
              <w:rPr>
                <w:spacing w:val="-2"/>
                <w:sz w:val="22"/>
                <w:szCs w:val="22"/>
              </w:rPr>
              <w:t>新增</w:t>
            </w:r>
            <w:r>
              <w:rPr>
                <w:spacing w:val="-59"/>
                <w:sz w:val="22"/>
                <w:szCs w:val="22"/>
              </w:rPr>
              <w:t xml:space="preserve"> </w:t>
            </w:r>
            <w:r>
              <w:rPr>
                <w:rFonts w:ascii="Times New Roman" w:hAnsi="Times New Roman" w:eastAsia="Times New Roman" w:cs="Times New Roman"/>
                <w:spacing w:val="-2"/>
                <w:sz w:val="22"/>
                <w:szCs w:val="22"/>
              </w:rPr>
              <w:t>98</w:t>
            </w:r>
            <w:r>
              <w:rPr>
                <w:rFonts w:ascii="Times New Roman" w:hAnsi="Times New Roman" w:eastAsia="Times New Roman" w:cs="Times New Roman"/>
                <w:spacing w:val="-2"/>
                <w:position w:val="7"/>
                <w:sz w:val="14"/>
                <w:szCs w:val="14"/>
              </w:rPr>
              <w:t>#</w:t>
            </w:r>
            <w:r>
              <w:rPr>
                <w:spacing w:val="-2"/>
                <w:sz w:val="22"/>
                <w:szCs w:val="22"/>
              </w:rPr>
              <w:t>汽油种类</w:t>
            </w:r>
          </w:p>
        </w:tc>
      </w:tr>
    </w:tbl>
    <w:p w14:paraId="632D81E4">
      <w:pPr>
        <w:pStyle w:val="2"/>
        <w:rPr>
          <w:sz w:val="21"/>
        </w:rPr>
      </w:pPr>
    </w:p>
    <w:p w14:paraId="7A2B0965">
      <w:pPr>
        <w:rPr>
          <w:sz w:val="21"/>
          <w:szCs w:val="21"/>
        </w:rPr>
        <w:sectPr>
          <w:footerReference r:id="rId37" w:type="default"/>
          <w:pgSz w:w="11906" w:h="16839"/>
          <w:pgMar w:top="400" w:right="1451" w:bottom="1009" w:left="1451" w:header="0" w:footer="770" w:gutter="0"/>
          <w:cols w:space="720" w:num="1"/>
        </w:sectPr>
      </w:pPr>
    </w:p>
    <w:p w14:paraId="5E5E944A">
      <w:pPr>
        <w:spacing w:before="19"/>
      </w:pPr>
    </w:p>
    <w:p w14:paraId="38F267D3">
      <w:pPr>
        <w:spacing w:before="19"/>
      </w:pPr>
    </w:p>
    <w:p w14:paraId="67BCA4B3">
      <w:pPr>
        <w:spacing w:before="19"/>
      </w:pPr>
    </w:p>
    <w:p w14:paraId="4707198C">
      <w:pPr>
        <w:spacing w:before="18"/>
      </w:pPr>
    </w:p>
    <w:p w14:paraId="7D50DE5C">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28043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91" w:hRule="atLeast"/>
        </w:trPr>
        <w:tc>
          <w:tcPr>
            <w:tcW w:w="831" w:type="dxa"/>
            <w:tcBorders>
              <w:right w:val="single" w:color="000000" w:sz="2" w:space="0"/>
            </w:tcBorders>
            <w:vAlign w:val="top"/>
          </w:tcPr>
          <w:p w14:paraId="30D74BA6">
            <w:pPr>
              <w:rPr>
                <w:rFonts w:ascii="Arial"/>
                <w:sz w:val="21"/>
              </w:rPr>
            </w:pPr>
          </w:p>
        </w:tc>
        <w:tc>
          <w:tcPr>
            <w:tcW w:w="8157" w:type="dxa"/>
            <w:tcBorders>
              <w:left w:val="single" w:color="000000" w:sz="2" w:space="0"/>
            </w:tcBorders>
            <w:vAlign w:val="top"/>
          </w:tcPr>
          <w:p w14:paraId="2CD5B131">
            <w:pPr>
              <w:pStyle w:val="6"/>
              <w:spacing w:before="151" w:line="227" w:lineRule="auto"/>
              <w:ind w:left="106"/>
            </w:pPr>
            <w:r>
              <w:rPr>
                <w:rFonts w:ascii="Times New Roman" w:hAnsi="Times New Roman" w:eastAsia="Times New Roman" w:cs="Times New Roman"/>
                <w:b/>
                <w:bCs/>
                <w:spacing w:val="3"/>
              </w:rPr>
              <w:t>2.4</w:t>
            </w:r>
            <w:r>
              <w:rPr>
                <w:rFonts w:ascii="Times New Roman" w:hAnsi="Times New Roman" w:eastAsia="Times New Roman" w:cs="Times New Roman"/>
                <w:b/>
                <w:bCs/>
                <w:spacing w:val="16"/>
              </w:rPr>
              <w:t xml:space="preserve"> </w:t>
            </w:r>
            <w:r>
              <w:rPr>
                <w:b/>
                <w:bCs/>
                <w:spacing w:val="3"/>
              </w:rPr>
              <w:t>主要设备</w:t>
            </w:r>
          </w:p>
          <w:p w14:paraId="2C6FD16E">
            <w:pPr>
              <w:pStyle w:val="6"/>
              <w:spacing w:before="154" w:line="339" w:lineRule="auto"/>
              <w:ind w:left="110" w:right="102" w:firstLine="517"/>
              <w:jc w:val="both"/>
            </w:pPr>
            <w:r>
              <w:rPr>
                <w:spacing w:val="11"/>
              </w:rPr>
              <w:t>对照《产业结构调整指导目录（</w:t>
            </w:r>
            <w:r>
              <w:rPr>
                <w:rFonts w:ascii="Times New Roman" w:hAnsi="Times New Roman" w:eastAsia="Times New Roman" w:cs="Times New Roman"/>
                <w:spacing w:val="11"/>
              </w:rPr>
              <w:t xml:space="preserve">2024 </w:t>
            </w:r>
            <w:r>
              <w:rPr>
                <w:spacing w:val="11"/>
              </w:rPr>
              <w:t>年本）》、工信部《高耗能</w:t>
            </w:r>
            <w:r>
              <w:rPr>
                <w:spacing w:val="6"/>
              </w:rPr>
              <w:t>落后机电设备（产品）淘汰目录》及《部分工业行业淘汰</w:t>
            </w:r>
            <w:r>
              <w:rPr>
                <w:spacing w:val="5"/>
              </w:rPr>
              <w:t>落后生产工艺</w:t>
            </w:r>
            <w:r>
              <w:rPr>
                <w:spacing w:val="11"/>
              </w:rPr>
              <w:t>装备和产品指导目录（</w:t>
            </w:r>
            <w:r>
              <w:rPr>
                <w:rFonts w:ascii="Times New Roman" w:hAnsi="Times New Roman" w:eastAsia="Times New Roman" w:cs="Times New Roman"/>
                <w:spacing w:val="11"/>
              </w:rPr>
              <w:t>2010</w:t>
            </w:r>
            <w:r>
              <w:rPr>
                <w:rFonts w:ascii="Times New Roman" w:hAnsi="Times New Roman" w:eastAsia="Times New Roman" w:cs="Times New Roman"/>
                <w:spacing w:val="21"/>
                <w:w w:val="101"/>
              </w:rPr>
              <w:t xml:space="preserve"> </w:t>
            </w:r>
            <w:r>
              <w:rPr>
                <w:spacing w:val="11"/>
              </w:rPr>
              <w:t>年本）》（工信</w:t>
            </w:r>
            <w:r>
              <w:rPr>
                <w:spacing w:val="10"/>
              </w:rPr>
              <w:t>部工产业〔</w:t>
            </w:r>
            <w:r>
              <w:rPr>
                <w:rFonts w:ascii="Times New Roman" w:hAnsi="Times New Roman" w:eastAsia="Times New Roman" w:cs="Times New Roman"/>
                <w:spacing w:val="10"/>
              </w:rPr>
              <w:t>2010</w:t>
            </w:r>
            <w:r>
              <w:rPr>
                <w:spacing w:val="10"/>
              </w:rPr>
              <w:t>〕第</w:t>
            </w:r>
            <w:r>
              <w:rPr>
                <w:spacing w:val="-23"/>
              </w:rPr>
              <w:t xml:space="preserve"> </w:t>
            </w:r>
            <w:r>
              <w:rPr>
                <w:rFonts w:ascii="Times New Roman" w:hAnsi="Times New Roman" w:eastAsia="Times New Roman" w:cs="Times New Roman"/>
                <w:spacing w:val="10"/>
              </w:rPr>
              <w:t>122</w:t>
            </w:r>
            <w:r>
              <w:rPr>
                <w:spacing w:val="8"/>
              </w:rPr>
              <w:t>号</w:t>
            </w:r>
            <w:r>
              <w:rPr>
                <w:spacing w:val="17"/>
              </w:rPr>
              <w:t>），</w:t>
            </w:r>
            <w:r>
              <w:rPr>
                <w:spacing w:val="8"/>
              </w:rPr>
              <w:t>本项目所用设备均不属于淘汰落后设备。</w:t>
            </w:r>
          </w:p>
          <w:p w14:paraId="7177CD87">
            <w:pPr>
              <w:pStyle w:val="6"/>
              <w:spacing w:line="225" w:lineRule="auto"/>
              <w:ind w:left="629"/>
            </w:pPr>
            <w:r>
              <w:rPr>
                <w:spacing w:val="8"/>
              </w:rPr>
              <w:t>本项目实施前后主要设备一览表详见下表。</w:t>
            </w:r>
          </w:p>
          <w:p w14:paraId="4A824269">
            <w:pPr>
              <w:pStyle w:val="6"/>
              <w:spacing w:before="155" w:line="226" w:lineRule="auto"/>
              <w:ind w:left="1698"/>
            </w:pPr>
            <w:r>
              <w:rPr>
                <w:spacing w:val="7"/>
              </w:rPr>
              <w:t>表</w:t>
            </w:r>
            <w:r>
              <w:rPr>
                <w:spacing w:val="-54"/>
              </w:rPr>
              <w:t xml:space="preserve"> </w:t>
            </w:r>
            <w:r>
              <w:rPr>
                <w:rFonts w:ascii="Times New Roman" w:hAnsi="Times New Roman" w:eastAsia="Times New Roman" w:cs="Times New Roman"/>
                <w:spacing w:val="7"/>
              </w:rPr>
              <w:t xml:space="preserve">2.3-3    </w:t>
            </w:r>
            <w:r>
              <w:rPr>
                <w:spacing w:val="7"/>
              </w:rPr>
              <w:t>项目改扩建前后主要设</w:t>
            </w:r>
            <w:r>
              <w:rPr>
                <w:spacing w:val="6"/>
              </w:rPr>
              <w:t>备一览表</w:t>
            </w:r>
          </w:p>
          <w:p w14:paraId="6C453453">
            <w:pPr>
              <w:spacing w:line="90" w:lineRule="auto"/>
              <w:rPr>
                <w:rFonts w:ascii="Arial"/>
                <w:sz w:val="2"/>
              </w:rPr>
            </w:pPr>
          </w:p>
          <w:tbl>
            <w:tblPr>
              <w:tblStyle w:val="5"/>
              <w:tblW w:w="7939"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3"/>
              <w:gridCol w:w="671"/>
              <w:gridCol w:w="2047"/>
              <w:gridCol w:w="735"/>
              <w:gridCol w:w="938"/>
              <w:gridCol w:w="708"/>
              <w:gridCol w:w="892"/>
              <w:gridCol w:w="1485"/>
            </w:tblGrid>
            <w:tr w14:paraId="25BBC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463" w:type="dxa"/>
                  <w:vMerge w:val="restart"/>
                  <w:tcBorders>
                    <w:bottom w:val="nil"/>
                  </w:tcBorders>
                  <w:textDirection w:val="tbRlV"/>
                  <w:vAlign w:val="top"/>
                </w:tcPr>
                <w:p w14:paraId="6B319F9E">
                  <w:pPr>
                    <w:pStyle w:val="6"/>
                    <w:spacing w:before="118" w:line="211" w:lineRule="auto"/>
                    <w:ind w:left="125"/>
                    <w:rPr>
                      <w:sz w:val="22"/>
                      <w:szCs w:val="22"/>
                    </w:rPr>
                  </w:pPr>
                  <w:r>
                    <w:rPr>
                      <w:spacing w:val="31"/>
                      <w:sz w:val="22"/>
                      <w:szCs w:val="22"/>
                    </w:rPr>
                    <w:t>序号</w:t>
                  </w:r>
                </w:p>
              </w:tc>
              <w:tc>
                <w:tcPr>
                  <w:tcW w:w="671" w:type="dxa"/>
                  <w:vMerge w:val="restart"/>
                  <w:tcBorders>
                    <w:bottom w:val="nil"/>
                  </w:tcBorders>
                  <w:vAlign w:val="top"/>
                </w:tcPr>
                <w:p w14:paraId="116BFB53">
                  <w:pPr>
                    <w:pStyle w:val="6"/>
                    <w:spacing w:before="125"/>
                    <w:ind w:left="119" w:right="113" w:firstLine="3"/>
                    <w:rPr>
                      <w:sz w:val="22"/>
                      <w:szCs w:val="22"/>
                    </w:rPr>
                  </w:pPr>
                  <w:r>
                    <w:rPr>
                      <w:spacing w:val="-6"/>
                      <w:sz w:val="22"/>
                      <w:szCs w:val="22"/>
                    </w:rPr>
                    <w:t>设备</w:t>
                  </w:r>
                  <w:r>
                    <w:rPr>
                      <w:spacing w:val="-4"/>
                      <w:sz w:val="22"/>
                      <w:szCs w:val="22"/>
                    </w:rPr>
                    <w:t>类型</w:t>
                  </w:r>
                </w:p>
              </w:tc>
              <w:tc>
                <w:tcPr>
                  <w:tcW w:w="2047" w:type="dxa"/>
                  <w:vMerge w:val="restart"/>
                  <w:tcBorders>
                    <w:bottom w:val="nil"/>
                  </w:tcBorders>
                  <w:vAlign w:val="top"/>
                </w:tcPr>
                <w:p w14:paraId="2A073AF5">
                  <w:pPr>
                    <w:pStyle w:val="6"/>
                    <w:spacing w:before="267" w:line="222" w:lineRule="auto"/>
                    <w:ind w:left="592"/>
                    <w:rPr>
                      <w:sz w:val="22"/>
                      <w:szCs w:val="22"/>
                    </w:rPr>
                  </w:pPr>
                  <w:r>
                    <w:rPr>
                      <w:spacing w:val="-3"/>
                      <w:sz w:val="22"/>
                      <w:szCs w:val="22"/>
                    </w:rPr>
                    <w:t>设备名称</w:t>
                  </w:r>
                </w:p>
              </w:tc>
              <w:tc>
                <w:tcPr>
                  <w:tcW w:w="1673" w:type="dxa"/>
                  <w:gridSpan w:val="2"/>
                  <w:vAlign w:val="top"/>
                </w:tcPr>
                <w:p w14:paraId="0C5BAEFA">
                  <w:pPr>
                    <w:pStyle w:val="6"/>
                    <w:spacing w:before="78" w:line="220" w:lineRule="auto"/>
                    <w:ind w:left="186"/>
                    <w:rPr>
                      <w:sz w:val="22"/>
                      <w:szCs w:val="22"/>
                    </w:rPr>
                  </w:pPr>
                  <w:r>
                    <w:rPr>
                      <w:spacing w:val="-2"/>
                      <w:sz w:val="22"/>
                      <w:szCs w:val="22"/>
                    </w:rPr>
                    <w:t>项目改扩建前</w:t>
                  </w:r>
                </w:p>
              </w:tc>
              <w:tc>
                <w:tcPr>
                  <w:tcW w:w="1600" w:type="dxa"/>
                  <w:gridSpan w:val="2"/>
                  <w:vAlign w:val="top"/>
                </w:tcPr>
                <w:p w14:paraId="6A816B2F">
                  <w:pPr>
                    <w:pStyle w:val="6"/>
                    <w:spacing w:before="78" w:line="220" w:lineRule="auto"/>
                    <w:ind w:left="150"/>
                    <w:rPr>
                      <w:sz w:val="22"/>
                      <w:szCs w:val="22"/>
                    </w:rPr>
                  </w:pPr>
                  <w:r>
                    <w:rPr>
                      <w:spacing w:val="-2"/>
                      <w:sz w:val="22"/>
                      <w:szCs w:val="22"/>
                    </w:rPr>
                    <w:t>项目改扩建后</w:t>
                  </w:r>
                </w:p>
              </w:tc>
              <w:tc>
                <w:tcPr>
                  <w:tcW w:w="1485" w:type="dxa"/>
                  <w:vMerge w:val="restart"/>
                  <w:tcBorders>
                    <w:bottom w:val="nil"/>
                  </w:tcBorders>
                  <w:vAlign w:val="top"/>
                </w:tcPr>
                <w:p w14:paraId="0B992E73">
                  <w:pPr>
                    <w:pStyle w:val="6"/>
                    <w:spacing w:before="267" w:line="222" w:lineRule="auto"/>
                    <w:ind w:left="532"/>
                    <w:rPr>
                      <w:sz w:val="22"/>
                      <w:szCs w:val="22"/>
                    </w:rPr>
                  </w:pPr>
                  <w:r>
                    <w:rPr>
                      <w:spacing w:val="-5"/>
                      <w:sz w:val="22"/>
                      <w:szCs w:val="22"/>
                    </w:rPr>
                    <w:t>备注</w:t>
                  </w:r>
                </w:p>
              </w:tc>
            </w:tr>
            <w:tr w14:paraId="6041C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3" w:type="dxa"/>
                  <w:vMerge w:val="continue"/>
                  <w:tcBorders>
                    <w:top w:val="nil"/>
                  </w:tcBorders>
                  <w:textDirection w:val="tbRlV"/>
                  <w:vAlign w:val="top"/>
                </w:tcPr>
                <w:p w14:paraId="163078E2">
                  <w:pPr>
                    <w:rPr>
                      <w:rFonts w:ascii="Arial"/>
                      <w:sz w:val="21"/>
                    </w:rPr>
                  </w:pPr>
                </w:p>
              </w:tc>
              <w:tc>
                <w:tcPr>
                  <w:tcW w:w="671" w:type="dxa"/>
                  <w:vMerge w:val="continue"/>
                  <w:tcBorders>
                    <w:top w:val="nil"/>
                  </w:tcBorders>
                  <w:vAlign w:val="top"/>
                </w:tcPr>
                <w:p w14:paraId="365EAECB">
                  <w:pPr>
                    <w:rPr>
                      <w:rFonts w:ascii="Arial"/>
                      <w:sz w:val="21"/>
                    </w:rPr>
                  </w:pPr>
                </w:p>
              </w:tc>
              <w:tc>
                <w:tcPr>
                  <w:tcW w:w="2047" w:type="dxa"/>
                  <w:vMerge w:val="continue"/>
                  <w:tcBorders>
                    <w:top w:val="nil"/>
                  </w:tcBorders>
                  <w:vAlign w:val="top"/>
                </w:tcPr>
                <w:p w14:paraId="38F557D4">
                  <w:pPr>
                    <w:rPr>
                      <w:rFonts w:ascii="Arial"/>
                      <w:sz w:val="21"/>
                    </w:rPr>
                  </w:pPr>
                </w:p>
              </w:tc>
              <w:tc>
                <w:tcPr>
                  <w:tcW w:w="735" w:type="dxa"/>
                  <w:vAlign w:val="top"/>
                </w:tcPr>
                <w:p w14:paraId="265132E6">
                  <w:pPr>
                    <w:pStyle w:val="6"/>
                    <w:spacing w:before="74" w:line="220" w:lineRule="auto"/>
                    <w:ind w:left="156"/>
                    <w:rPr>
                      <w:sz w:val="22"/>
                      <w:szCs w:val="22"/>
                    </w:rPr>
                  </w:pPr>
                  <w:r>
                    <w:rPr>
                      <w:spacing w:val="-5"/>
                      <w:sz w:val="22"/>
                      <w:szCs w:val="22"/>
                    </w:rPr>
                    <w:t>数量</w:t>
                  </w:r>
                </w:p>
              </w:tc>
              <w:tc>
                <w:tcPr>
                  <w:tcW w:w="938" w:type="dxa"/>
                  <w:vAlign w:val="top"/>
                </w:tcPr>
                <w:p w14:paraId="2699F235">
                  <w:pPr>
                    <w:pStyle w:val="6"/>
                    <w:spacing w:before="74" w:line="220" w:lineRule="auto"/>
                    <w:ind w:left="255"/>
                    <w:rPr>
                      <w:sz w:val="22"/>
                      <w:szCs w:val="22"/>
                    </w:rPr>
                  </w:pPr>
                  <w:r>
                    <w:rPr>
                      <w:spacing w:val="-4"/>
                      <w:sz w:val="22"/>
                      <w:szCs w:val="22"/>
                    </w:rPr>
                    <w:t>规格</w:t>
                  </w:r>
                </w:p>
              </w:tc>
              <w:tc>
                <w:tcPr>
                  <w:tcW w:w="708" w:type="dxa"/>
                  <w:vAlign w:val="top"/>
                </w:tcPr>
                <w:p w14:paraId="36A0A3E5">
                  <w:pPr>
                    <w:pStyle w:val="6"/>
                    <w:spacing w:before="74" w:line="220" w:lineRule="auto"/>
                    <w:ind w:left="143"/>
                    <w:rPr>
                      <w:sz w:val="22"/>
                      <w:szCs w:val="22"/>
                    </w:rPr>
                  </w:pPr>
                  <w:r>
                    <w:rPr>
                      <w:spacing w:val="-5"/>
                      <w:sz w:val="22"/>
                      <w:szCs w:val="22"/>
                    </w:rPr>
                    <w:t>数量</w:t>
                  </w:r>
                </w:p>
              </w:tc>
              <w:tc>
                <w:tcPr>
                  <w:tcW w:w="892" w:type="dxa"/>
                  <w:vAlign w:val="top"/>
                </w:tcPr>
                <w:p w14:paraId="31D2ABAB">
                  <w:pPr>
                    <w:pStyle w:val="6"/>
                    <w:spacing w:before="74" w:line="220" w:lineRule="auto"/>
                    <w:ind w:left="234"/>
                    <w:rPr>
                      <w:sz w:val="22"/>
                      <w:szCs w:val="22"/>
                    </w:rPr>
                  </w:pPr>
                  <w:r>
                    <w:rPr>
                      <w:spacing w:val="-4"/>
                      <w:sz w:val="22"/>
                      <w:szCs w:val="22"/>
                    </w:rPr>
                    <w:t>规格</w:t>
                  </w:r>
                </w:p>
              </w:tc>
              <w:tc>
                <w:tcPr>
                  <w:tcW w:w="1485" w:type="dxa"/>
                  <w:vMerge w:val="continue"/>
                  <w:tcBorders>
                    <w:top w:val="nil"/>
                  </w:tcBorders>
                  <w:vAlign w:val="top"/>
                </w:tcPr>
                <w:p w14:paraId="416E2D9E">
                  <w:pPr>
                    <w:rPr>
                      <w:rFonts w:ascii="Arial"/>
                      <w:sz w:val="21"/>
                    </w:rPr>
                  </w:pPr>
                </w:p>
              </w:tc>
            </w:tr>
            <w:tr w14:paraId="33EBD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3" w:type="dxa"/>
                  <w:vAlign w:val="top"/>
                </w:tcPr>
                <w:p w14:paraId="26BD8CF4">
                  <w:pPr>
                    <w:spacing w:before="112" w:line="189" w:lineRule="auto"/>
                    <w:ind w:left="199"/>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671" w:type="dxa"/>
                  <w:vMerge w:val="restart"/>
                  <w:tcBorders>
                    <w:bottom w:val="nil"/>
                  </w:tcBorders>
                  <w:vAlign w:val="top"/>
                </w:tcPr>
                <w:p w14:paraId="32337B62">
                  <w:pPr>
                    <w:spacing w:line="270" w:lineRule="auto"/>
                    <w:rPr>
                      <w:rFonts w:ascii="Arial"/>
                      <w:sz w:val="21"/>
                    </w:rPr>
                  </w:pPr>
                </w:p>
                <w:p w14:paraId="5EC28BD6">
                  <w:pPr>
                    <w:spacing w:line="270" w:lineRule="auto"/>
                    <w:rPr>
                      <w:rFonts w:ascii="Arial"/>
                      <w:sz w:val="21"/>
                    </w:rPr>
                  </w:pPr>
                </w:p>
                <w:p w14:paraId="3E352CCE">
                  <w:pPr>
                    <w:spacing w:line="270" w:lineRule="auto"/>
                    <w:rPr>
                      <w:rFonts w:ascii="Arial"/>
                      <w:sz w:val="21"/>
                    </w:rPr>
                  </w:pPr>
                </w:p>
                <w:p w14:paraId="289DAC92">
                  <w:pPr>
                    <w:spacing w:line="271" w:lineRule="auto"/>
                    <w:rPr>
                      <w:rFonts w:ascii="Arial"/>
                      <w:sz w:val="21"/>
                    </w:rPr>
                  </w:pPr>
                </w:p>
                <w:p w14:paraId="57D8600C">
                  <w:pPr>
                    <w:spacing w:line="271" w:lineRule="auto"/>
                    <w:rPr>
                      <w:rFonts w:ascii="Arial"/>
                      <w:sz w:val="21"/>
                    </w:rPr>
                  </w:pPr>
                </w:p>
                <w:p w14:paraId="3E1C4B83">
                  <w:pPr>
                    <w:spacing w:line="271" w:lineRule="auto"/>
                    <w:rPr>
                      <w:rFonts w:ascii="Arial"/>
                      <w:sz w:val="21"/>
                    </w:rPr>
                  </w:pPr>
                </w:p>
                <w:p w14:paraId="70BA9398">
                  <w:pPr>
                    <w:pStyle w:val="6"/>
                    <w:spacing w:before="71"/>
                    <w:ind w:left="122" w:right="113"/>
                    <w:rPr>
                      <w:sz w:val="22"/>
                      <w:szCs w:val="22"/>
                    </w:rPr>
                  </w:pPr>
                  <w:r>
                    <w:rPr>
                      <w:spacing w:val="-5"/>
                      <w:sz w:val="22"/>
                      <w:szCs w:val="22"/>
                    </w:rPr>
                    <w:t>工艺</w:t>
                  </w:r>
                  <w:r>
                    <w:rPr>
                      <w:spacing w:val="-6"/>
                      <w:sz w:val="22"/>
                      <w:szCs w:val="22"/>
                    </w:rPr>
                    <w:t>设备</w:t>
                  </w:r>
                </w:p>
              </w:tc>
              <w:tc>
                <w:tcPr>
                  <w:tcW w:w="2047" w:type="dxa"/>
                  <w:vAlign w:val="top"/>
                </w:tcPr>
                <w:p w14:paraId="77121BB8">
                  <w:pPr>
                    <w:pStyle w:val="6"/>
                    <w:spacing w:before="74" w:line="220" w:lineRule="auto"/>
                    <w:ind w:left="221"/>
                    <w:rPr>
                      <w:sz w:val="22"/>
                      <w:szCs w:val="22"/>
                    </w:rPr>
                  </w:pPr>
                  <w:r>
                    <w:rPr>
                      <w:rFonts w:ascii="Times New Roman" w:hAnsi="Times New Roman" w:eastAsia="Times New Roman" w:cs="Times New Roman"/>
                      <w:spacing w:val="-1"/>
                      <w:sz w:val="22"/>
                      <w:szCs w:val="22"/>
                    </w:rPr>
                    <w:t>92</w:t>
                  </w:r>
                  <w:r>
                    <w:rPr>
                      <w:rFonts w:ascii="Times New Roman" w:hAnsi="Times New Roman" w:eastAsia="Times New Roman" w:cs="Times New Roman"/>
                      <w:spacing w:val="-1"/>
                      <w:position w:val="7"/>
                      <w:sz w:val="14"/>
                      <w:szCs w:val="14"/>
                    </w:rPr>
                    <w:t>#</w:t>
                  </w:r>
                  <w:r>
                    <w:rPr>
                      <w:spacing w:val="-1"/>
                      <w:sz w:val="22"/>
                      <w:szCs w:val="22"/>
                    </w:rPr>
                    <w:t>汽油地埋油罐</w:t>
                  </w:r>
                </w:p>
              </w:tc>
              <w:tc>
                <w:tcPr>
                  <w:tcW w:w="735" w:type="dxa"/>
                  <w:vAlign w:val="top"/>
                </w:tcPr>
                <w:p w14:paraId="0A795CF4">
                  <w:pPr>
                    <w:pStyle w:val="6"/>
                    <w:spacing w:before="74" w:line="220" w:lineRule="auto"/>
                    <w:ind w:left="198"/>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8"/>
                      <w:sz w:val="22"/>
                      <w:szCs w:val="22"/>
                    </w:rPr>
                    <w:t xml:space="preserve"> </w:t>
                  </w:r>
                  <w:r>
                    <w:rPr>
                      <w:spacing w:val="-13"/>
                      <w:sz w:val="22"/>
                      <w:szCs w:val="22"/>
                    </w:rPr>
                    <w:t>个</w:t>
                  </w:r>
                </w:p>
              </w:tc>
              <w:tc>
                <w:tcPr>
                  <w:tcW w:w="938" w:type="dxa"/>
                  <w:vAlign w:val="top"/>
                </w:tcPr>
                <w:p w14:paraId="1200F781">
                  <w:pPr>
                    <w:spacing w:before="92" w:line="208" w:lineRule="auto"/>
                    <w:ind w:left="245"/>
                    <w:rPr>
                      <w:rFonts w:ascii="Times New Roman" w:hAnsi="Times New Roman" w:eastAsia="Times New Roman" w:cs="Times New Roman"/>
                      <w:sz w:val="14"/>
                      <w:szCs w:val="14"/>
                    </w:rPr>
                  </w:pPr>
                  <w:r>
                    <w:rPr>
                      <w:rFonts w:ascii="Times New Roman" w:hAnsi="Times New Roman" w:eastAsia="Times New Roman" w:cs="Times New Roman"/>
                      <w:spacing w:val="-2"/>
                      <w:position w:val="-1"/>
                      <w:sz w:val="22"/>
                      <w:szCs w:val="22"/>
                    </w:rPr>
                    <w:t>30m</w:t>
                  </w:r>
                  <w:r>
                    <w:rPr>
                      <w:rFonts w:ascii="Times New Roman" w:hAnsi="Times New Roman" w:eastAsia="Times New Roman" w:cs="Times New Roman"/>
                      <w:spacing w:val="-2"/>
                      <w:position w:val="6"/>
                      <w:sz w:val="14"/>
                      <w:szCs w:val="14"/>
                    </w:rPr>
                    <w:t>3</w:t>
                  </w:r>
                </w:p>
              </w:tc>
              <w:tc>
                <w:tcPr>
                  <w:tcW w:w="708" w:type="dxa"/>
                  <w:vAlign w:val="top"/>
                </w:tcPr>
                <w:p w14:paraId="710873CF">
                  <w:pPr>
                    <w:pStyle w:val="6"/>
                    <w:spacing w:before="74" w:line="220" w:lineRule="auto"/>
                    <w:ind w:left="185"/>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8"/>
                      <w:sz w:val="22"/>
                      <w:szCs w:val="22"/>
                    </w:rPr>
                    <w:t xml:space="preserve"> </w:t>
                  </w:r>
                  <w:r>
                    <w:rPr>
                      <w:spacing w:val="-13"/>
                      <w:sz w:val="22"/>
                      <w:szCs w:val="22"/>
                    </w:rPr>
                    <w:t>个</w:t>
                  </w:r>
                </w:p>
              </w:tc>
              <w:tc>
                <w:tcPr>
                  <w:tcW w:w="892" w:type="dxa"/>
                  <w:vAlign w:val="top"/>
                </w:tcPr>
                <w:p w14:paraId="34DB03E5">
                  <w:pPr>
                    <w:spacing w:before="92" w:line="208" w:lineRule="auto"/>
                    <w:ind w:left="221"/>
                    <w:rPr>
                      <w:rFonts w:ascii="Times New Roman" w:hAnsi="Times New Roman" w:eastAsia="Times New Roman" w:cs="Times New Roman"/>
                      <w:sz w:val="14"/>
                      <w:szCs w:val="14"/>
                    </w:rPr>
                  </w:pPr>
                  <w:r>
                    <w:rPr>
                      <w:rFonts w:ascii="Times New Roman" w:hAnsi="Times New Roman" w:eastAsia="Times New Roman" w:cs="Times New Roman"/>
                      <w:spacing w:val="-2"/>
                      <w:position w:val="-1"/>
                      <w:sz w:val="22"/>
                      <w:szCs w:val="22"/>
                    </w:rPr>
                    <w:t>30m</w:t>
                  </w:r>
                  <w:r>
                    <w:rPr>
                      <w:rFonts w:ascii="Times New Roman" w:hAnsi="Times New Roman" w:eastAsia="Times New Roman" w:cs="Times New Roman"/>
                      <w:spacing w:val="-2"/>
                      <w:position w:val="6"/>
                      <w:sz w:val="14"/>
                      <w:szCs w:val="14"/>
                    </w:rPr>
                    <w:t>3</w:t>
                  </w:r>
                </w:p>
              </w:tc>
              <w:tc>
                <w:tcPr>
                  <w:tcW w:w="1485" w:type="dxa"/>
                  <w:vAlign w:val="top"/>
                </w:tcPr>
                <w:p w14:paraId="32073B0D">
                  <w:pPr>
                    <w:pStyle w:val="6"/>
                    <w:spacing w:before="74" w:line="221" w:lineRule="auto"/>
                    <w:ind w:left="420"/>
                    <w:rPr>
                      <w:sz w:val="22"/>
                      <w:szCs w:val="22"/>
                    </w:rPr>
                  </w:pPr>
                  <w:r>
                    <w:rPr>
                      <w:spacing w:val="-3"/>
                      <w:sz w:val="22"/>
                      <w:szCs w:val="22"/>
                    </w:rPr>
                    <w:t>无变化</w:t>
                  </w:r>
                </w:p>
              </w:tc>
            </w:tr>
            <w:tr w14:paraId="6A45C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3" w:type="dxa"/>
                  <w:vAlign w:val="top"/>
                </w:tcPr>
                <w:p w14:paraId="45C33103">
                  <w:pPr>
                    <w:spacing w:before="112" w:line="189" w:lineRule="auto"/>
                    <w:ind w:left="177"/>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671" w:type="dxa"/>
                  <w:vMerge w:val="continue"/>
                  <w:tcBorders>
                    <w:top w:val="nil"/>
                    <w:bottom w:val="nil"/>
                  </w:tcBorders>
                  <w:vAlign w:val="top"/>
                </w:tcPr>
                <w:p w14:paraId="3AECFD85">
                  <w:pPr>
                    <w:rPr>
                      <w:rFonts w:ascii="Arial"/>
                      <w:sz w:val="21"/>
                    </w:rPr>
                  </w:pPr>
                </w:p>
              </w:tc>
              <w:tc>
                <w:tcPr>
                  <w:tcW w:w="2047" w:type="dxa"/>
                  <w:vAlign w:val="top"/>
                </w:tcPr>
                <w:p w14:paraId="72C7D6C6">
                  <w:pPr>
                    <w:pStyle w:val="6"/>
                    <w:spacing w:before="74" w:line="220" w:lineRule="auto"/>
                    <w:ind w:left="221"/>
                    <w:rPr>
                      <w:sz w:val="22"/>
                      <w:szCs w:val="22"/>
                    </w:rPr>
                  </w:pPr>
                  <w:r>
                    <w:rPr>
                      <w:rFonts w:ascii="Times New Roman" w:hAnsi="Times New Roman" w:eastAsia="Times New Roman" w:cs="Times New Roman"/>
                      <w:spacing w:val="-1"/>
                      <w:sz w:val="22"/>
                      <w:szCs w:val="22"/>
                    </w:rPr>
                    <w:t>95</w:t>
                  </w:r>
                  <w:r>
                    <w:rPr>
                      <w:rFonts w:ascii="Times New Roman" w:hAnsi="Times New Roman" w:eastAsia="Times New Roman" w:cs="Times New Roman"/>
                      <w:spacing w:val="-1"/>
                      <w:position w:val="7"/>
                      <w:sz w:val="14"/>
                      <w:szCs w:val="14"/>
                    </w:rPr>
                    <w:t>#</w:t>
                  </w:r>
                  <w:r>
                    <w:rPr>
                      <w:spacing w:val="-1"/>
                      <w:sz w:val="22"/>
                      <w:szCs w:val="22"/>
                    </w:rPr>
                    <w:t>汽油地埋油罐</w:t>
                  </w:r>
                </w:p>
              </w:tc>
              <w:tc>
                <w:tcPr>
                  <w:tcW w:w="735" w:type="dxa"/>
                  <w:vAlign w:val="top"/>
                </w:tcPr>
                <w:p w14:paraId="6099C5B4">
                  <w:pPr>
                    <w:pStyle w:val="6"/>
                    <w:spacing w:before="74" w:line="220" w:lineRule="auto"/>
                    <w:ind w:left="198"/>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8"/>
                      <w:sz w:val="22"/>
                      <w:szCs w:val="22"/>
                    </w:rPr>
                    <w:t xml:space="preserve"> </w:t>
                  </w:r>
                  <w:r>
                    <w:rPr>
                      <w:spacing w:val="-13"/>
                      <w:sz w:val="22"/>
                      <w:szCs w:val="22"/>
                    </w:rPr>
                    <w:t>个</w:t>
                  </w:r>
                </w:p>
              </w:tc>
              <w:tc>
                <w:tcPr>
                  <w:tcW w:w="938" w:type="dxa"/>
                  <w:vAlign w:val="top"/>
                </w:tcPr>
                <w:p w14:paraId="5C145AAD">
                  <w:pPr>
                    <w:spacing w:before="92" w:line="208" w:lineRule="auto"/>
                    <w:ind w:left="245"/>
                    <w:rPr>
                      <w:rFonts w:ascii="Times New Roman" w:hAnsi="Times New Roman" w:eastAsia="Times New Roman" w:cs="Times New Roman"/>
                      <w:sz w:val="14"/>
                      <w:szCs w:val="14"/>
                    </w:rPr>
                  </w:pPr>
                  <w:r>
                    <w:rPr>
                      <w:rFonts w:ascii="Times New Roman" w:hAnsi="Times New Roman" w:eastAsia="Times New Roman" w:cs="Times New Roman"/>
                      <w:spacing w:val="-2"/>
                      <w:position w:val="-1"/>
                      <w:sz w:val="22"/>
                      <w:szCs w:val="22"/>
                    </w:rPr>
                    <w:t>30m</w:t>
                  </w:r>
                  <w:r>
                    <w:rPr>
                      <w:rFonts w:ascii="Times New Roman" w:hAnsi="Times New Roman" w:eastAsia="Times New Roman" w:cs="Times New Roman"/>
                      <w:spacing w:val="-2"/>
                      <w:position w:val="6"/>
                      <w:sz w:val="14"/>
                      <w:szCs w:val="14"/>
                    </w:rPr>
                    <w:t>3</w:t>
                  </w:r>
                </w:p>
              </w:tc>
              <w:tc>
                <w:tcPr>
                  <w:tcW w:w="708" w:type="dxa"/>
                  <w:vAlign w:val="top"/>
                </w:tcPr>
                <w:p w14:paraId="52736150">
                  <w:pPr>
                    <w:pStyle w:val="6"/>
                    <w:spacing w:before="74" w:line="220" w:lineRule="auto"/>
                    <w:ind w:left="185"/>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8"/>
                      <w:sz w:val="22"/>
                      <w:szCs w:val="22"/>
                    </w:rPr>
                    <w:t xml:space="preserve"> </w:t>
                  </w:r>
                  <w:r>
                    <w:rPr>
                      <w:spacing w:val="-13"/>
                      <w:sz w:val="22"/>
                      <w:szCs w:val="22"/>
                    </w:rPr>
                    <w:t>个</w:t>
                  </w:r>
                </w:p>
              </w:tc>
              <w:tc>
                <w:tcPr>
                  <w:tcW w:w="892" w:type="dxa"/>
                  <w:vAlign w:val="top"/>
                </w:tcPr>
                <w:p w14:paraId="02D39806">
                  <w:pPr>
                    <w:spacing w:before="92" w:line="208" w:lineRule="auto"/>
                    <w:ind w:left="221"/>
                    <w:rPr>
                      <w:rFonts w:ascii="Times New Roman" w:hAnsi="Times New Roman" w:eastAsia="Times New Roman" w:cs="Times New Roman"/>
                      <w:sz w:val="14"/>
                      <w:szCs w:val="14"/>
                    </w:rPr>
                  </w:pPr>
                  <w:r>
                    <w:rPr>
                      <w:rFonts w:ascii="Times New Roman" w:hAnsi="Times New Roman" w:eastAsia="Times New Roman" w:cs="Times New Roman"/>
                      <w:spacing w:val="-2"/>
                      <w:position w:val="-1"/>
                      <w:sz w:val="22"/>
                      <w:szCs w:val="22"/>
                    </w:rPr>
                    <w:t>30m</w:t>
                  </w:r>
                  <w:r>
                    <w:rPr>
                      <w:rFonts w:ascii="Times New Roman" w:hAnsi="Times New Roman" w:eastAsia="Times New Roman" w:cs="Times New Roman"/>
                      <w:spacing w:val="-2"/>
                      <w:position w:val="6"/>
                      <w:sz w:val="14"/>
                      <w:szCs w:val="14"/>
                    </w:rPr>
                    <w:t>3</w:t>
                  </w:r>
                </w:p>
              </w:tc>
              <w:tc>
                <w:tcPr>
                  <w:tcW w:w="1485" w:type="dxa"/>
                  <w:vAlign w:val="top"/>
                </w:tcPr>
                <w:p w14:paraId="22BD90F5">
                  <w:pPr>
                    <w:pStyle w:val="6"/>
                    <w:spacing w:before="74" w:line="221" w:lineRule="auto"/>
                    <w:ind w:left="420"/>
                    <w:rPr>
                      <w:sz w:val="22"/>
                      <w:szCs w:val="22"/>
                    </w:rPr>
                  </w:pPr>
                  <w:r>
                    <w:rPr>
                      <w:spacing w:val="-3"/>
                      <w:sz w:val="22"/>
                      <w:szCs w:val="22"/>
                    </w:rPr>
                    <w:t>无变化</w:t>
                  </w:r>
                </w:p>
              </w:tc>
            </w:tr>
            <w:tr w14:paraId="23FFC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3" w:type="dxa"/>
                  <w:vAlign w:val="top"/>
                </w:tcPr>
                <w:p w14:paraId="680DE1F1">
                  <w:pPr>
                    <w:spacing w:before="112" w:line="189" w:lineRule="auto"/>
                    <w:ind w:left="182"/>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671" w:type="dxa"/>
                  <w:vMerge w:val="continue"/>
                  <w:tcBorders>
                    <w:top w:val="nil"/>
                    <w:bottom w:val="nil"/>
                  </w:tcBorders>
                  <w:vAlign w:val="top"/>
                </w:tcPr>
                <w:p w14:paraId="7A6780C9">
                  <w:pPr>
                    <w:rPr>
                      <w:rFonts w:ascii="Arial"/>
                      <w:sz w:val="21"/>
                    </w:rPr>
                  </w:pPr>
                </w:p>
              </w:tc>
              <w:tc>
                <w:tcPr>
                  <w:tcW w:w="2047" w:type="dxa"/>
                  <w:vAlign w:val="top"/>
                </w:tcPr>
                <w:p w14:paraId="3F8859BE">
                  <w:pPr>
                    <w:pStyle w:val="6"/>
                    <w:spacing w:before="74" w:line="220" w:lineRule="auto"/>
                    <w:ind w:left="221"/>
                    <w:rPr>
                      <w:sz w:val="22"/>
                      <w:szCs w:val="22"/>
                    </w:rPr>
                  </w:pPr>
                  <w:r>
                    <w:rPr>
                      <w:rFonts w:ascii="Times New Roman" w:hAnsi="Times New Roman" w:eastAsia="Times New Roman" w:cs="Times New Roman"/>
                      <w:spacing w:val="-1"/>
                      <w:sz w:val="22"/>
                      <w:szCs w:val="22"/>
                    </w:rPr>
                    <w:t>98</w:t>
                  </w:r>
                  <w:r>
                    <w:rPr>
                      <w:rFonts w:ascii="Times New Roman" w:hAnsi="Times New Roman" w:eastAsia="Times New Roman" w:cs="Times New Roman"/>
                      <w:spacing w:val="-1"/>
                      <w:position w:val="7"/>
                      <w:sz w:val="14"/>
                      <w:szCs w:val="14"/>
                    </w:rPr>
                    <w:t>#</w:t>
                  </w:r>
                  <w:r>
                    <w:rPr>
                      <w:spacing w:val="-1"/>
                      <w:sz w:val="22"/>
                      <w:szCs w:val="22"/>
                    </w:rPr>
                    <w:t>汽油地埋油罐</w:t>
                  </w:r>
                </w:p>
              </w:tc>
              <w:tc>
                <w:tcPr>
                  <w:tcW w:w="735" w:type="dxa"/>
                  <w:vAlign w:val="top"/>
                </w:tcPr>
                <w:p w14:paraId="22C3F029">
                  <w:pPr>
                    <w:pStyle w:val="6"/>
                    <w:spacing w:before="74" w:line="220" w:lineRule="auto"/>
                    <w:ind w:left="180"/>
                    <w:rPr>
                      <w:sz w:val="22"/>
                      <w:szCs w:val="22"/>
                    </w:rPr>
                  </w:pPr>
                  <w:r>
                    <w:rPr>
                      <w:rFonts w:ascii="Times New Roman" w:hAnsi="Times New Roman" w:eastAsia="Times New Roman" w:cs="Times New Roman"/>
                      <w:spacing w:val="-4"/>
                      <w:sz w:val="22"/>
                      <w:szCs w:val="22"/>
                    </w:rPr>
                    <w:t>0</w:t>
                  </w:r>
                  <w:r>
                    <w:rPr>
                      <w:rFonts w:ascii="Times New Roman" w:hAnsi="Times New Roman" w:eastAsia="Times New Roman" w:cs="Times New Roman"/>
                      <w:spacing w:val="8"/>
                      <w:sz w:val="22"/>
                      <w:szCs w:val="22"/>
                    </w:rPr>
                    <w:t xml:space="preserve"> </w:t>
                  </w:r>
                  <w:r>
                    <w:rPr>
                      <w:spacing w:val="-4"/>
                      <w:sz w:val="22"/>
                      <w:szCs w:val="22"/>
                    </w:rPr>
                    <w:t>个</w:t>
                  </w:r>
                </w:p>
              </w:tc>
              <w:tc>
                <w:tcPr>
                  <w:tcW w:w="938" w:type="dxa"/>
                  <w:vAlign w:val="top"/>
                </w:tcPr>
                <w:p w14:paraId="08615555">
                  <w:pPr>
                    <w:spacing w:before="108" w:line="193" w:lineRule="auto"/>
                    <w:ind w:left="43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08" w:type="dxa"/>
                  <w:vAlign w:val="top"/>
                </w:tcPr>
                <w:p w14:paraId="1C3136E1">
                  <w:pPr>
                    <w:pStyle w:val="6"/>
                    <w:spacing w:before="74" w:line="220" w:lineRule="auto"/>
                    <w:ind w:left="185"/>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8"/>
                      <w:sz w:val="22"/>
                      <w:szCs w:val="22"/>
                    </w:rPr>
                    <w:t xml:space="preserve"> </w:t>
                  </w:r>
                  <w:r>
                    <w:rPr>
                      <w:spacing w:val="-13"/>
                      <w:sz w:val="22"/>
                      <w:szCs w:val="22"/>
                    </w:rPr>
                    <w:t>个</w:t>
                  </w:r>
                </w:p>
              </w:tc>
              <w:tc>
                <w:tcPr>
                  <w:tcW w:w="892" w:type="dxa"/>
                  <w:vAlign w:val="top"/>
                </w:tcPr>
                <w:p w14:paraId="718828A0">
                  <w:pPr>
                    <w:spacing w:before="92" w:line="208" w:lineRule="auto"/>
                    <w:ind w:left="221"/>
                    <w:rPr>
                      <w:rFonts w:ascii="Times New Roman" w:hAnsi="Times New Roman" w:eastAsia="Times New Roman" w:cs="Times New Roman"/>
                      <w:sz w:val="14"/>
                      <w:szCs w:val="14"/>
                    </w:rPr>
                  </w:pPr>
                  <w:r>
                    <w:rPr>
                      <w:rFonts w:ascii="Times New Roman" w:hAnsi="Times New Roman" w:eastAsia="Times New Roman" w:cs="Times New Roman"/>
                      <w:spacing w:val="-2"/>
                      <w:position w:val="-1"/>
                      <w:sz w:val="22"/>
                      <w:szCs w:val="22"/>
                    </w:rPr>
                    <w:t>30m</w:t>
                  </w:r>
                  <w:r>
                    <w:rPr>
                      <w:rFonts w:ascii="Times New Roman" w:hAnsi="Times New Roman" w:eastAsia="Times New Roman" w:cs="Times New Roman"/>
                      <w:spacing w:val="-2"/>
                      <w:position w:val="6"/>
                      <w:sz w:val="14"/>
                      <w:szCs w:val="14"/>
                    </w:rPr>
                    <w:t>3</w:t>
                  </w:r>
                </w:p>
              </w:tc>
              <w:tc>
                <w:tcPr>
                  <w:tcW w:w="1485" w:type="dxa"/>
                  <w:vMerge w:val="restart"/>
                  <w:tcBorders>
                    <w:bottom w:val="nil"/>
                  </w:tcBorders>
                  <w:vAlign w:val="top"/>
                </w:tcPr>
                <w:p w14:paraId="7A0379C2">
                  <w:pPr>
                    <w:pStyle w:val="6"/>
                    <w:spacing w:before="34" w:line="228" w:lineRule="auto"/>
                    <w:ind w:left="199" w:right="101" w:hanging="83"/>
                    <w:jc w:val="both"/>
                    <w:rPr>
                      <w:rFonts w:ascii="Times New Roman" w:hAnsi="Times New Roman" w:eastAsia="Times New Roman" w:cs="Times New Roman"/>
                      <w:sz w:val="14"/>
                      <w:szCs w:val="14"/>
                    </w:rPr>
                  </w:pPr>
                  <w:r>
                    <w:rPr>
                      <w:spacing w:val="-10"/>
                      <w:sz w:val="22"/>
                      <w:szCs w:val="22"/>
                    </w:rPr>
                    <w:t>拆除柴油罐，</w:t>
                  </w:r>
                  <w:r>
                    <w:rPr>
                      <w:spacing w:val="-2"/>
                      <w:sz w:val="22"/>
                      <w:szCs w:val="22"/>
                    </w:rPr>
                    <w:t>后新增汽油</w:t>
                  </w:r>
                  <w:r>
                    <w:rPr>
                      <w:spacing w:val="4"/>
                      <w:sz w:val="22"/>
                      <w:szCs w:val="22"/>
                    </w:rPr>
                    <w:t>罐</w:t>
                  </w:r>
                  <w:r>
                    <w:rPr>
                      <w:spacing w:val="-54"/>
                      <w:sz w:val="22"/>
                      <w:szCs w:val="22"/>
                    </w:rPr>
                    <w:t xml:space="preserve"> </w:t>
                  </w:r>
                  <w:r>
                    <w:rPr>
                      <w:rFonts w:ascii="Times New Roman" w:hAnsi="Times New Roman" w:eastAsia="Times New Roman" w:cs="Times New Roman"/>
                      <w:spacing w:val="4"/>
                      <w:sz w:val="22"/>
                      <w:szCs w:val="22"/>
                    </w:rPr>
                    <w:t>V=30m</w:t>
                  </w:r>
                  <w:r>
                    <w:rPr>
                      <w:rFonts w:ascii="Times New Roman" w:hAnsi="Times New Roman" w:eastAsia="Times New Roman" w:cs="Times New Roman"/>
                      <w:spacing w:val="4"/>
                      <w:position w:val="7"/>
                      <w:sz w:val="14"/>
                      <w:szCs w:val="14"/>
                    </w:rPr>
                    <w:t>3</w:t>
                  </w:r>
                </w:p>
              </w:tc>
            </w:tr>
            <w:tr w14:paraId="04600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463" w:type="dxa"/>
                  <w:vAlign w:val="top"/>
                </w:tcPr>
                <w:p w14:paraId="7A6094AA">
                  <w:pPr>
                    <w:spacing w:before="165" w:line="189" w:lineRule="auto"/>
                    <w:ind w:left="176"/>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671" w:type="dxa"/>
                  <w:vMerge w:val="continue"/>
                  <w:tcBorders>
                    <w:top w:val="nil"/>
                    <w:bottom w:val="nil"/>
                  </w:tcBorders>
                  <w:vAlign w:val="top"/>
                </w:tcPr>
                <w:p w14:paraId="563920A2">
                  <w:pPr>
                    <w:rPr>
                      <w:rFonts w:ascii="Arial"/>
                      <w:sz w:val="21"/>
                    </w:rPr>
                  </w:pPr>
                </w:p>
              </w:tc>
              <w:tc>
                <w:tcPr>
                  <w:tcW w:w="2047" w:type="dxa"/>
                  <w:vAlign w:val="top"/>
                </w:tcPr>
                <w:p w14:paraId="2DCE8A5B">
                  <w:pPr>
                    <w:pStyle w:val="6"/>
                    <w:spacing w:before="127" w:line="220" w:lineRule="auto"/>
                    <w:ind w:left="275"/>
                    <w:rPr>
                      <w:sz w:val="22"/>
                      <w:szCs w:val="22"/>
                    </w:rPr>
                  </w:pPr>
                  <w:r>
                    <w:rPr>
                      <w:rFonts w:ascii="Times New Roman" w:hAnsi="Times New Roman" w:eastAsia="Times New Roman" w:cs="Times New Roman"/>
                      <w:spacing w:val="-1"/>
                      <w:sz w:val="22"/>
                      <w:szCs w:val="22"/>
                    </w:rPr>
                    <w:t>0</w:t>
                  </w:r>
                  <w:r>
                    <w:rPr>
                      <w:rFonts w:ascii="Times New Roman" w:hAnsi="Times New Roman" w:eastAsia="Times New Roman" w:cs="Times New Roman"/>
                      <w:spacing w:val="-1"/>
                      <w:position w:val="7"/>
                      <w:sz w:val="14"/>
                      <w:szCs w:val="14"/>
                    </w:rPr>
                    <w:t>#</w:t>
                  </w:r>
                  <w:r>
                    <w:rPr>
                      <w:spacing w:val="-1"/>
                      <w:sz w:val="22"/>
                      <w:szCs w:val="22"/>
                    </w:rPr>
                    <w:t>柴油地埋油罐</w:t>
                  </w:r>
                </w:p>
              </w:tc>
              <w:tc>
                <w:tcPr>
                  <w:tcW w:w="735" w:type="dxa"/>
                  <w:vAlign w:val="top"/>
                </w:tcPr>
                <w:p w14:paraId="2669AC93">
                  <w:pPr>
                    <w:pStyle w:val="6"/>
                    <w:spacing w:before="127" w:line="220" w:lineRule="auto"/>
                    <w:ind w:left="198"/>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8"/>
                      <w:sz w:val="22"/>
                      <w:szCs w:val="22"/>
                    </w:rPr>
                    <w:t xml:space="preserve"> </w:t>
                  </w:r>
                  <w:r>
                    <w:rPr>
                      <w:spacing w:val="-13"/>
                      <w:sz w:val="22"/>
                      <w:szCs w:val="22"/>
                    </w:rPr>
                    <w:t>个</w:t>
                  </w:r>
                </w:p>
              </w:tc>
              <w:tc>
                <w:tcPr>
                  <w:tcW w:w="938" w:type="dxa"/>
                  <w:vAlign w:val="top"/>
                </w:tcPr>
                <w:p w14:paraId="56F685F8">
                  <w:pPr>
                    <w:spacing w:before="145" w:line="208" w:lineRule="auto"/>
                    <w:ind w:left="245"/>
                    <w:rPr>
                      <w:rFonts w:ascii="Times New Roman" w:hAnsi="Times New Roman" w:eastAsia="Times New Roman" w:cs="Times New Roman"/>
                      <w:sz w:val="14"/>
                      <w:szCs w:val="14"/>
                    </w:rPr>
                  </w:pPr>
                  <w:r>
                    <w:rPr>
                      <w:rFonts w:ascii="Times New Roman" w:hAnsi="Times New Roman" w:eastAsia="Times New Roman" w:cs="Times New Roman"/>
                      <w:spacing w:val="-2"/>
                      <w:position w:val="-1"/>
                      <w:sz w:val="22"/>
                      <w:szCs w:val="22"/>
                    </w:rPr>
                    <w:t>30m</w:t>
                  </w:r>
                  <w:r>
                    <w:rPr>
                      <w:rFonts w:ascii="Times New Roman" w:hAnsi="Times New Roman" w:eastAsia="Times New Roman" w:cs="Times New Roman"/>
                      <w:spacing w:val="-2"/>
                      <w:position w:val="6"/>
                      <w:sz w:val="14"/>
                      <w:szCs w:val="14"/>
                    </w:rPr>
                    <w:t>3</w:t>
                  </w:r>
                </w:p>
              </w:tc>
              <w:tc>
                <w:tcPr>
                  <w:tcW w:w="708" w:type="dxa"/>
                  <w:vAlign w:val="top"/>
                </w:tcPr>
                <w:p w14:paraId="30E8C6D3">
                  <w:pPr>
                    <w:pStyle w:val="6"/>
                    <w:spacing w:before="127" w:line="220" w:lineRule="auto"/>
                    <w:ind w:left="167"/>
                    <w:rPr>
                      <w:sz w:val="22"/>
                      <w:szCs w:val="22"/>
                    </w:rPr>
                  </w:pPr>
                  <w:r>
                    <w:rPr>
                      <w:rFonts w:ascii="Times New Roman" w:hAnsi="Times New Roman" w:eastAsia="Times New Roman" w:cs="Times New Roman"/>
                      <w:spacing w:val="-4"/>
                      <w:sz w:val="22"/>
                      <w:szCs w:val="22"/>
                    </w:rPr>
                    <w:t>0</w:t>
                  </w:r>
                  <w:r>
                    <w:rPr>
                      <w:rFonts w:ascii="Times New Roman" w:hAnsi="Times New Roman" w:eastAsia="Times New Roman" w:cs="Times New Roman"/>
                      <w:spacing w:val="8"/>
                      <w:sz w:val="22"/>
                      <w:szCs w:val="22"/>
                    </w:rPr>
                    <w:t xml:space="preserve"> </w:t>
                  </w:r>
                  <w:r>
                    <w:rPr>
                      <w:spacing w:val="-4"/>
                      <w:sz w:val="22"/>
                      <w:szCs w:val="22"/>
                    </w:rPr>
                    <w:t>个</w:t>
                  </w:r>
                </w:p>
              </w:tc>
              <w:tc>
                <w:tcPr>
                  <w:tcW w:w="892" w:type="dxa"/>
                  <w:vAlign w:val="top"/>
                </w:tcPr>
                <w:p w14:paraId="6384520C">
                  <w:pPr>
                    <w:spacing w:before="161" w:line="193" w:lineRule="auto"/>
                    <w:ind w:left="41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85" w:type="dxa"/>
                  <w:vMerge w:val="continue"/>
                  <w:tcBorders>
                    <w:top w:val="nil"/>
                  </w:tcBorders>
                  <w:vAlign w:val="top"/>
                </w:tcPr>
                <w:p w14:paraId="1F9CE3B8">
                  <w:pPr>
                    <w:rPr>
                      <w:rFonts w:ascii="Arial"/>
                      <w:sz w:val="21"/>
                    </w:rPr>
                  </w:pPr>
                </w:p>
              </w:tc>
            </w:tr>
            <w:tr w14:paraId="57C49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3" w:type="dxa"/>
                  <w:vAlign w:val="top"/>
                </w:tcPr>
                <w:p w14:paraId="188F2A6F">
                  <w:pPr>
                    <w:spacing w:before="114" w:line="186" w:lineRule="auto"/>
                    <w:ind w:left="183"/>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671" w:type="dxa"/>
                  <w:vMerge w:val="continue"/>
                  <w:tcBorders>
                    <w:top w:val="nil"/>
                    <w:bottom w:val="nil"/>
                  </w:tcBorders>
                  <w:vAlign w:val="top"/>
                </w:tcPr>
                <w:p w14:paraId="28B3A31C">
                  <w:pPr>
                    <w:rPr>
                      <w:rFonts w:ascii="Arial"/>
                      <w:sz w:val="21"/>
                    </w:rPr>
                  </w:pPr>
                </w:p>
              </w:tc>
              <w:tc>
                <w:tcPr>
                  <w:tcW w:w="2047" w:type="dxa"/>
                  <w:vAlign w:val="top"/>
                </w:tcPr>
                <w:p w14:paraId="15DB189A">
                  <w:pPr>
                    <w:pStyle w:val="6"/>
                    <w:spacing w:before="74" w:line="219" w:lineRule="auto"/>
                    <w:ind w:left="479"/>
                    <w:rPr>
                      <w:sz w:val="22"/>
                      <w:szCs w:val="22"/>
                    </w:rPr>
                  </w:pPr>
                  <w:r>
                    <w:rPr>
                      <w:spacing w:val="-2"/>
                      <w:sz w:val="22"/>
                      <w:szCs w:val="22"/>
                    </w:rPr>
                    <w:t>六枪加油机</w:t>
                  </w:r>
                </w:p>
              </w:tc>
              <w:tc>
                <w:tcPr>
                  <w:tcW w:w="735" w:type="dxa"/>
                  <w:vAlign w:val="top"/>
                </w:tcPr>
                <w:p w14:paraId="4B3D7971">
                  <w:pPr>
                    <w:pStyle w:val="6"/>
                    <w:spacing w:before="74" w:line="222" w:lineRule="auto"/>
                    <w:ind w:left="181"/>
                    <w:rPr>
                      <w:sz w:val="22"/>
                      <w:szCs w:val="22"/>
                    </w:rPr>
                  </w:pPr>
                  <w:r>
                    <w:rPr>
                      <w:rFonts w:ascii="Times New Roman" w:hAnsi="Times New Roman" w:eastAsia="Times New Roman" w:cs="Times New Roman"/>
                      <w:spacing w:val="-5"/>
                      <w:sz w:val="22"/>
                      <w:szCs w:val="22"/>
                    </w:rPr>
                    <w:t>3</w:t>
                  </w:r>
                  <w:r>
                    <w:rPr>
                      <w:rFonts w:ascii="Times New Roman" w:hAnsi="Times New Roman" w:eastAsia="Times New Roman" w:cs="Times New Roman"/>
                      <w:spacing w:val="26"/>
                      <w:sz w:val="22"/>
                      <w:szCs w:val="22"/>
                    </w:rPr>
                    <w:t xml:space="preserve"> </w:t>
                  </w:r>
                  <w:r>
                    <w:rPr>
                      <w:spacing w:val="-5"/>
                      <w:sz w:val="22"/>
                      <w:szCs w:val="22"/>
                    </w:rPr>
                    <w:t>台</w:t>
                  </w:r>
                </w:p>
              </w:tc>
              <w:tc>
                <w:tcPr>
                  <w:tcW w:w="938" w:type="dxa"/>
                  <w:vAlign w:val="top"/>
                </w:tcPr>
                <w:p w14:paraId="191C6A8D">
                  <w:pPr>
                    <w:pStyle w:val="6"/>
                    <w:spacing w:before="73" w:line="220" w:lineRule="auto"/>
                    <w:ind w:left="256"/>
                    <w:rPr>
                      <w:sz w:val="22"/>
                      <w:szCs w:val="22"/>
                    </w:rPr>
                  </w:pPr>
                  <w:r>
                    <w:rPr>
                      <w:spacing w:val="-5"/>
                      <w:sz w:val="22"/>
                      <w:szCs w:val="22"/>
                    </w:rPr>
                    <w:t>六枪</w:t>
                  </w:r>
                </w:p>
              </w:tc>
              <w:tc>
                <w:tcPr>
                  <w:tcW w:w="708" w:type="dxa"/>
                  <w:vAlign w:val="top"/>
                </w:tcPr>
                <w:p w14:paraId="144DE8E7">
                  <w:pPr>
                    <w:pStyle w:val="6"/>
                    <w:spacing w:before="74" w:line="222" w:lineRule="auto"/>
                    <w:ind w:left="169"/>
                    <w:rPr>
                      <w:sz w:val="22"/>
                      <w:szCs w:val="22"/>
                    </w:rPr>
                  </w:pPr>
                  <w:r>
                    <w:rPr>
                      <w:rFonts w:ascii="Times New Roman" w:hAnsi="Times New Roman" w:eastAsia="Times New Roman" w:cs="Times New Roman"/>
                      <w:spacing w:val="-5"/>
                      <w:sz w:val="22"/>
                      <w:szCs w:val="22"/>
                    </w:rPr>
                    <w:t>3</w:t>
                  </w:r>
                  <w:r>
                    <w:rPr>
                      <w:rFonts w:ascii="Times New Roman" w:hAnsi="Times New Roman" w:eastAsia="Times New Roman" w:cs="Times New Roman"/>
                      <w:spacing w:val="26"/>
                      <w:sz w:val="22"/>
                      <w:szCs w:val="22"/>
                    </w:rPr>
                    <w:t xml:space="preserve"> </w:t>
                  </w:r>
                  <w:r>
                    <w:rPr>
                      <w:spacing w:val="-5"/>
                      <w:sz w:val="22"/>
                      <w:szCs w:val="22"/>
                    </w:rPr>
                    <w:t>台</w:t>
                  </w:r>
                </w:p>
              </w:tc>
              <w:tc>
                <w:tcPr>
                  <w:tcW w:w="892" w:type="dxa"/>
                  <w:vAlign w:val="top"/>
                </w:tcPr>
                <w:p w14:paraId="5DB653A1">
                  <w:pPr>
                    <w:pStyle w:val="6"/>
                    <w:spacing w:before="73" w:line="220" w:lineRule="auto"/>
                    <w:ind w:left="235"/>
                    <w:rPr>
                      <w:sz w:val="22"/>
                      <w:szCs w:val="22"/>
                    </w:rPr>
                  </w:pPr>
                  <w:r>
                    <w:rPr>
                      <w:spacing w:val="-5"/>
                      <w:sz w:val="22"/>
                      <w:szCs w:val="22"/>
                    </w:rPr>
                    <w:t>六枪</w:t>
                  </w:r>
                </w:p>
              </w:tc>
              <w:tc>
                <w:tcPr>
                  <w:tcW w:w="1485" w:type="dxa"/>
                  <w:vAlign w:val="top"/>
                </w:tcPr>
                <w:p w14:paraId="3F3A72EB">
                  <w:pPr>
                    <w:pStyle w:val="6"/>
                    <w:spacing w:before="73" w:line="221" w:lineRule="auto"/>
                    <w:ind w:left="420"/>
                    <w:rPr>
                      <w:sz w:val="22"/>
                      <w:szCs w:val="22"/>
                    </w:rPr>
                  </w:pPr>
                  <w:r>
                    <w:rPr>
                      <w:spacing w:val="-3"/>
                      <w:sz w:val="22"/>
                      <w:szCs w:val="22"/>
                    </w:rPr>
                    <w:t>无变化</w:t>
                  </w:r>
                </w:p>
              </w:tc>
            </w:tr>
            <w:tr w14:paraId="56675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463" w:type="dxa"/>
                  <w:vAlign w:val="top"/>
                </w:tcPr>
                <w:p w14:paraId="2F527E29">
                  <w:pPr>
                    <w:spacing w:before="212" w:line="189" w:lineRule="auto"/>
                    <w:ind w:left="182"/>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671" w:type="dxa"/>
                  <w:vMerge w:val="continue"/>
                  <w:tcBorders>
                    <w:top w:val="nil"/>
                    <w:bottom w:val="nil"/>
                  </w:tcBorders>
                  <w:vAlign w:val="top"/>
                </w:tcPr>
                <w:p w14:paraId="2AE61AE0">
                  <w:pPr>
                    <w:rPr>
                      <w:rFonts w:ascii="Arial"/>
                      <w:sz w:val="21"/>
                    </w:rPr>
                  </w:pPr>
                </w:p>
              </w:tc>
              <w:tc>
                <w:tcPr>
                  <w:tcW w:w="2047" w:type="dxa"/>
                  <w:vAlign w:val="top"/>
                </w:tcPr>
                <w:p w14:paraId="4E28BBFB">
                  <w:pPr>
                    <w:pStyle w:val="6"/>
                    <w:spacing w:before="33" w:line="223" w:lineRule="auto"/>
                    <w:ind w:left="705" w:right="139" w:hanging="552"/>
                    <w:rPr>
                      <w:sz w:val="22"/>
                      <w:szCs w:val="22"/>
                    </w:rPr>
                  </w:pPr>
                  <w:r>
                    <w:rPr>
                      <w:spacing w:val="-2"/>
                      <w:sz w:val="22"/>
                      <w:szCs w:val="22"/>
                    </w:rPr>
                    <w:t>卸油、加油油气回</w:t>
                  </w:r>
                  <w:r>
                    <w:rPr>
                      <w:spacing w:val="-5"/>
                      <w:sz w:val="22"/>
                      <w:szCs w:val="22"/>
                    </w:rPr>
                    <w:t>收管道</w:t>
                  </w:r>
                </w:p>
              </w:tc>
              <w:tc>
                <w:tcPr>
                  <w:tcW w:w="735" w:type="dxa"/>
                  <w:vAlign w:val="top"/>
                </w:tcPr>
                <w:p w14:paraId="18AFB458">
                  <w:pPr>
                    <w:pStyle w:val="6"/>
                    <w:spacing w:before="174" w:line="221" w:lineRule="auto"/>
                    <w:ind w:left="181"/>
                    <w:rPr>
                      <w:sz w:val="22"/>
                      <w:szCs w:val="22"/>
                    </w:rPr>
                  </w:pPr>
                  <w:r>
                    <w:rPr>
                      <w:rFonts w:ascii="Times New Roman" w:hAnsi="Times New Roman" w:eastAsia="Times New Roman" w:cs="Times New Roman"/>
                      <w:spacing w:val="-5"/>
                      <w:sz w:val="22"/>
                      <w:szCs w:val="22"/>
                    </w:rPr>
                    <w:t>3</w:t>
                  </w:r>
                  <w:r>
                    <w:rPr>
                      <w:rFonts w:ascii="Times New Roman" w:hAnsi="Times New Roman" w:eastAsia="Times New Roman" w:cs="Times New Roman"/>
                      <w:spacing w:val="10"/>
                      <w:sz w:val="22"/>
                      <w:szCs w:val="22"/>
                    </w:rPr>
                    <w:t xml:space="preserve"> </w:t>
                  </w:r>
                  <w:r>
                    <w:rPr>
                      <w:spacing w:val="-5"/>
                      <w:sz w:val="22"/>
                      <w:szCs w:val="22"/>
                    </w:rPr>
                    <w:t>套</w:t>
                  </w:r>
                </w:p>
              </w:tc>
              <w:tc>
                <w:tcPr>
                  <w:tcW w:w="938" w:type="dxa"/>
                  <w:vAlign w:val="top"/>
                </w:tcPr>
                <w:p w14:paraId="6012C88F">
                  <w:pPr>
                    <w:spacing w:before="208" w:line="193" w:lineRule="auto"/>
                    <w:ind w:left="43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08" w:type="dxa"/>
                  <w:vAlign w:val="top"/>
                </w:tcPr>
                <w:p w14:paraId="413BF9D5">
                  <w:pPr>
                    <w:pStyle w:val="6"/>
                    <w:spacing w:before="174" w:line="221" w:lineRule="auto"/>
                    <w:ind w:left="169"/>
                    <w:rPr>
                      <w:sz w:val="22"/>
                      <w:szCs w:val="22"/>
                    </w:rPr>
                  </w:pPr>
                  <w:r>
                    <w:rPr>
                      <w:rFonts w:ascii="Times New Roman" w:hAnsi="Times New Roman" w:eastAsia="Times New Roman" w:cs="Times New Roman"/>
                      <w:spacing w:val="-5"/>
                      <w:sz w:val="22"/>
                      <w:szCs w:val="22"/>
                    </w:rPr>
                    <w:t>3</w:t>
                  </w:r>
                  <w:r>
                    <w:rPr>
                      <w:rFonts w:ascii="Times New Roman" w:hAnsi="Times New Roman" w:eastAsia="Times New Roman" w:cs="Times New Roman"/>
                      <w:spacing w:val="10"/>
                      <w:sz w:val="22"/>
                      <w:szCs w:val="22"/>
                    </w:rPr>
                    <w:t xml:space="preserve"> </w:t>
                  </w:r>
                  <w:r>
                    <w:rPr>
                      <w:spacing w:val="-5"/>
                      <w:sz w:val="22"/>
                      <w:szCs w:val="22"/>
                    </w:rPr>
                    <w:t>套</w:t>
                  </w:r>
                </w:p>
              </w:tc>
              <w:tc>
                <w:tcPr>
                  <w:tcW w:w="892" w:type="dxa"/>
                  <w:vAlign w:val="top"/>
                </w:tcPr>
                <w:p w14:paraId="24DBAD19">
                  <w:pPr>
                    <w:spacing w:before="208" w:line="193" w:lineRule="auto"/>
                    <w:ind w:left="41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85" w:type="dxa"/>
                  <w:vAlign w:val="top"/>
                </w:tcPr>
                <w:p w14:paraId="154E5A21">
                  <w:pPr>
                    <w:pStyle w:val="6"/>
                    <w:spacing w:before="174" w:line="221" w:lineRule="auto"/>
                    <w:ind w:left="420"/>
                    <w:rPr>
                      <w:sz w:val="22"/>
                      <w:szCs w:val="22"/>
                    </w:rPr>
                  </w:pPr>
                  <w:r>
                    <w:rPr>
                      <w:spacing w:val="-3"/>
                      <w:sz w:val="22"/>
                      <w:szCs w:val="22"/>
                    </w:rPr>
                    <w:t>无变化</w:t>
                  </w:r>
                </w:p>
              </w:tc>
            </w:tr>
            <w:tr w14:paraId="5D57F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463" w:type="dxa"/>
                  <w:vAlign w:val="top"/>
                </w:tcPr>
                <w:p w14:paraId="0E0AE4DD">
                  <w:pPr>
                    <w:spacing w:before="216" w:line="186" w:lineRule="auto"/>
                    <w:ind w:left="181"/>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671" w:type="dxa"/>
                  <w:vMerge w:val="continue"/>
                  <w:tcBorders>
                    <w:top w:val="nil"/>
                    <w:bottom w:val="nil"/>
                  </w:tcBorders>
                  <w:vAlign w:val="top"/>
                </w:tcPr>
                <w:p w14:paraId="490A9CC4">
                  <w:pPr>
                    <w:rPr>
                      <w:rFonts w:ascii="Arial"/>
                      <w:sz w:val="21"/>
                    </w:rPr>
                  </w:pPr>
                </w:p>
              </w:tc>
              <w:tc>
                <w:tcPr>
                  <w:tcW w:w="2047" w:type="dxa"/>
                  <w:vAlign w:val="top"/>
                </w:tcPr>
                <w:p w14:paraId="3F09ECC8">
                  <w:pPr>
                    <w:pStyle w:val="6"/>
                    <w:spacing w:before="34" w:line="222" w:lineRule="auto"/>
                    <w:ind w:left="263" w:right="267" w:firstLine="107"/>
                    <w:rPr>
                      <w:sz w:val="22"/>
                      <w:szCs w:val="22"/>
                    </w:rPr>
                  </w:pPr>
                  <w:r>
                    <w:rPr>
                      <w:spacing w:val="-2"/>
                      <w:sz w:val="22"/>
                      <w:szCs w:val="22"/>
                    </w:rPr>
                    <w:t>油气回收系统</w:t>
                  </w:r>
                  <w:r>
                    <w:rPr>
                      <w:spacing w:val="-5"/>
                      <w:sz w:val="22"/>
                      <w:szCs w:val="22"/>
                    </w:rPr>
                    <w:t>（组合件套装）</w:t>
                  </w:r>
                </w:p>
              </w:tc>
              <w:tc>
                <w:tcPr>
                  <w:tcW w:w="735" w:type="dxa"/>
                  <w:vAlign w:val="top"/>
                </w:tcPr>
                <w:p w14:paraId="0E6E06BD">
                  <w:pPr>
                    <w:spacing w:before="213" w:line="189" w:lineRule="auto"/>
                    <w:ind w:left="334"/>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38" w:type="dxa"/>
                  <w:vAlign w:val="top"/>
                </w:tcPr>
                <w:p w14:paraId="46D927BB">
                  <w:pPr>
                    <w:pStyle w:val="6"/>
                    <w:spacing w:before="175" w:line="220" w:lineRule="auto"/>
                    <w:ind w:left="145"/>
                    <w:rPr>
                      <w:sz w:val="22"/>
                      <w:szCs w:val="22"/>
                    </w:rPr>
                  </w:pPr>
                  <w:r>
                    <w:rPr>
                      <w:spacing w:val="-3"/>
                      <w:sz w:val="22"/>
                      <w:szCs w:val="22"/>
                    </w:rPr>
                    <w:t>按配置</w:t>
                  </w:r>
                </w:p>
              </w:tc>
              <w:tc>
                <w:tcPr>
                  <w:tcW w:w="708" w:type="dxa"/>
                  <w:vAlign w:val="top"/>
                </w:tcPr>
                <w:p w14:paraId="1A72AB4C">
                  <w:pPr>
                    <w:spacing w:before="213" w:line="189" w:lineRule="auto"/>
                    <w:ind w:left="322"/>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892" w:type="dxa"/>
                  <w:vAlign w:val="top"/>
                </w:tcPr>
                <w:p w14:paraId="1BD42629">
                  <w:pPr>
                    <w:pStyle w:val="6"/>
                    <w:spacing w:before="175" w:line="220" w:lineRule="auto"/>
                    <w:ind w:left="124"/>
                    <w:rPr>
                      <w:sz w:val="22"/>
                      <w:szCs w:val="22"/>
                    </w:rPr>
                  </w:pPr>
                  <w:r>
                    <w:rPr>
                      <w:spacing w:val="-3"/>
                      <w:sz w:val="22"/>
                      <w:szCs w:val="22"/>
                    </w:rPr>
                    <w:t>按配置</w:t>
                  </w:r>
                </w:p>
              </w:tc>
              <w:tc>
                <w:tcPr>
                  <w:tcW w:w="1485" w:type="dxa"/>
                  <w:vAlign w:val="top"/>
                </w:tcPr>
                <w:p w14:paraId="0A342CDA">
                  <w:pPr>
                    <w:pStyle w:val="6"/>
                    <w:spacing w:before="175" w:line="221" w:lineRule="auto"/>
                    <w:ind w:left="420"/>
                    <w:rPr>
                      <w:sz w:val="22"/>
                      <w:szCs w:val="22"/>
                    </w:rPr>
                  </w:pPr>
                  <w:r>
                    <w:rPr>
                      <w:spacing w:val="-3"/>
                      <w:sz w:val="22"/>
                      <w:szCs w:val="22"/>
                    </w:rPr>
                    <w:t>无变化</w:t>
                  </w:r>
                </w:p>
              </w:tc>
            </w:tr>
            <w:tr w14:paraId="0B9D9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3" w:type="dxa"/>
                  <w:vAlign w:val="top"/>
                </w:tcPr>
                <w:p w14:paraId="6119C6B7">
                  <w:pPr>
                    <w:spacing w:before="114" w:line="189" w:lineRule="auto"/>
                    <w:ind w:left="186"/>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671" w:type="dxa"/>
                  <w:vMerge w:val="continue"/>
                  <w:tcBorders>
                    <w:top w:val="nil"/>
                    <w:bottom w:val="nil"/>
                  </w:tcBorders>
                  <w:vAlign w:val="top"/>
                </w:tcPr>
                <w:p w14:paraId="5CEFE5CC">
                  <w:pPr>
                    <w:rPr>
                      <w:rFonts w:ascii="Arial"/>
                      <w:sz w:val="21"/>
                    </w:rPr>
                  </w:pPr>
                </w:p>
              </w:tc>
              <w:tc>
                <w:tcPr>
                  <w:tcW w:w="2047" w:type="dxa"/>
                  <w:vAlign w:val="top"/>
                </w:tcPr>
                <w:p w14:paraId="2F668BB4">
                  <w:pPr>
                    <w:pStyle w:val="6"/>
                    <w:spacing w:before="76" w:line="220" w:lineRule="auto"/>
                    <w:ind w:left="698"/>
                    <w:rPr>
                      <w:sz w:val="22"/>
                      <w:szCs w:val="22"/>
                    </w:rPr>
                  </w:pPr>
                  <w:r>
                    <w:rPr>
                      <w:spacing w:val="-2"/>
                      <w:sz w:val="22"/>
                      <w:szCs w:val="22"/>
                    </w:rPr>
                    <w:t>潜油泵</w:t>
                  </w:r>
                </w:p>
              </w:tc>
              <w:tc>
                <w:tcPr>
                  <w:tcW w:w="735" w:type="dxa"/>
                  <w:vAlign w:val="top"/>
                </w:tcPr>
                <w:p w14:paraId="79CCF260">
                  <w:pPr>
                    <w:spacing w:before="114" w:line="189" w:lineRule="auto"/>
                    <w:ind w:left="318"/>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938" w:type="dxa"/>
                  <w:vAlign w:val="top"/>
                </w:tcPr>
                <w:p w14:paraId="4BE9A21E">
                  <w:pPr>
                    <w:pStyle w:val="6"/>
                    <w:spacing w:before="76" w:line="220" w:lineRule="auto"/>
                    <w:ind w:left="145"/>
                    <w:rPr>
                      <w:sz w:val="22"/>
                      <w:szCs w:val="22"/>
                    </w:rPr>
                  </w:pPr>
                  <w:r>
                    <w:rPr>
                      <w:spacing w:val="-3"/>
                      <w:sz w:val="22"/>
                      <w:szCs w:val="22"/>
                    </w:rPr>
                    <w:t>按配置</w:t>
                  </w:r>
                </w:p>
              </w:tc>
              <w:tc>
                <w:tcPr>
                  <w:tcW w:w="708" w:type="dxa"/>
                  <w:vAlign w:val="top"/>
                </w:tcPr>
                <w:p w14:paraId="5659D9F4">
                  <w:pPr>
                    <w:spacing w:before="114" w:line="189" w:lineRule="auto"/>
                    <w:ind w:left="305"/>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892" w:type="dxa"/>
                  <w:vAlign w:val="top"/>
                </w:tcPr>
                <w:p w14:paraId="2E38EDC3">
                  <w:pPr>
                    <w:pStyle w:val="6"/>
                    <w:spacing w:before="76" w:line="220" w:lineRule="auto"/>
                    <w:ind w:left="124"/>
                    <w:rPr>
                      <w:sz w:val="22"/>
                      <w:szCs w:val="22"/>
                    </w:rPr>
                  </w:pPr>
                  <w:r>
                    <w:rPr>
                      <w:spacing w:val="-3"/>
                      <w:sz w:val="22"/>
                      <w:szCs w:val="22"/>
                    </w:rPr>
                    <w:t>按配置</w:t>
                  </w:r>
                </w:p>
              </w:tc>
              <w:tc>
                <w:tcPr>
                  <w:tcW w:w="1485" w:type="dxa"/>
                  <w:vAlign w:val="top"/>
                </w:tcPr>
                <w:p w14:paraId="29E3DA79">
                  <w:pPr>
                    <w:pStyle w:val="6"/>
                    <w:spacing w:before="76" w:line="221" w:lineRule="auto"/>
                    <w:ind w:left="420"/>
                    <w:rPr>
                      <w:sz w:val="22"/>
                      <w:szCs w:val="22"/>
                    </w:rPr>
                  </w:pPr>
                  <w:r>
                    <w:rPr>
                      <w:spacing w:val="-3"/>
                      <w:sz w:val="22"/>
                      <w:szCs w:val="22"/>
                    </w:rPr>
                    <w:t>无变化</w:t>
                  </w:r>
                </w:p>
              </w:tc>
            </w:tr>
            <w:tr w14:paraId="02664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3" w:type="dxa"/>
                  <w:vAlign w:val="top"/>
                </w:tcPr>
                <w:p w14:paraId="4D1DCC5D">
                  <w:pPr>
                    <w:spacing w:before="114" w:line="189" w:lineRule="auto"/>
                    <w:ind w:left="182"/>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671" w:type="dxa"/>
                  <w:vMerge w:val="continue"/>
                  <w:tcBorders>
                    <w:top w:val="nil"/>
                  </w:tcBorders>
                  <w:vAlign w:val="top"/>
                </w:tcPr>
                <w:p w14:paraId="7DAC6AC5">
                  <w:pPr>
                    <w:rPr>
                      <w:rFonts w:ascii="Arial"/>
                      <w:sz w:val="21"/>
                    </w:rPr>
                  </w:pPr>
                </w:p>
              </w:tc>
              <w:tc>
                <w:tcPr>
                  <w:tcW w:w="2047" w:type="dxa"/>
                  <w:vAlign w:val="top"/>
                </w:tcPr>
                <w:p w14:paraId="4B6704A7">
                  <w:pPr>
                    <w:pStyle w:val="6"/>
                    <w:spacing w:before="76" w:line="220" w:lineRule="auto"/>
                    <w:ind w:left="588"/>
                    <w:rPr>
                      <w:sz w:val="22"/>
                      <w:szCs w:val="22"/>
                    </w:rPr>
                  </w:pPr>
                  <w:r>
                    <w:rPr>
                      <w:spacing w:val="-2"/>
                      <w:sz w:val="22"/>
                      <w:szCs w:val="22"/>
                    </w:rPr>
                    <w:t>通气立管</w:t>
                  </w:r>
                </w:p>
              </w:tc>
              <w:tc>
                <w:tcPr>
                  <w:tcW w:w="735" w:type="dxa"/>
                  <w:vAlign w:val="top"/>
                </w:tcPr>
                <w:p w14:paraId="15CA7DEA">
                  <w:pPr>
                    <w:spacing w:before="114" w:line="189" w:lineRule="auto"/>
                    <w:ind w:left="312"/>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938" w:type="dxa"/>
                  <w:vAlign w:val="top"/>
                </w:tcPr>
                <w:p w14:paraId="2F676FB5">
                  <w:pPr>
                    <w:pStyle w:val="6"/>
                    <w:spacing w:before="76" w:line="220" w:lineRule="auto"/>
                    <w:ind w:left="145"/>
                    <w:rPr>
                      <w:sz w:val="22"/>
                      <w:szCs w:val="22"/>
                    </w:rPr>
                  </w:pPr>
                  <w:r>
                    <w:rPr>
                      <w:spacing w:val="-3"/>
                      <w:sz w:val="22"/>
                      <w:szCs w:val="22"/>
                    </w:rPr>
                    <w:t>按配置</w:t>
                  </w:r>
                </w:p>
              </w:tc>
              <w:tc>
                <w:tcPr>
                  <w:tcW w:w="708" w:type="dxa"/>
                  <w:vAlign w:val="top"/>
                </w:tcPr>
                <w:p w14:paraId="29DA9A05">
                  <w:pPr>
                    <w:spacing w:before="114" w:line="189" w:lineRule="auto"/>
                    <w:ind w:left="300"/>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892" w:type="dxa"/>
                  <w:vAlign w:val="top"/>
                </w:tcPr>
                <w:p w14:paraId="26CDBA87">
                  <w:pPr>
                    <w:pStyle w:val="6"/>
                    <w:spacing w:before="76" w:line="220" w:lineRule="auto"/>
                    <w:ind w:left="124"/>
                    <w:rPr>
                      <w:sz w:val="22"/>
                      <w:szCs w:val="22"/>
                    </w:rPr>
                  </w:pPr>
                  <w:r>
                    <w:rPr>
                      <w:spacing w:val="-3"/>
                      <w:sz w:val="22"/>
                      <w:szCs w:val="22"/>
                    </w:rPr>
                    <w:t>按配置</w:t>
                  </w:r>
                </w:p>
              </w:tc>
              <w:tc>
                <w:tcPr>
                  <w:tcW w:w="1485" w:type="dxa"/>
                  <w:vAlign w:val="top"/>
                </w:tcPr>
                <w:p w14:paraId="71B1C9DC">
                  <w:pPr>
                    <w:pStyle w:val="6"/>
                    <w:spacing w:before="76" w:line="221" w:lineRule="auto"/>
                    <w:ind w:left="420"/>
                    <w:rPr>
                      <w:sz w:val="22"/>
                      <w:szCs w:val="22"/>
                    </w:rPr>
                  </w:pPr>
                  <w:r>
                    <w:rPr>
                      <w:spacing w:val="-3"/>
                      <w:sz w:val="22"/>
                      <w:szCs w:val="22"/>
                    </w:rPr>
                    <w:t>无变化</w:t>
                  </w:r>
                </w:p>
              </w:tc>
            </w:tr>
            <w:tr w14:paraId="36639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463" w:type="dxa"/>
                  <w:vAlign w:val="top"/>
                </w:tcPr>
                <w:p w14:paraId="167CFCE3">
                  <w:pPr>
                    <w:spacing w:before="215" w:line="189" w:lineRule="auto"/>
                    <w:ind w:left="143"/>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671" w:type="dxa"/>
                  <w:vMerge w:val="restart"/>
                  <w:tcBorders>
                    <w:bottom w:val="nil"/>
                  </w:tcBorders>
                  <w:vAlign w:val="top"/>
                </w:tcPr>
                <w:p w14:paraId="6A7DE518">
                  <w:pPr>
                    <w:spacing w:line="285" w:lineRule="auto"/>
                    <w:rPr>
                      <w:rFonts w:ascii="Arial"/>
                      <w:sz w:val="21"/>
                    </w:rPr>
                  </w:pPr>
                </w:p>
                <w:p w14:paraId="0AA4D72F">
                  <w:pPr>
                    <w:spacing w:line="285" w:lineRule="auto"/>
                    <w:rPr>
                      <w:rFonts w:ascii="Arial"/>
                      <w:sz w:val="21"/>
                    </w:rPr>
                  </w:pPr>
                </w:p>
                <w:p w14:paraId="77F07095">
                  <w:pPr>
                    <w:spacing w:line="286" w:lineRule="auto"/>
                    <w:rPr>
                      <w:rFonts w:ascii="Arial"/>
                      <w:sz w:val="21"/>
                    </w:rPr>
                  </w:pPr>
                </w:p>
                <w:p w14:paraId="3EE08F4B">
                  <w:pPr>
                    <w:spacing w:line="286" w:lineRule="auto"/>
                    <w:rPr>
                      <w:rFonts w:ascii="Arial"/>
                      <w:sz w:val="21"/>
                    </w:rPr>
                  </w:pPr>
                </w:p>
                <w:p w14:paraId="36757C8F">
                  <w:pPr>
                    <w:pStyle w:val="6"/>
                    <w:spacing w:before="72"/>
                    <w:ind w:left="120" w:right="113" w:hanging="1"/>
                    <w:jc w:val="both"/>
                    <w:rPr>
                      <w:sz w:val="22"/>
                      <w:szCs w:val="22"/>
                    </w:rPr>
                  </w:pPr>
                  <w:r>
                    <w:rPr>
                      <w:spacing w:val="-4"/>
                      <w:sz w:val="22"/>
                      <w:szCs w:val="22"/>
                    </w:rPr>
                    <w:t>配套</w:t>
                  </w:r>
                  <w:r>
                    <w:rPr>
                      <w:spacing w:val="-5"/>
                      <w:sz w:val="22"/>
                      <w:szCs w:val="22"/>
                    </w:rPr>
                    <w:t>辅助设施</w:t>
                  </w:r>
                </w:p>
              </w:tc>
              <w:tc>
                <w:tcPr>
                  <w:tcW w:w="2047" w:type="dxa"/>
                  <w:vAlign w:val="top"/>
                </w:tcPr>
                <w:p w14:paraId="1B831C3C">
                  <w:pPr>
                    <w:pStyle w:val="6"/>
                    <w:spacing w:before="36" w:line="220" w:lineRule="auto"/>
                    <w:ind w:left="151"/>
                    <w:rPr>
                      <w:sz w:val="22"/>
                      <w:szCs w:val="22"/>
                    </w:rPr>
                  </w:pPr>
                  <w:r>
                    <w:rPr>
                      <w:spacing w:val="-2"/>
                      <w:sz w:val="22"/>
                      <w:szCs w:val="22"/>
                    </w:rPr>
                    <w:t>液位仪（高低液位</w:t>
                  </w:r>
                </w:p>
                <w:p w14:paraId="5F8A580E">
                  <w:pPr>
                    <w:pStyle w:val="6"/>
                    <w:spacing w:before="23" w:line="204" w:lineRule="auto"/>
                    <w:ind w:left="476"/>
                    <w:rPr>
                      <w:sz w:val="22"/>
                      <w:szCs w:val="22"/>
                    </w:rPr>
                  </w:pPr>
                  <w:r>
                    <w:rPr>
                      <w:spacing w:val="-2"/>
                      <w:sz w:val="22"/>
                      <w:szCs w:val="22"/>
                    </w:rPr>
                    <w:t>报警系统）</w:t>
                  </w:r>
                </w:p>
              </w:tc>
              <w:tc>
                <w:tcPr>
                  <w:tcW w:w="735" w:type="dxa"/>
                  <w:vAlign w:val="top"/>
                </w:tcPr>
                <w:p w14:paraId="19CA1FF7">
                  <w:pPr>
                    <w:pStyle w:val="6"/>
                    <w:spacing w:before="177" w:line="221" w:lineRule="auto"/>
                    <w:ind w:left="198"/>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套</w:t>
                  </w:r>
                </w:p>
              </w:tc>
              <w:tc>
                <w:tcPr>
                  <w:tcW w:w="938" w:type="dxa"/>
                  <w:vAlign w:val="top"/>
                </w:tcPr>
                <w:p w14:paraId="172BE49F">
                  <w:pPr>
                    <w:spacing w:before="211" w:line="193" w:lineRule="auto"/>
                    <w:ind w:left="43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08" w:type="dxa"/>
                  <w:vAlign w:val="top"/>
                </w:tcPr>
                <w:p w14:paraId="4BAAF7AD">
                  <w:pPr>
                    <w:pStyle w:val="6"/>
                    <w:spacing w:before="177" w:line="221" w:lineRule="auto"/>
                    <w:ind w:left="185"/>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套</w:t>
                  </w:r>
                </w:p>
              </w:tc>
              <w:tc>
                <w:tcPr>
                  <w:tcW w:w="892" w:type="dxa"/>
                  <w:vAlign w:val="top"/>
                </w:tcPr>
                <w:p w14:paraId="5EA85F94">
                  <w:pPr>
                    <w:spacing w:before="211" w:line="193" w:lineRule="auto"/>
                    <w:ind w:left="41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85" w:type="dxa"/>
                  <w:vAlign w:val="top"/>
                </w:tcPr>
                <w:p w14:paraId="08F066D0">
                  <w:pPr>
                    <w:pStyle w:val="6"/>
                    <w:spacing w:before="177" w:line="221" w:lineRule="auto"/>
                    <w:ind w:left="420"/>
                    <w:rPr>
                      <w:sz w:val="22"/>
                      <w:szCs w:val="22"/>
                    </w:rPr>
                  </w:pPr>
                  <w:r>
                    <w:rPr>
                      <w:spacing w:val="-3"/>
                      <w:sz w:val="22"/>
                      <w:szCs w:val="22"/>
                    </w:rPr>
                    <w:t>无变化</w:t>
                  </w:r>
                </w:p>
              </w:tc>
            </w:tr>
            <w:tr w14:paraId="73999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3" w:type="dxa"/>
                  <w:vAlign w:val="top"/>
                </w:tcPr>
                <w:p w14:paraId="6578785A">
                  <w:pPr>
                    <w:spacing w:before="115" w:line="189" w:lineRule="auto"/>
                    <w:ind w:left="143"/>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11</w:t>
                  </w:r>
                </w:p>
              </w:tc>
              <w:tc>
                <w:tcPr>
                  <w:tcW w:w="671" w:type="dxa"/>
                  <w:vMerge w:val="continue"/>
                  <w:tcBorders>
                    <w:top w:val="nil"/>
                    <w:bottom w:val="nil"/>
                  </w:tcBorders>
                  <w:vAlign w:val="top"/>
                </w:tcPr>
                <w:p w14:paraId="5034A20E">
                  <w:pPr>
                    <w:rPr>
                      <w:rFonts w:ascii="Arial"/>
                      <w:sz w:val="21"/>
                    </w:rPr>
                  </w:pPr>
                </w:p>
              </w:tc>
              <w:tc>
                <w:tcPr>
                  <w:tcW w:w="2047" w:type="dxa"/>
                  <w:vAlign w:val="top"/>
                </w:tcPr>
                <w:p w14:paraId="520BE8D0">
                  <w:pPr>
                    <w:pStyle w:val="6"/>
                    <w:spacing w:before="77" w:line="220" w:lineRule="auto"/>
                    <w:ind w:left="371"/>
                    <w:rPr>
                      <w:sz w:val="22"/>
                      <w:szCs w:val="22"/>
                    </w:rPr>
                  </w:pPr>
                  <w:r>
                    <w:rPr>
                      <w:spacing w:val="-2"/>
                      <w:sz w:val="22"/>
                      <w:szCs w:val="22"/>
                    </w:rPr>
                    <w:t>泄漏检测装置</w:t>
                  </w:r>
                </w:p>
              </w:tc>
              <w:tc>
                <w:tcPr>
                  <w:tcW w:w="735" w:type="dxa"/>
                  <w:vAlign w:val="top"/>
                </w:tcPr>
                <w:p w14:paraId="1CD5FA22">
                  <w:pPr>
                    <w:pStyle w:val="6"/>
                    <w:spacing w:before="77" w:line="221" w:lineRule="auto"/>
                    <w:ind w:left="198"/>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套</w:t>
                  </w:r>
                </w:p>
              </w:tc>
              <w:tc>
                <w:tcPr>
                  <w:tcW w:w="938" w:type="dxa"/>
                  <w:vAlign w:val="top"/>
                </w:tcPr>
                <w:p w14:paraId="11BE76C9">
                  <w:pPr>
                    <w:spacing w:before="111" w:line="193" w:lineRule="auto"/>
                    <w:ind w:left="43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08" w:type="dxa"/>
                  <w:vAlign w:val="top"/>
                </w:tcPr>
                <w:p w14:paraId="23EABBDB">
                  <w:pPr>
                    <w:pStyle w:val="6"/>
                    <w:spacing w:before="77" w:line="221" w:lineRule="auto"/>
                    <w:ind w:left="185"/>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套</w:t>
                  </w:r>
                </w:p>
              </w:tc>
              <w:tc>
                <w:tcPr>
                  <w:tcW w:w="892" w:type="dxa"/>
                  <w:vAlign w:val="top"/>
                </w:tcPr>
                <w:p w14:paraId="7A2F33EC">
                  <w:pPr>
                    <w:spacing w:before="111" w:line="193" w:lineRule="auto"/>
                    <w:ind w:left="41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85" w:type="dxa"/>
                  <w:vAlign w:val="top"/>
                </w:tcPr>
                <w:p w14:paraId="53446DBC">
                  <w:pPr>
                    <w:pStyle w:val="6"/>
                    <w:spacing w:before="77" w:line="221" w:lineRule="auto"/>
                    <w:ind w:left="420"/>
                    <w:rPr>
                      <w:sz w:val="22"/>
                      <w:szCs w:val="22"/>
                    </w:rPr>
                  </w:pPr>
                  <w:r>
                    <w:rPr>
                      <w:spacing w:val="-3"/>
                      <w:sz w:val="22"/>
                      <w:szCs w:val="22"/>
                    </w:rPr>
                    <w:t>无变化</w:t>
                  </w:r>
                </w:p>
              </w:tc>
            </w:tr>
            <w:tr w14:paraId="4CE3C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3" w:type="dxa"/>
                  <w:vAlign w:val="top"/>
                </w:tcPr>
                <w:p w14:paraId="5EAC9A5A">
                  <w:pPr>
                    <w:spacing w:before="116" w:line="189" w:lineRule="auto"/>
                    <w:ind w:left="143"/>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12</w:t>
                  </w:r>
                </w:p>
              </w:tc>
              <w:tc>
                <w:tcPr>
                  <w:tcW w:w="671" w:type="dxa"/>
                  <w:vMerge w:val="continue"/>
                  <w:tcBorders>
                    <w:top w:val="nil"/>
                    <w:bottom w:val="nil"/>
                  </w:tcBorders>
                  <w:vAlign w:val="top"/>
                </w:tcPr>
                <w:p w14:paraId="44377782">
                  <w:pPr>
                    <w:rPr>
                      <w:rFonts w:ascii="Arial"/>
                      <w:sz w:val="21"/>
                    </w:rPr>
                  </w:pPr>
                </w:p>
              </w:tc>
              <w:tc>
                <w:tcPr>
                  <w:tcW w:w="2047" w:type="dxa"/>
                  <w:vAlign w:val="top"/>
                </w:tcPr>
                <w:p w14:paraId="197658B6">
                  <w:pPr>
                    <w:pStyle w:val="6"/>
                    <w:spacing w:before="77" w:line="221" w:lineRule="auto"/>
                    <w:ind w:left="152"/>
                    <w:rPr>
                      <w:sz w:val="22"/>
                      <w:szCs w:val="22"/>
                    </w:rPr>
                  </w:pPr>
                  <w:r>
                    <w:rPr>
                      <w:spacing w:val="-2"/>
                      <w:sz w:val="22"/>
                      <w:szCs w:val="22"/>
                    </w:rPr>
                    <w:t>油气在线监测系统</w:t>
                  </w:r>
                </w:p>
              </w:tc>
              <w:tc>
                <w:tcPr>
                  <w:tcW w:w="735" w:type="dxa"/>
                  <w:vAlign w:val="top"/>
                </w:tcPr>
                <w:p w14:paraId="1A4EBBAC">
                  <w:pPr>
                    <w:pStyle w:val="6"/>
                    <w:spacing w:before="77" w:line="221" w:lineRule="auto"/>
                    <w:ind w:left="198"/>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套</w:t>
                  </w:r>
                </w:p>
              </w:tc>
              <w:tc>
                <w:tcPr>
                  <w:tcW w:w="938" w:type="dxa"/>
                  <w:vAlign w:val="top"/>
                </w:tcPr>
                <w:p w14:paraId="5437ADF4">
                  <w:pPr>
                    <w:spacing w:before="111" w:line="193" w:lineRule="auto"/>
                    <w:ind w:left="43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08" w:type="dxa"/>
                  <w:vAlign w:val="top"/>
                </w:tcPr>
                <w:p w14:paraId="6F36A4D2">
                  <w:pPr>
                    <w:pStyle w:val="6"/>
                    <w:spacing w:before="77" w:line="221" w:lineRule="auto"/>
                    <w:ind w:left="185"/>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套</w:t>
                  </w:r>
                </w:p>
              </w:tc>
              <w:tc>
                <w:tcPr>
                  <w:tcW w:w="892" w:type="dxa"/>
                  <w:vAlign w:val="top"/>
                </w:tcPr>
                <w:p w14:paraId="764F0EC3">
                  <w:pPr>
                    <w:spacing w:before="111" w:line="193" w:lineRule="auto"/>
                    <w:ind w:left="41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85" w:type="dxa"/>
                  <w:vAlign w:val="top"/>
                </w:tcPr>
                <w:p w14:paraId="5B0559BA">
                  <w:pPr>
                    <w:pStyle w:val="6"/>
                    <w:spacing w:before="77" w:line="221" w:lineRule="auto"/>
                    <w:ind w:left="420"/>
                    <w:rPr>
                      <w:sz w:val="22"/>
                      <w:szCs w:val="22"/>
                    </w:rPr>
                  </w:pPr>
                  <w:r>
                    <w:rPr>
                      <w:spacing w:val="-3"/>
                      <w:sz w:val="22"/>
                      <w:szCs w:val="22"/>
                    </w:rPr>
                    <w:t>无变化</w:t>
                  </w:r>
                </w:p>
              </w:tc>
            </w:tr>
            <w:tr w14:paraId="0DABA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3" w:type="dxa"/>
                  <w:vAlign w:val="top"/>
                </w:tcPr>
                <w:p w14:paraId="1E2A2B1B">
                  <w:pPr>
                    <w:spacing w:before="116" w:line="189" w:lineRule="auto"/>
                    <w:ind w:left="143"/>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13</w:t>
                  </w:r>
                </w:p>
              </w:tc>
              <w:tc>
                <w:tcPr>
                  <w:tcW w:w="671" w:type="dxa"/>
                  <w:vMerge w:val="continue"/>
                  <w:tcBorders>
                    <w:top w:val="nil"/>
                    <w:bottom w:val="nil"/>
                  </w:tcBorders>
                  <w:vAlign w:val="top"/>
                </w:tcPr>
                <w:p w14:paraId="46AE369C">
                  <w:pPr>
                    <w:rPr>
                      <w:rFonts w:ascii="Arial"/>
                      <w:sz w:val="21"/>
                    </w:rPr>
                  </w:pPr>
                </w:p>
              </w:tc>
              <w:tc>
                <w:tcPr>
                  <w:tcW w:w="2047" w:type="dxa"/>
                  <w:vAlign w:val="top"/>
                </w:tcPr>
                <w:p w14:paraId="25493B83">
                  <w:pPr>
                    <w:pStyle w:val="6"/>
                    <w:spacing w:before="78" w:line="221" w:lineRule="auto"/>
                    <w:ind w:left="366"/>
                    <w:rPr>
                      <w:sz w:val="22"/>
                      <w:szCs w:val="22"/>
                    </w:rPr>
                  </w:pPr>
                  <w:r>
                    <w:rPr>
                      <w:spacing w:val="-1"/>
                      <w:sz w:val="22"/>
                      <w:szCs w:val="22"/>
                    </w:rPr>
                    <w:t>视频监控系统</w:t>
                  </w:r>
                </w:p>
              </w:tc>
              <w:tc>
                <w:tcPr>
                  <w:tcW w:w="735" w:type="dxa"/>
                  <w:vAlign w:val="top"/>
                </w:tcPr>
                <w:p w14:paraId="49B2C3C8">
                  <w:pPr>
                    <w:pStyle w:val="6"/>
                    <w:spacing w:before="78" w:line="221" w:lineRule="auto"/>
                    <w:ind w:left="198"/>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套</w:t>
                  </w:r>
                </w:p>
              </w:tc>
              <w:tc>
                <w:tcPr>
                  <w:tcW w:w="938" w:type="dxa"/>
                  <w:vAlign w:val="top"/>
                </w:tcPr>
                <w:p w14:paraId="275980D8">
                  <w:pPr>
                    <w:spacing w:before="112" w:line="193" w:lineRule="auto"/>
                    <w:ind w:left="43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08" w:type="dxa"/>
                  <w:vAlign w:val="top"/>
                </w:tcPr>
                <w:p w14:paraId="61E9A1D5">
                  <w:pPr>
                    <w:pStyle w:val="6"/>
                    <w:spacing w:before="78" w:line="221" w:lineRule="auto"/>
                    <w:ind w:left="185"/>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套</w:t>
                  </w:r>
                </w:p>
              </w:tc>
              <w:tc>
                <w:tcPr>
                  <w:tcW w:w="892" w:type="dxa"/>
                  <w:vAlign w:val="top"/>
                </w:tcPr>
                <w:p w14:paraId="4E2CC517">
                  <w:pPr>
                    <w:spacing w:before="112" w:line="193" w:lineRule="auto"/>
                    <w:ind w:left="41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85" w:type="dxa"/>
                  <w:vAlign w:val="top"/>
                </w:tcPr>
                <w:p w14:paraId="04C6A052">
                  <w:pPr>
                    <w:pStyle w:val="6"/>
                    <w:spacing w:before="78" w:line="221" w:lineRule="auto"/>
                    <w:ind w:left="420"/>
                    <w:rPr>
                      <w:sz w:val="22"/>
                      <w:szCs w:val="22"/>
                    </w:rPr>
                  </w:pPr>
                  <w:r>
                    <w:rPr>
                      <w:spacing w:val="-3"/>
                      <w:sz w:val="22"/>
                      <w:szCs w:val="22"/>
                    </w:rPr>
                    <w:t>无变化</w:t>
                  </w:r>
                </w:p>
              </w:tc>
            </w:tr>
            <w:tr w14:paraId="28C60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3" w:type="dxa"/>
                  <w:vAlign w:val="top"/>
                </w:tcPr>
                <w:p w14:paraId="6289F033">
                  <w:pPr>
                    <w:spacing w:before="114" w:line="189" w:lineRule="auto"/>
                    <w:ind w:left="143"/>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14</w:t>
                  </w:r>
                </w:p>
              </w:tc>
              <w:tc>
                <w:tcPr>
                  <w:tcW w:w="671" w:type="dxa"/>
                  <w:vMerge w:val="continue"/>
                  <w:tcBorders>
                    <w:top w:val="nil"/>
                    <w:bottom w:val="nil"/>
                  </w:tcBorders>
                  <w:vAlign w:val="top"/>
                </w:tcPr>
                <w:p w14:paraId="4B5CC280">
                  <w:pPr>
                    <w:rPr>
                      <w:rFonts w:ascii="Arial"/>
                      <w:sz w:val="21"/>
                    </w:rPr>
                  </w:pPr>
                </w:p>
              </w:tc>
              <w:tc>
                <w:tcPr>
                  <w:tcW w:w="2047" w:type="dxa"/>
                  <w:vAlign w:val="top"/>
                </w:tcPr>
                <w:p w14:paraId="489D5477">
                  <w:pPr>
                    <w:pStyle w:val="6"/>
                    <w:spacing w:before="76" w:line="219" w:lineRule="auto"/>
                    <w:ind w:left="271"/>
                    <w:rPr>
                      <w:sz w:val="22"/>
                      <w:szCs w:val="22"/>
                    </w:rPr>
                  </w:pPr>
                  <w:r>
                    <w:rPr>
                      <w:spacing w:val="-4"/>
                      <w:sz w:val="22"/>
                      <w:szCs w:val="22"/>
                    </w:rPr>
                    <w:t>防雷防静电装置</w:t>
                  </w:r>
                </w:p>
              </w:tc>
              <w:tc>
                <w:tcPr>
                  <w:tcW w:w="735" w:type="dxa"/>
                  <w:vAlign w:val="top"/>
                </w:tcPr>
                <w:p w14:paraId="77712663">
                  <w:pPr>
                    <w:pStyle w:val="6"/>
                    <w:spacing w:before="75" w:line="221" w:lineRule="auto"/>
                    <w:ind w:left="198"/>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套</w:t>
                  </w:r>
                </w:p>
              </w:tc>
              <w:tc>
                <w:tcPr>
                  <w:tcW w:w="938" w:type="dxa"/>
                  <w:vAlign w:val="top"/>
                </w:tcPr>
                <w:p w14:paraId="36A53636">
                  <w:pPr>
                    <w:spacing w:before="109" w:line="193" w:lineRule="auto"/>
                    <w:ind w:left="43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08" w:type="dxa"/>
                  <w:vAlign w:val="top"/>
                </w:tcPr>
                <w:p w14:paraId="5184FA81">
                  <w:pPr>
                    <w:pStyle w:val="6"/>
                    <w:spacing w:before="75" w:line="221" w:lineRule="auto"/>
                    <w:ind w:left="185"/>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套</w:t>
                  </w:r>
                </w:p>
              </w:tc>
              <w:tc>
                <w:tcPr>
                  <w:tcW w:w="892" w:type="dxa"/>
                  <w:vAlign w:val="top"/>
                </w:tcPr>
                <w:p w14:paraId="70789D67">
                  <w:pPr>
                    <w:spacing w:before="109" w:line="193" w:lineRule="auto"/>
                    <w:ind w:left="41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85" w:type="dxa"/>
                  <w:vAlign w:val="top"/>
                </w:tcPr>
                <w:p w14:paraId="59CF140F">
                  <w:pPr>
                    <w:pStyle w:val="6"/>
                    <w:spacing w:before="75" w:line="221" w:lineRule="auto"/>
                    <w:ind w:left="420"/>
                    <w:rPr>
                      <w:sz w:val="22"/>
                      <w:szCs w:val="22"/>
                    </w:rPr>
                  </w:pPr>
                  <w:r>
                    <w:rPr>
                      <w:spacing w:val="-3"/>
                      <w:sz w:val="22"/>
                      <w:szCs w:val="22"/>
                    </w:rPr>
                    <w:t>无变化</w:t>
                  </w:r>
                </w:p>
              </w:tc>
            </w:tr>
            <w:tr w14:paraId="25D7F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3" w:type="dxa"/>
                  <w:vAlign w:val="top"/>
                </w:tcPr>
                <w:p w14:paraId="799532D0">
                  <w:pPr>
                    <w:spacing w:before="114" w:line="189" w:lineRule="auto"/>
                    <w:ind w:left="143"/>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15</w:t>
                  </w:r>
                </w:p>
              </w:tc>
              <w:tc>
                <w:tcPr>
                  <w:tcW w:w="671" w:type="dxa"/>
                  <w:vMerge w:val="continue"/>
                  <w:tcBorders>
                    <w:top w:val="nil"/>
                    <w:bottom w:val="nil"/>
                  </w:tcBorders>
                  <w:vAlign w:val="top"/>
                </w:tcPr>
                <w:p w14:paraId="7E4AD8D9">
                  <w:pPr>
                    <w:rPr>
                      <w:rFonts w:ascii="Arial"/>
                      <w:sz w:val="21"/>
                    </w:rPr>
                  </w:pPr>
                </w:p>
              </w:tc>
              <w:tc>
                <w:tcPr>
                  <w:tcW w:w="2047" w:type="dxa"/>
                  <w:vAlign w:val="top"/>
                </w:tcPr>
                <w:p w14:paraId="46AA8449">
                  <w:pPr>
                    <w:pStyle w:val="6"/>
                    <w:spacing w:before="76" w:line="221" w:lineRule="auto"/>
                    <w:ind w:left="283"/>
                    <w:rPr>
                      <w:sz w:val="22"/>
                      <w:szCs w:val="22"/>
                    </w:rPr>
                  </w:pPr>
                  <w:r>
                    <w:rPr>
                      <w:spacing w:val="-5"/>
                      <w:sz w:val="22"/>
                      <w:szCs w:val="22"/>
                    </w:rPr>
                    <w:t>电源避雷保护器</w:t>
                  </w:r>
                </w:p>
              </w:tc>
              <w:tc>
                <w:tcPr>
                  <w:tcW w:w="735" w:type="dxa"/>
                  <w:vAlign w:val="top"/>
                </w:tcPr>
                <w:p w14:paraId="05AA9BA6">
                  <w:pPr>
                    <w:pStyle w:val="6"/>
                    <w:spacing w:before="76" w:line="220" w:lineRule="auto"/>
                    <w:ind w:left="198"/>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8"/>
                      <w:sz w:val="22"/>
                      <w:szCs w:val="22"/>
                    </w:rPr>
                    <w:t xml:space="preserve"> </w:t>
                  </w:r>
                  <w:r>
                    <w:rPr>
                      <w:spacing w:val="-13"/>
                      <w:sz w:val="22"/>
                      <w:szCs w:val="22"/>
                    </w:rPr>
                    <w:t>个</w:t>
                  </w:r>
                </w:p>
              </w:tc>
              <w:tc>
                <w:tcPr>
                  <w:tcW w:w="938" w:type="dxa"/>
                  <w:vAlign w:val="top"/>
                </w:tcPr>
                <w:p w14:paraId="6EB8E2B5">
                  <w:pPr>
                    <w:spacing w:before="110" w:line="193" w:lineRule="auto"/>
                    <w:ind w:left="43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08" w:type="dxa"/>
                  <w:vAlign w:val="top"/>
                </w:tcPr>
                <w:p w14:paraId="21CE1415">
                  <w:pPr>
                    <w:pStyle w:val="6"/>
                    <w:spacing w:before="76" w:line="221" w:lineRule="auto"/>
                    <w:ind w:left="185"/>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套</w:t>
                  </w:r>
                </w:p>
              </w:tc>
              <w:tc>
                <w:tcPr>
                  <w:tcW w:w="892" w:type="dxa"/>
                  <w:vAlign w:val="top"/>
                </w:tcPr>
                <w:p w14:paraId="69110A8F">
                  <w:pPr>
                    <w:spacing w:before="110" w:line="193" w:lineRule="auto"/>
                    <w:ind w:left="41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85" w:type="dxa"/>
                  <w:vAlign w:val="top"/>
                </w:tcPr>
                <w:p w14:paraId="44359C2D">
                  <w:pPr>
                    <w:pStyle w:val="6"/>
                    <w:spacing w:before="76" w:line="221" w:lineRule="auto"/>
                    <w:ind w:left="420"/>
                    <w:rPr>
                      <w:sz w:val="22"/>
                      <w:szCs w:val="22"/>
                    </w:rPr>
                  </w:pPr>
                  <w:r>
                    <w:rPr>
                      <w:spacing w:val="-3"/>
                      <w:sz w:val="22"/>
                      <w:szCs w:val="22"/>
                    </w:rPr>
                    <w:t>无变化</w:t>
                  </w:r>
                </w:p>
              </w:tc>
            </w:tr>
            <w:tr w14:paraId="3E1AD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3" w:type="dxa"/>
                  <w:vAlign w:val="top"/>
                </w:tcPr>
                <w:p w14:paraId="1760BC08">
                  <w:pPr>
                    <w:spacing w:before="114" w:line="189" w:lineRule="auto"/>
                    <w:ind w:left="143"/>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16</w:t>
                  </w:r>
                </w:p>
              </w:tc>
              <w:tc>
                <w:tcPr>
                  <w:tcW w:w="671" w:type="dxa"/>
                  <w:vMerge w:val="continue"/>
                  <w:tcBorders>
                    <w:top w:val="nil"/>
                    <w:bottom w:val="nil"/>
                  </w:tcBorders>
                  <w:vAlign w:val="top"/>
                </w:tcPr>
                <w:p w14:paraId="61934CE4">
                  <w:pPr>
                    <w:rPr>
                      <w:rFonts w:ascii="Arial"/>
                      <w:sz w:val="21"/>
                    </w:rPr>
                  </w:pPr>
                </w:p>
              </w:tc>
              <w:tc>
                <w:tcPr>
                  <w:tcW w:w="2047" w:type="dxa"/>
                  <w:vAlign w:val="top"/>
                </w:tcPr>
                <w:p w14:paraId="19E77AAB">
                  <w:pPr>
                    <w:pStyle w:val="6"/>
                    <w:spacing w:before="76" w:line="219" w:lineRule="auto"/>
                    <w:ind w:left="258"/>
                    <w:rPr>
                      <w:sz w:val="22"/>
                      <w:szCs w:val="22"/>
                    </w:rPr>
                  </w:pPr>
                  <w:r>
                    <w:rPr>
                      <w:spacing w:val="-2"/>
                      <w:sz w:val="22"/>
                      <w:szCs w:val="22"/>
                    </w:rPr>
                    <w:t>静电接地报警仪</w:t>
                  </w:r>
                </w:p>
              </w:tc>
              <w:tc>
                <w:tcPr>
                  <w:tcW w:w="735" w:type="dxa"/>
                  <w:vAlign w:val="top"/>
                </w:tcPr>
                <w:p w14:paraId="1F2EDD2F">
                  <w:pPr>
                    <w:pStyle w:val="6"/>
                    <w:spacing w:before="76" w:line="221" w:lineRule="auto"/>
                    <w:ind w:left="198"/>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套</w:t>
                  </w:r>
                </w:p>
              </w:tc>
              <w:tc>
                <w:tcPr>
                  <w:tcW w:w="938" w:type="dxa"/>
                  <w:vAlign w:val="top"/>
                </w:tcPr>
                <w:p w14:paraId="3A4F3487">
                  <w:pPr>
                    <w:spacing w:before="110" w:line="193" w:lineRule="auto"/>
                    <w:ind w:left="43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08" w:type="dxa"/>
                  <w:vAlign w:val="top"/>
                </w:tcPr>
                <w:p w14:paraId="77CDCF21">
                  <w:pPr>
                    <w:pStyle w:val="6"/>
                    <w:spacing w:before="76" w:line="221" w:lineRule="auto"/>
                    <w:ind w:left="185"/>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套</w:t>
                  </w:r>
                </w:p>
              </w:tc>
              <w:tc>
                <w:tcPr>
                  <w:tcW w:w="892" w:type="dxa"/>
                  <w:vAlign w:val="top"/>
                </w:tcPr>
                <w:p w14:paraId="3ABAAE2B">
                  <w:pPr>
                    <w:spacing w:before="110" w:line="193" w:lineRule="auto"/>
                    <w:ind w:left="41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85" w:type="dxa"/>
                  <w:vAlign w:val="top"/>
                </w:tcPr>
                <w:p w14:paraId="099CC597">
                  <w:pPr>
                    <w:pStyle w:val="6"/>
                    <w:spacing w:before="76" w:line="221" w:lineRule="auto"/>
                    <w:ind w:left="420"/>
                    <w:rPr>
                      <w:sz w:val="22"/>
                      <w:szCs w:val="22"/>
                    </w:rPr>
                  </w:pPr>
                  <w:r>
                    <w:rPr>
                      <w:spacing w:val="-3"/>
                      <w:sz w:val="22"/>
                      <w:szCs w:val="22"/>
                    </w:rPr>
                    <w:t>无变化</w:t>
                  </w:r>
                </w:p>
              </w:tc>
            </w:tr>
            <w:tr w14:paraId="64EA1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463" w:type="dxa"/>
                  <w:vAlign w:val="top"/>
                </w:tcPr>
                <w:p w14:paraId="2053A68E">
                  <w:pPr>
                    <w:spacing w:before="114" w:line="189" w:lineRule="auto"/>
                    <w:ind w:left="143"/>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17</w:t>
                  </w:r>
                </w:p>
              </w:tc>
              <w:tc>
                <w:tcPr>
                  <w:tcW w:w="671" w:type="dxa"/>
                  <w:vMerge w:val="continue"/>
                  <w:tcBorders>
                    <w:top w:val="nil"/>
                  </w:tcBorders>
                  <w:vAlign w:val="top"/>
                </w:tcPr>
                <w:p w14:paraId="7DC5CEA0">
                  <w:pPr>
                    <w:rPr>
                      <w:rFonts w:ascii="Arial"/>
                      <w:sz w:val="21"/>
                    </w:rPr>
                  </w:pPr>
                </w:p>
              </w:tc>
              <w:tc>
                <w:tcPr>
                  <w:tcW w:w="2047" w:type="dxa"/>
                  <w:vAlign w:val="top"/>
                </w:tcPr>
                <w:p w14:paraId="63655D53">
                  <w:pPr>
                    <w:pStyle w:val="6"/>
                    <w:spacing w:before="77" w:line="219" w:lineRule="auto"/>
                    <w:ind w:left="259"/>
                    <w:rPr>
                      <w:sz w:val="22"/>
                      <w:szCs w:val="22"/>
                    </w:rPr>
                  </w:pPr>
                  <w:r>
                    <w:rPr>
                      <w:spacing w:val="-2"/>
                      <w:sz w:val="22"/>
                      <w:szCs w:val="22"/>
                    </w:rPr>
                    <w:t>人体静电消除器</w:t>
                  </w:r>
                </w:p>
              </w:tc>
              <w:tc>
                <w:tcPr>
                  <w:tcW w:w="735" w:type="dxa"/>
                  <w:vAlign w:val="top"/>
                </w:tcPr>
                <w:p w14:paraId="12E9981B">
                  <w:pPr>
                    <w:pStyle w:val="6"/>
                    <w:spacing w:before="76" w:line="220" w:lineRule="auto"/>
                    <w:ind w:left="198"/>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8"/>
                      <w:sz w:val="22"/>
                      <w:szCs w:val="22"/>
                    </w:rPr>
                    <w:t xml:space="preserve"> </w:t>
                  </w:r>
                  <w:r>
                    <w:rPr>
                      <w:spacing w:val="-13"/>
                      <w:sz w:val="22"/>
                      <w:szCs w:val="22"/>
                    </w:rPr>
                    <w:t>个</w:t>
                  </w:r>
                </w:p>
              </w:tc>
              <w:tc>
                <w:tcPr>
                  <w:tcW w:w="938" w:type="dxa"/>
                  <w:vAlign w:val="top"/>
                </w:tcPr>
                <w:p w14:paraId="21D80C5B">
                  <w:pPr>
                    <w:spacing w:before="110" w:line="193" w:lineRule="auto"/>
                    <w:ind w:left="43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08" w:type="dxa"/>
                  <w:vAlign w:val="top"/>
                </w:tcPr>
                <w:p w14:paraId="5FD37881">
                  <w:pPr>
                    <w:pStyle w:val="6"/>
                    <w:spacing w:before="76" w:line="221" w:lineRule="auto"/>
                    <w:ind w:left="185"/>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套</w:t>
                  </w:r>
                </w:p>
              </w:tc>
              <w:tc>
                <w:tcPr>
                  <w:tcW w:w="892" w:type="dxa"/>
                  <w:vAlign w:val="top"/>
                </w:tcPr>
                <w:p w14:paraId="6EC49AEF">
                  <w:pPr>
                    <w:spacing w:before="110" w:line="193" w:lineRule="auto"/>
                    <w:ind w:left="41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85" w:type="dxa"/>
                  <w:vAlign w:val="top"/>
                </w:tcPr>
                <w:p w14:paraId="4E77DD20">
                  <w:pPr>
                    <w:pStyle w:val="6"/>
                    <w:spacing w:before="76" w:line="221" w:lineRule="auto"/>
                    <w:ind w:left="420"/>
                    <w:rPr>
                      <w:sz w:val="22"/>
                      <w:szCs w:val="22"/>
                    </w:rPr>
                  </w:pPr>
                  <w:r>
                    <w:rPr>
                      <w:spacing w:val="-3"/>
                      <w:sz w:val="22"/>
                      <w:szCs w:val="22"/>
                    </w:rPr>
                    <w:t>无变化</w:t>
                  </w:r>
                </w:p>
              </w:tc>
            </w:tr>
          </w:tbl>
          <w:p w14:paraId="46B31E6B">
            <w:pPr>
              <w:spacing w:line="260" w:lineRule="auto"/>
              <w:rPr>
                <w:rFonts w:ascii="Arial"/>
                <w:sz w:val="21"/>
              </w:rPr>
            </w:pPr>
          </w:p>
          <w:p w14:paraId="1C381B16">
            <w:pPr>
              <w:spacing w:line="261" w:lineRule="auto"/>
              <w:rPr>
                <w:rFonts w:ascii="Arial"/>
                <w:sz w:val="21"/>
              </w:rPr>
            </w:pPr>
          </w:p>
          <w:p w14:paraId="6C7C3911">
            <w:pPr>
              <w:pStyle w:val="6"/>
              <w:spacing w:before="81" w:line="227" w:lineRule="auto"/>
              <w:ind w:left="106"/>
            </w:pPr>
            <w:r>
              <w:rPr>
                <w:rFonts w:ascii="Times New Roman" w:hAnsi="Times New Roman" w:eastAsia="Times New Roman" w:cs="Times New Roman"/>
                <w:b/>
                <w:bCs/>
                <w:spacing w:val="6"/>
              </w:rPr>
              <w:t xml:space="preserve">2.5 </w:t>
            </w:r>
            <w:r>
              <w:rPr>
                <w:b/>
                <w:bCs/>
                <w:spacing w:val="6"/>
              </w:rPr>
              <w:t>主要原辅料及理化性质</w:t>
            </w:r>
          </w:p>
          <w:p w14:paraId="1E9883A9">
            <w:pPr>
              <w:pStyle w:val="6"/>
              <w:spacing w:before="152" w:line="225" w:lineRule="auto"/>
              <w:ind w:left="629"/>
            </w:pPr>
            <w:r>
              <w:rPr>
                <w:spacing w:val="9"/>
              </w:rPr>
              <w:t>本项目实施前后原辅材料消耗一览表详见下表。</w:t>
            </w:r>
          </w:p>
        </w:tc>
      </w:tr>
    </w:tbl>
    <w:p w14:paraId="7D7443C0">
      <w:pPr>
        <w:pStyle w:val="2"/>
        <w:rPr>
          <w:sz w:val="21"/>
        </w:rPr>
      </w:pPr>
    </w:p>
    <w:p w14:paraId="69B68CC8">
      <w:pPr>
        <w:rPr>
          <w:sz w:val="21"/>
          <w:szCs w:val="21"/>
        </w:rPr>
        <w:sectPr>
          <w:footerReference r:id="rId38" w:type="default"/>
          <w:pgSz w:w="11906" w:h="16839"/>
          <w:pgMar w:top="400" w:right="1451" w:bottom="1009" w:left="1451" w:header="0" w:footer="770" w:gutter="0"/>
          <w:cols w:space="720" w:num="1"/>
        </w:sectPr>
      </w:pPr>
    </w:p>
    <w:p w14:paraId="1A62A835">
      <w:pPr>
        <w:spacing w:before="19"/>
      </w:pPr>
    </w:p>
    <w:p w14:paraId="59DFCD8D">
      <w:pPr>
        <w:spacing w:before="19"/>
      </w:pPr>
    </w:p>
    <w:p w14:paraId="485D94CD">
      <w:pPr>
        <w:spacing w:before="19"/>
      </w:pPr>
    </w:p>
    <w:p w14:paraId="18236052">
      <w:pPr>
        <w:spacing w:before="18"/>
      </w:pPr>
    </w:p>
    <w:p w14:paraId="01D7C5C5">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0684E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64" w:hRule="atLeast"/>
        </w:trPr>
        <w:tc>
          <w:tcPr>
            <w:tcW w:w="831" w:type="dxa"/>
            <w:tcBorders>
              <w:right w:val="single" w:color="000000" w:sz="2" w:space="0"/>
            </w:tcBorders>
            <w:vAlign w:val="top"/>
          </w:tcPr>
          <w:p w14:paraId="26FBA8E8">
            <w:pPr>
              <w:rPr>
                <w:rFonts w:ascii="Arial"/>
                <w:sz w:val="21"/>
              </w:rPr>
            </w:pPr>
          </w:p>
        </w:tc>
        <w:tc>
          <w:tcPr>
            <w:tcW w:w="8157" w:type="dxa"/>
            <w:tcBorders>
              <w:left w:val="single" w:color="000000" w:sz="2" w:space="0"/>
            </w:tcBorders>
            <w:vAlign w:val="top"/>
          </w:tcPr>
          <w:p w14:paraId="77E8A7D3">
            <w:pPr>
              <w:pStyle w:val="6"/>
              <w:spacing w:before="150" w:line="225" w:lineRule="auto"/>
              <w:ind w:left="1470"/>
            </w:pPr>
            <w:r>
              <w:rPr>
                <w:spacing w:val="6"/>
              </w:rPr>
              <w:t>表</w:t>
            </w:r>
            <w:r>
              <w:rPr>
                <w:rFonts w:ascii="Times New Roman" w:hAnsi="Times New Roman" w:eastAsia="Times New Roman" w:cs="Times New Roman"/>
                <w:spacing w:val="6"/>
              </w:rPr>
              <w:t>2.5-</w:t>
            </w:r>
            <w:r>
              <w:rPr>
                <w:rFonts w:ascii="Times New Roman" w:hAnsi="Times New Roman" w:eastAsia="Times New Roman" w:cs="Times New Roman"/>
                <w:spacing w:val="-30"/>
              </w:rPr>
              <w:t xml:space="preserve"> </w:t>
            </w:r>
            <w:r>
              <w:rPr>
                <w:rFonts w:ascii="Times New Roman" w:hAnsi="Times New Roman" w:eastAsia="Times New Roman" w:cs="Times New Roman"/>
                <w:spacing w:val="6"/>
              </w:rPr>
              <w:t xml:space="preserve">1    </w:t>
            </w:r>
            <w:r>
              <w:rPr>
                <w:spacing w:val="6"/>
              </w:rPr>
              <w:t>本项目实施前后原辅材料消耗一览表</w:t>
            </w:r>
          </w:p>
          <w:p w14:paraId="3F9170EF">
            <w:pPr>
              <w:spacing w:line="98" w:lineRule="auto"/>
              <w:rPr>
                <w:rFonts w:ascii="Arial"/>
                <w:sz w:val="2"/>
              </w:rPr>
            </w:pPr>
          </w:p>
          <w:tbl>
            <w:tblPr>
              <w:tblStyle w:val="5"/>
              <w:tblW w:w="7939"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1002"/>
              <w:gridCol w:w="865"/>
              <w:gridCol w:w="1103"/>
              <w:gridCol w:w="901"/>
              <w:gridCol w:w="1204"/>
              <w:gridCol w:w="1066"/>
              <w:gridCol w:w="1348"/>
            </w:tblGrid>
            <w:tr w14:paraId="533F4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450" w:type="dxa"/>
                  <w:vMerge w:val="restart"/>
                  <w:tcBorders>
                    <w:bottom w:val="nil"/>
                  </w:tcBorders>
                  <w:textDirection w:val="tbRlV"/>
                  <w:vAlign w:val="top"/>
                </w:tcPr>
                <w:p w14:paraId="515A1511">
                  <w:pPr>
                    <w:pStyle w:val="6"/>
                    <w:spacing w:before="112" w:line="211" w:lineRule="auto"/>
                    <w:ind w:left="226"/>
                    <w:rPr>
                      <w:sz w:val="22"/>
                      <w:szCs w:val="22"/>
                    </w:rPr>
                  </w:pPr>
                  <w:r>
                    <w:rPr>
                      <w:spacing w:val="31"/>
                      <w:sz w:val="22"/>
                      <w:szCs w:val="22"/>
                    </w:rPr>
                    <w:t>序号</w:t>
                  </w:r>
                </w:p>
              </w:tc>
              <w:tc>
                <w:tcPr>
                  <w:tcW w:w="1002" w:type="dxa"/>
                  <w:vMerge w:val="restart"/>
                  <w:tcBorders>
                    <w:bottom w:val="nil"/>
                  </w:tcBorders>
                  <w:vAlign w:val="top"/>
                </w:tcPr>
                <w:p w14:paraId="2E370A28">
                  <w:pPr>
                    <w:spacing w:line="295" w:lineRule="auto"/>
                    <w:rPr>
                      <w:rFonts w:ascii="Arial"/>
                      <w:sz w:val="21"/>
                    </w:rPr>
                  </w:pPr>
                </w:p>
                <w:p w14:paraId="794B4DC3">
                  <w:pPr>
                    <w:pStyle w:val="6"/>
                    <w:spacing w:before="71" w:line="222" w:lineRule="auto"/>
                    <w:ind w:left="286"/>
                    <w:rPr>
                      <w:sz w:val="22"/>
                      <w:szCs w:val="22"/>
                    </w:rPr>
                  </w:pPr>
                  <w:r>
                    <w:rPr>
                      <w:spacing w:val="-5"/>
                      <w:sz w:val="22"/>
                      <w:szCs w:val="22"/>
                    </w:rPr>
                    <w:t>名称</w:t>
                  </w:r>
                </w:p>
              </w:tc>
              <w:tc>
                <w:tcPr>
                  <w:tcW w:w="865" w:type="dxa"/>
                  <w:vMerge w:val="restart"/>
                  <w:tcBorders>
                    <w:bottom w:val="nil"/>
                  </w:tcBorders>
                  <w:vAlign w:val="top"/>
                </w:tcPr>
                <w:p w14:paraId="2E3C6828">
                  <w:pPr>
                    <w:spacing w:line="294" w:lineRule="auto"/>
                    <w:rPr>
                      <w:rFonts w:ascii="Arial"/>
                      <w:sz w:val="21"/>
                    </w:rPr>
                  </w:pPr>
                </w:p>
                <w:p w14:paraId="373EC0F7">
                  <w:pPr>
                    <w:pStyle w:val="6"/>
                    <w:spacing w:before="72" w:line="221" w:lineRule="auto"/>
                    <w:ind w:left="217"/>
                    <w:rPr>
                      <w:sz w:val="22"/>
                      <w:szCs w:val="22"/>
                    </w:rPr>
                  </w:pPr>
                  <w:r>
                    <w:rPr>
                      <w:spacing w:val="-5"/>
                      <w:sz w:val="22"/>
                      <w:szCs w:val="22"/>
                    </w:rPr>
                    <w:t>单位</w:t>
                  </w:r>
                </w:p>
              </w:tc>
              <w:tc>
                <w:tcPr>
                  <w:tcW w:w="2004" w:type="dxa"/>
                  <w:gridSpan w:val="2"/>
                  <w:vAlign w:val="top"/>
                </w:tcPr>
                <w:p w14:paraId="065CF6F6">
                  <w:pPr>
                    <w:pStyle w:val="6"/>
                    <w:spacing w:before="78" w:line="220" w:lineRule="auto"/>
                    <w:ind w:left="349"/>
                    <w:rPr>
                      <w:sz w:val="22"/>
                      <w:szCs w:val="22"/>
                    </w:rPr>
                  </w:pPr>
                  <w:r>
                    <w:rPr>
                      <w:spacing w:val="-2"/>
                      <w:sz w:val="22"/>
                      <w:szCs w:val="22"/>
                    </w:rPr>
                    <w:t>项目改扩建前</w:t>
                  </w:r>
                </w:p>
              </w:tc>
              <w:tc>
                <w:tcPr>
                  <w:tcW w:w="2270" w:type="dxa"/>
                  <w:gridSpan w:val="2"/>
                  <w:vAlign w:val="top"/>
                </w:tcPr>
                <w:p w14:paraId="600C64D1">
                  <w:pPr>
                    <w:pStyle w:val="6"/>
                    <w:spacing w:before="78" w:line="220" w:lineRule="auto"/>
                    <w:ind w:left="486"/>
                    <w:rPr>
                      <w:sz w:val="22"/>
                      <w:szCs w:val="22"/>
                    </w:rPr>
                  </w:pPr>
                  <w:r>
                    <w:rPr>
                      <w:spacing w:val="-2"/>
                      <w:sz w:val="22"/>
                      <w:szCs w:val="22"/>
                    </w:rPr>
                    <w:t>项目改扩建后</w:t>
                  </w:r>
                </w:p>
              </w:tc>
              <w:tc>
                <w:tcPr>
                  <w:tcW w:w="1348" w:type="dxa"/>
                  <w:vMerge w:val="restart"/>
                  <w:tcBorders>
                    <w:bottom w:val="nil"/>
                  </w:tcBorders>
                  <w:vAlign w:val="top"/>
                </w:tcPr>
                <w:p w14:paraId="7576E293">
                  <w:pPr>
                    <w:spacing w:line="295" w:lineRule="auto"/>
                    <w:rPr>
                      <w:rFonts w:ascii="Arial"/>
                      <w:sz w:val="21"/>
                    </w:rPr>
                  </w:pPr>
                </w:p>
                <w:p w14:paraId="00B34F10">
                  <w:pPr>
                    <w:pStyle w:val="6"/>
                    <w:spacing w:before="71" w:line="220" w:lineRule="auto"/>
                    <w:ind w:left="460"/>
                    <w:rPr>
                      <w:sz w:val="22"/>
                      <w:szCs w:val="22"/>
                    </w:rPr>
                  </w:pPr>
                  <w:r>
                    <w:rPr>
                      <w:spacing w:val="-4"/>
                      <w:sz w:val="22"/>
                      <w:szCs w:val="22"/>
                    </w:rPr>
                    <w:t>来源</w:t>
                  </w:r>
                </w:p>
              </w:tc>
            </w:tr>
            <w:tr w14:paraId="37D1F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450" w:type="dxa"/>
                  <w:vMerge w:val="continue"/>
                  <w:tcBorders>
                    <w:top w:val="nil"/>
                  </w:tcBorders>
                  <w:textDirection w:val="tbRlV"/>
                  <w:vAlign w:val="top"/>
                </w:tcPr>
                <w:p w14:paraId="340DEF94">
                  <w:pPr>
                    <w:rPr>
                      <w:rFonts w:ascii="Arial"/>
                      <w:sz w:val="21"/>
                    </w:rPr>
                  </w:pPr>
                </w:p>
              </w:tc>
              <w:tc>
                <w:tcPr>
                  <w:tcW w:w="1002" w:type="dxa"/>
                  <w:vMerge w:val="continue"/>
                  <w:tcBorders>
                    <w:top w:val="nil"/>
                  </w:tcBorders>
                  <w:vAlign w:val="top"/>
                </w:tcPr>
                <w:p w14:paraId="1DD8940A">
                  <w:pPr>
                    <w:rPr>
                      <w:rFonts w:ascii="Arial"/>
                      <w:sz w:val="21"/>
                    </w:rPr>
                  </w:pPr>
                </w:p>
              </w:tc>
              <w:tc>
                <w:tcPr>
                  <w:tcW w:w="865" w:type="dxa"/>
                  <w:vMerge w:val="continue"/>
                  <w:tcBorders>
                    <w:top w:val="nil"/>
                  </w:tcBorders>
                  <w:vAlign w:val="top"/>
                </w:tcPr>
                <w:p w14:paraId="7798D1B8">
                  <w:pPr>
                    <w:rPr>
                      <w:rFonts w:ascii="Arial"/>
                      <w:sz w:val="21"/>
                    </w:rPr>
                  </w:pPr>
                </w:p>
              </w:tc>
              <w:tc>
                <w:tcPr>
                  <w:tcW w:w="1103" w:type="dxa"/>
                  <w:vAlign w:val="top"/>
                </w:tcPr>
                <w:p w14:paraId="27B91708">
                  <w:pPr>
                    <w:pStyle w:val="6"/>
                    <w:spacing w:before="33" w:line="220" w:lineRule="auto"/>
                    <w:ind w:left="116"/>
                    <w:rPr>
                      <w:sz w:val="22"/>
                      <w:szCs w:val="22"/>
                    </w:rPr>
                  </w:pPr>
                  <w:r>
                    <w:rPr>
                      <w:spacing w:val="-3"/>
                      <w:sz w:val="22"/>
                      <w:szCs w:val="22"/>
                    </w:rPr>
                    <w:t>年销售量</w:t>
                  </w:r>
                </w:p>
                <w:p w14:paraId="0B2465E1">
                  <w:pPr>
                    <w:pStyle w:val="6"/>
                    <w:spacing w:before="23" w:line="206" w:lineRule="auto"/>
                    <w:ind w:left="186"/>
                    <w:rPr>
                      <w:sz w:val="22"/>
                      <w:szCs w:val="22"/>
                    </w:rPr>
                  </w:pPr>
                  <w:r>
                    <w:rPr>
                      <w:rFonts w:ascii="Times New Roman" w:hAnsi="Times New Roman" w:eastAsia="Times New Roman" w:cs="Times New Roman"/>
                      <w:sz w:val="22"/>
                      <w:szCs w:val="22"/>
                    </w:rPr>
                    <w:t>/</w:t>
                  </w:r>
                  <w:r>
                    <w:rPr>
                      <w:sz w:val="22"/>
                      <w:szCs w:val="22"/>
                    </w:rPr>
                    <w:t>年用量</w:t>
                  </w:r>
                </w:p>
              </w:tc>
              <w:tc>
                <w:tcPr>
                  <w:tcW w:w="901" w:type="dxa"/>
                  <w:vAlign w:val="top"/>
                </w:tcPr>
                <w:p w14:paraId="7D517FBB">
                  <w:pPr>
                    <w:pStyle w:val="6"/>
                    <w:spacing w:before="33" w:line="223" w:lineRule="auto"/>
                    <w:ind w:left="235" w:right="117" w:hanging="106"/>
                    <w:rPr>
                      <w:sz w:val="22"/>
                      <w:szCs w:val="22"/>
                    </w:rPr>
                  </w:pPr>
                  <w:r>
                    <w:rPr>
                      <w:spacing w:val="-4"/>
                      <w:sz w:val="22"/>
                      <w:szCs w:val="22"/>
                    </w:rPr>
                    <w:t>最大储</w:t>
                  </w:r>
                  <w:r>
                    <w:rPr>
                      <w:spacing w:val="-3"/>
                      <w:sz w:val="22"/>
                      <w:szCs w:val="22"/>
                    </w:rPr>
                    <w:t>存量</w:t>
                  </w:r>
                </w:p>
              </w:tc>
              <w:tc>
                <w:tcPr>
                  <w:tcW w:w="1204" w:type="dxa"/>
                  <w:vAlign w:val="top"/>
                </w:tcPr>
                <w:p w14:paraId="0417E2DA">
                  <w:pPr>
                    <w:pStyle w:val="6"/>
                    <w:spacing w:before="33" w:line="223" w:lineRule="auto"/>
                    <w:ind w:left="279" w:right="127" w:hanging="141"/>
                    <w:rPr>
                      <w:sz w:val="22"/>
                      <w:szCs w:val="22"/>
                    </w:rPr>
                  </w:pPr>
                  <w:r>
                    <w:rPr>
                      <w:spacing w:val="-2"/>
                      <w:sz w:val="22"/>
                      <w:szCs w:val="22"/>
                    </w:rPr>
                    <w:t>年销售量</w:t>
                  </w:r>
                  <w:r>
                    <w:rPr>
                      <w:rFonts w:ascii="Times New Roman" w:hAnsi="Times New Roman" w:eastAsia="Times New Roman" w:cs="Times New Roman"/>
                      <w:spacing w:val="-2"/>
                      <w:sz w:val="22"/>
                      <w:szCs w:val="22"/>
                    </w:rPr>
                    <w:t>/</w:t>
                  </w:r>
                  <w:r>
                    <w:rPr>
                      <w:spacing w:val="-3"/>
                      <w:sz w:val="22"/>
                      <w:szCs w:val="22"/>
                    </w:rPr>
                    <w:t>年用量</w:t>
                  </w:r>
                </w:p>
              </w:tc>
              <w:tc>
                <w:tcPr>
                  <w:tcW w:w="1066" w:type="dxa"/>
                  <w:vAlign w:val="top"/>
                </w:tcPr>
                <w:p w14:paraId="1BD6137C">
                  <w:pPr>
                    <w:pStyle w:val="6"/>
                    <w:spacing w:before="33" w:line="223" w:lineRule="auto"/>
                    <w:ind w:left="319" w:right="199" w:hanging="106"/>
                    <w:rPr>
                      <w:sz w:val="22"/>
                      <w:szCs w:val="22"/>
                    </w:rPr>
                  </w:pPr>
                  <w:r>
                    <w:rPr>
                      <w:spacing w:val="-4"/>
                      <w:sz w:val="22"/>
                      <w:szCs w:val="22"/>
                    </w:rPr>
                    <w:t>最大储</w:t>
                  </w:r>
                  <w:r>
                    <w:rPr>
                      <w:spacing w:val="-3"/>
                      <w:sz w:val="22"/>
                      <w:szCs w:val="22"/>
                    </w:rPr>
                    <w:t>存量</w:t>
                  </w:r>
                </w:p>
              </w:tc>
              <w:tc>
                <w:tcPr>
                  <w:tcW w:w="1348" w:type="dxa"/>
                  <w:vMerge w:val="continue"/>
                  <w:tcBorders>
                    <w:top w:val="nil"/>
                  </w:tcBorders>
                  <w:vAlign w:val="top"/>
                </w:tcPr>
                <w:p w14:paraId="27592337">
                  <w:pPr>
                    <w:rPr>
                      <w:rFonts w:ascii="Arial"/>
                      <w:sz w:val="21"/>
                    </w:rPr>
                  </w:pPr>
                </w:p>
              </w:tc>
            </w:tr>
            <w:tr w14:paraId="57D68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450" w:type="dxa"/>
                  <w:vAlign w:val="top"/>
                </w:tcPr>
                <w:p w14:paraId="5EA886EF">
                  <w:pPr>
                    <w:spacing w:before="113" w:line="189" w:lineRule="auto"/>
                    <w:ind w:left="191"/>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002" w:type="dxa"/>
                  <w:vAlign w:val="top"/>
                </w:tcPr>
                <w:p w14:paraId="3A9C24DC">
                  <w:pPr>
                    <w:pStyle w:val="6"/>
                    <w:spacing w:before="74" w:line="221" w:lineRule="auto"/>
                    <w:ind w:left="172"/>
                    <w:rPr>
                      <w:sz w:val="22"/>
                      <w:szCs w:val="22"/>
                    </w:rPr>
                  </w:pPr>
                  <w:r>
                    <w:rPr>
                      <w:rFonts w:ascii="Times New Roman" w:hAnsi="Times New Roman" w:eastAsia="Times New Roman" w:cs="Times New Roman"/>
                      <w:spacing w:val="-2"/>
                      <w:sz w:val="22"/>
                      <w:szCs w:val="22"/>
                    </w:rPr>
                    <w:t>0#</w:t>
                  </w:r>
                  <w:r>
                    <w:rPr>
                      <w:spacing w:val="-2"/>
                      <w:sz w:val="22"/>
                      <w:szCs w:val="22"/>
                    </w:rPr>
                    <w:t>柴油</w:t>
                  </w:r>
                </w:p>
              </w:tc>
              <w:tc>
                <w:tcPr>
                  <w:tcW w:w="865" w:type="dxa"/>
                  <w:vAlign w:val="top"/>
                </w:tcPr>
                <w:p w14:paraId="1ED5C1A0">
                  <w:pPr>
                    <w:spacing w:before="131" w:line="171"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1103" w:type="dxa"/>
                  <w:vAlign w:val="top"/>
                </w:tcPr>
                <w:p w14:paraId="531F8DD2">
                  <w:pPr>
                    <w:spacing w:before="113" w:line="189" w:lineRule="auto"/>
                    <w:ind w:left="39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600</w:t>
                  </w:r>
                </w:p>
              </w:tc>
              <w:tc>
                <w:tcPr>
                  <w:tcW w:w="901" w:type="dxa"/>
                  <w:vAlign w:val="top"/>
                </w:tcPr>
                <w:p w14:paraId="5649B660">
                  <w:pPr>
                    <w:spacing w:before="113" w:line="189" w:lineRule="auto"/>
                    <w:ind w:left="20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21.36</w:t>
                  </w:r>
                </w:p>
              </w:tc>
              <w:tc>
                <w:tcPr>
                  <w:tcW w:w="1204" w:type="dxa"/>
                  <w:vAlign w:val="top"/>
                </w:tcPr>
                <w:p w14:paraId="7B0EC22F">
                  <w:pPr>
                    <w:spacing w:before="113" w:line="189" w:lineRule="auto"/>
                    <w:ind w:left="552"/>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66" w:type="dxa"/>
                  <w:vAlign w:val="top"/>
                </w:tcPr>
                <w:p w14:paraId="30EFCC7A">
                  <w:pPr>
                    <w:spacing w:before="113" w:line="189" w:lineRule="auto"/>
                    <w:ind w:left="485"/>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348" w:type="dxa"/>
                  <w:vMerge w:val="restart"/>
                  <w:tcBorders>
                    <w:bottom w:val="nil"/>
                  </w:tcBorders>
                  <w:vAlign w:val="top"/>
                </w:tcPr>
                <w:p w14:paraId="163B9F3D">
                  <w:pPr>
                    <w:spacing w:line="425" w:lineRule="auto"/>
                    <w:rPr>
                      <w:rFonts w:ascii="Arial"/>
                      <w:sz w:val="21"/>
                    </w:rPr>
                  </w:pPr>
                </w:p>
                <w:p w14:paraId="6EDA0635">
                  <w:pPr>
                    <w:pStyle w:val="6"/>
                    <w:spacing w:before="72" w:line="242" w:lineRule="auto"/>
                    <w:ind w:left="129" w:right="119" w:firstLine="1"/>
                    <w:rPr>
                      <w:sz w:val="22"/>
                      <w:szCs w:val="22"/>
                    </w:rPr>
                  </w:pPr>
                  <w:r>
                    <w:rPr>
                      <w:spacing w:val="-2"/>
                      <w:sz w:val="22"/>
                      <w:szCs w:val="22"/>
                    </w:rPr>
                    <w:t>重庆壳牌能源有限公司</w:t>
                  </w:r>
                </w:p>
              </w:tc>
            </w:tr>
            <w:tr w14:paraId="60048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50" w:type="dxa"/>
                  <w:vAlign w:val="top"/>
                </w:tcPr>
                <w:p w14:paraId="3A19649A">
                  <w:pPr>
                    <w:spacing w:before="114" w:line="189" w:lineRule="auto"/>
                    <w:ind w:left="170"/>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002" w:type="dxa"/>
                  <w:vAlign w:val="top"/>
                </w:tcPr>
                <w:p w14:paraId="4D5139EF">
                  <w:pPr>
                    <w:pStyle w:val="6"/>
                    <w:spacing w:before="75" w:line="224" w:lineRule="auto"/>
                    <w:ind w:left="118"/>
                    <w:rPr>
                      <w:sz w:val="22"/>
                      <w:szCs w:val="22"/>
                    </w:rPr>
                  </w:pPr>
                  <w:r>
                    <w:rPr>
                      <w:rFonts w:ascii="Times New Roman" w:hAnsi="Times New Roman" w:eastAsia="Times New Roman" w:cs="Times New Roman"/>
                      <w:spacing w:val="-2"/>
                      <w:sz w:val="22"/>
                      <w:szCs w:val="22"/>
                    </w:rPr>
                    <w:t>92#</w:t>
                  </w:r>
                  <w:r>
                    <w:rPr>
                      <w:spacing w:val="-2"/>
                      <w:sz w:val="22"/>
                      <w:szCs w:val="22"/>
                    </w:rPr>
                    <w:t>汽油</w:t>
                  </w:r>
                </w:p>
              </w:tc>
              <w:tc>
                <w:tcPr>
                  <w:tcW w:w="865" w:type="dxa"/>
                  <w:vAlign w:val="top"/>
                </w:tcPr>
                <w:p w14:paraId="24DA078B">
                  <w:pPr>
                    <w:spacing w:before="133" w:line="171"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1103" w:type="dxa"/>
                  <w:vAlign w:val="top"/>
                </w:tcPr>
                <w:p w14:paraId="54927AD9">
                  <w:pPr>
                    <w:spacing w:before="114" w:line="189" w:lineRule="auto"/>
                    <w:ind w:left="356"/>
                    <w:rPr>
                      <w:rFonts w:ascii="Times New Roman" w:hAnsi="Times New Roman" w:eastAsia="Times New Roman" w:cs="Times New Roman"/>
                      <w:sz w:val="22"/>
                      <w:szCs w:val="22"/>
                    </w:rPr>
                  </w:pPr>
                  <w:r>
                    <w:rPr>
                      <w:rFonts w:ascii="Times New Roman" w:hAnsi="Times New Roman" w:eastAsia="Times New Roman" w:cs="Times New Roman"/>
                      <w:spacing w:val="-8"/>
                      <w:sz w:val="22"/>
                      <w:szCs w:val="22"/>
                    </w:rPr>
                    <w:t>1100</w:t>
                  </w:r>
                </w:p>
              </w:tc>
              <w:tc>
                <w:tcPr>
                  <w:tcW w:w="901" w:type="dxa"/>
                  <w:vAlign w:val="top"/>
                </w:tcPr>
                <w:p w14:paraId="44089D77">
                  <w:pPr>
                    <w:spacing w:before="114" w:line="189" w:lineRule="auto"/>
                    <w:ind w:left="22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17.28</w:t>
                  </w:r>
                </w:p>
              </w:tc>
              <w:tc>
                <w:tcPr>
                  <w:tcW w:w="1204" w:type="dxa"/>
                  <w:vAlign w:val="top"/>
                </w:tcPr>
                <w:p w14:paraId="32D65BFD">
                  <w:pPr>
                    <w:spacing w:before="114" w:line="189" w:lineRule="auto"/>
                    <w:ind w:left="409"/>
                    <w:rPr>
                      <w:rFonts w:ascii="Times New Roman" w:hAnsi="Times New Roman" w:eastAsia="Times New Roman" w:cs="Times New Roman"/>
                      <w:sz w:val="22"/>
                      <w:szCs w:val="22"/>
                    </w:rPr>
                  </w:pPr>
                  <w:r>
                    <w:rPr>
                      <w:rFonts w:ascii="Times New Roman" w:hAnsi="Times New Roman" w:eastAsia="Times New Roman" w:cs="Times New Roman"/>
                      <w:spacing w:val="-8"/>
                      <w:sz w:val="22"/>
                      <w:szCs w:val="22"/>
                    </w:rPr>
                    <w:t>1100</w:t>
                  </w:r>
                </w:p>
              </w:tc>
              <w:tc>
                <w:tcPr>
                  <w:tcW w:w="1066" w:type="dxa"/>
                  <w:vAlign w:val="top"/>
                </w:tcPr>
                <w:p w14:paraId="073A0D9A">
                  <w:pPr>
                    <w:spacing w:before="114" w:line="189" w:lineRule="auto"/>
                    <w:ind w:left="31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17.28</w:t>
                  </w:r>
                </w:p>
              </w:tc>
              <w:tc>
                <w:tcPr>
                  <w:tcW w:w="1348" w:type="dxa"/>
                  <w:vMerge w:val="continue"/>
                  <w:tcBorders>
                    <w:top w:val="nil"/>
                    <w:bottom w:val="nil"/>
                  </w:tcBorders>
                  <w:vAlign w:val="top"/>
                </w:tcPr>
                <w:p w14:paraId="3EAECA05">
                  <w:pPr>
                    <w:rPr>
                      <w:rFonts w:ascii="Arial"/>
                      <w:sz w:val="21"/>
                    </w:rPr>
                  </w:pPr>
                </w:p>
              </w:tc>
            </w:tr>
            <w:tr w14:paraId="557F3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50" w:type="dxa"/>
                  <w:vAlign w:val="top"/>
                </w:tcPr>
                <w:p w14:paraId="7AA3793D">
                  <w:pPr>
                    <w:spacing w:before="112" w:line="189" w:lineRule="auto"/>
                    <w:ind w:left="175"/>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002" w:type="dxa"/>
                  <w:vAlign w:val="top"/>
                </w:tcPr>
                <w:p w14:paraId="61E29BEC">
                  <w:pPr>
                    <w:pStyle w:val="6"/>
                    <w:spacing w:before="73" w:line="224" w:lineRule="auto"/>
                    <w:ind w:left="118"/>
                    <w:rPr>
                      <w:sz w:val="22"/>
                      <w:szCs w:val="22"/>
                    </w:rPr>
                  </w:pPr>
                  <w:r>
                    <w:rPr>
                      <w:rFonts w:ascii="Times New Roman" w:hAnsi="Times New Roman" w:eastAsia="Times New Roman" w:cs="Times New Roman"/>
                      <w:spacing w:val="-2"/>
                      <w:sz w:val="22"/>
                      <w:szCs w:val="22"/>
                    </w:rPr>
                    <w:t>95#</w:t>
                  </w:r>
                  <w:r>
                    <w:rPr>
                      <w:spacing w:val="-2"/>
                      <w:sz w:val="22"/>
                      <w:szCs w:val="22"/>
                    </w:rPr>
                    <w:t>汽油</w:t>
                  </w:r>
                </w:p>
              </w:tc>
              <w:tc>
                <w:tcPr>
                  <w:tcW w:w="865" w:type="dxa"/>
                  <w:vAlign w:val="top"/>
                </w:tcPr>
                <w:p w14:paraId="5B3457B5">
                  <w:pPr>
                    <w:spacing w:before="130" w:line="171"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1103" w:type="dxa"/>
                  <w:vAlign w:val="top"/>
                </w:tcPr>
                <w:p w14:paraId="4FD2FFC8">
                  <w:pPr>
                    <w:spacing w:before="112" w:line="189" w:lineRule="auto"/>
                    <w:ind w:left="38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450</w:t>
                  </w:r>
                </w:p>
              </w:tc>
              <w:tc>
                <w:tcPr>
                  <w:tcW w:w="901" w:type="dxa"/>
                  <w:vAlign w:val="top"/>
                </w:tcPr>
                <w:p w14:paraId="14EC953E">
                  <w:pPr>
                    <w:spacing w:before="112" w:line="189" w:lineRule="auto"/>
                    <w:ind w:left="22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17.28</w:t>
                  </w:r>
                </w:p>
              </w:tc>
              <w:tc>
                <w:tcPr>
                  <w:tcW w:w="1204" w:type="dxa"/>
                  <w:vAlign w:val="top"/>
                </w:tcPr>
                <w:p w14:paraId="5AF6FAEA">
                  <w:pPr>
                    <w:spacing w:before="112" w:line="189" w:lineRule="auto"/>
                    <w:ind w:left="43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450</w:t>
                  </w:r>
                </w:p>
              </w:tc>
              <w:tc>
                <w:tcPr>
                  <w:tcW w:w="1066" w:type="dxa"/>
                  <w:vAlign w:val="top"/>
                </w:tcPr>
                <w:p w14:paraId="0A4F8BE7">
                  <w:pPr>
                    <w:spacing w:before="112" w:line="189" w:lineRule="auto"/>
                    <w:ind w:left="31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17.28</w:t>
                  </w:r>
                </w:p>
              </w:tc>
              <w:tc>
                <w:tcPr>
                  <w:tcW w:w="1348" w:type="dxa"/>
                  <w:vMerge w:val="continue"/>
                  <w:tcBorders>
                    <w:top w:val="nil"/>
                    <w:bottom w:val="nil"/>
                  </w:tcBorders>
                  <w:vAlign w:val="top"/>
                </w:tcPr>
                <w:p w14:paraId="74E4AC03">
                  <w:pPr>
                    <w:rPr>
                      <w:rFonts w:ascii="Arial"/>
                      <w:sz w:val="21"/>
                    </w:rPr>
                  </w:pPr>
                </w:p>
              </w:tc>
            </w:tr>
            <w:tr w14:paraId="6BDD0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450" w:type="dxa"/>
                  <w:vAlign w:val="top"/>
                </w:tcPr>
                <w:p w14:paraId="211968AB">
                  <w:pPr>
                    <w:spacing w:before="112" w:line="189" w:lineRule="auto"/>
                    <w:ind w:left="169"/>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002" w:type="dxa"/>
                  <w:vAlign w:val="top"/>
                </w:tcPr>
                <w:p w14:paraId="6BCECAE7">
                  <w:pPr>
                    <w:pStyle w:val="6"/>
                    <w:spacing w:before="73" w:line="224" w:lineRule="auto"/>
                    <w:ind w:left="118"/>
                    <w:rPr>
                      <w:sz w:val="22"/>
                      <w:szCs w:val="22"/>
                    </w:rPr>
                  </w:pPr>
                  <w:r>
                    <w:rPr>
                      <w:rFonts w:ascii="Times New Roman" w:hAnsi="Times New Roman" w:eastAsia="Times New Roman" w:cs="Times New Roman"/>
                      <w:spacing w:val="-2"/>
                      <w:sz w:val="22"/>
                      <w:szCs w:val="22"/>
                    </w:rPr>
                    <w:t>98#</w:t>
                  </w:r>
                  <w:r>
                    <w:rPr>
                      <w:spacing w:val="-2"/>
                      <w:sz w:val="22"/>
                      <w:szCs w:val="22"/>
                    </w:rPr>
                    <w:t>汽油</w:t>
                  </w:r>
                </w:p>
              </w:tc>
              <w:tc>
                <w:tcPr>
                  <w:tcW w:w="865" w:type="dxa"/>
                  <w:vAlign w:val="top"/>
                </w:tcPr>
                <w:p w14:paraId="3A47379C">
                  <w:pPr>
                    <w:spacing w:before="131" w:line="171" w:lineRule="auto"/>
                    <w:ind w:left="401"/>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1103" w:type="dxa"/>
                  <w:vAlign w:val="top"/>
                </w:tcPr>
                <w:p w14:paraId="47782DBE">
                  <w:pPr>
                    <w:spacing w:before="112" w:line="189" w:lineRule="auto"/>
                    <w:ind w:left="501"/>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901" w:type="dxa"/>
                  <w:vAlign w:val="top"/>
                </w:tcPr>
                <w:p w14:paraId="74BE0E69">
                  <w:pPr>
                    <w:spacing w:before="112" w:line="189" w:lineRule="auto"/>
                    <w:ind w:left="399"/>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204" w:type="dxa"/>
                  <w:vAlign w:val="top"/>
                </w:tcPr>
                <w:p w14:paraId="76BE14C2">
                  <w:pPr>
                    <w:spacing w:before="112" w:line="189" w:lineRule="auto"/>
                    <w:ind w:left="459"/>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150</w:t>
                  </w:r>
                </w:p>
              </w:tc>
              <w:tc>
                <w:tcPr>
                  <w:tcW w:w="1066" w:type="dxa"/>
                  <w:vAlign w:val="top"/>
                </w:tcPr>
                <w:p w14:paraId="3FF6D03B">
                  <w:pPr>
                    <w:spacing w:before="112" w:line="189" w:lineRule="auto"/>
                    <w:ind w:left="31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17.28</w:t>
                  </w:r>
                </w:p>
              </w:tc>
              <w:tc>
                <w:tcPr>
                  <w:tcW w:w="1348" w:type="dxa"/>
                  <w:vMerge w:val="continue"/>
                  <w:tcBorders>
                    <w:top w:val="nil"/>
                  </w:tcBorders>
                  <w:vAlign w:val="top"/>
                </w:tcPr>
                <w:p w14:paraId="263A1588">
                  <w:pPr>
                    <w:rPr>
                      <w:rFonts w:ascii="Arial"/>
                      <w:sz w:val="21"/>
                    </w:rPr>
                  </w:pPr>
                </w:p>
              </w:tc>
            </w:tr>
            <w:tr w14:paraId="15DA9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450" w:type="dxa"/>
                  <w:vAlign w:val="top"/>
                </w:tcPr>
                <w:p w14:paraId="3B2853FA">
                  <w:pPr>
                    <w:spacing w:before="217" w:line="186" w:lineRule="auto"/>
                    <w:ind w:left="176"/>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002" w:type="dxa"/>
                  <w:vAlign w:val="top"/>
                </w:tcPr>
                <w:p w14:paraId="38364841">
                  <w:pPr>
                    <w:pStyle w:val="6"/>
                    <w:spacing w:before="176" w:line="226" w:lineRule="auto"/>
                    <w:ind w:left="420"/>
                    <w:rPr>
                      <w:sz w:val="22"/>
                      <w:szCs w:val="22"/>
                    </w:rPr>
                  </w:pPr>
                  <w:r>
                    <w:rPr>
                      <w:sz w:val="22"/>
                      <w:szCs w:val="22"/>
                    </w:rPr>
                    <w:t>电</w:t>
                  </w:r>
                </w:p>
              </w:tc>
              <w:tc>
                <w:tcPr>
                  <w:tcW w:w="865" w:type="dxa"/>
                  <w:vAlign w:val="top"/>
                </w:tcPr>
                <w:p w14:paraId="093A923B">
                  <w:pPr>
                    <w:pStyle w:val="6"/>
                    <w:spacing w:before="49" w:line="229" w:lineRule="auto"/>
                    <w:ind w:left="179" w:right="182" w:firstLine="180"/>
                    <w:rPr>
                      <w:rFonts w:ascii="Times New Roman" w:hAnsi="Times New Roman" w:eastAsia="Times New Roman" w:cs="Times New Roman"/>
                      <w:sz w:val="22"/>
                      <w:szCs w:val="22"/>
                    </w:rPr>
                  </w:pPr>
                  <w:r>
                    <w:rPr>
                      <w:spacing w:val="-13"/>
                      <w:sz w:val="22"/>
                      <w:szCs w:val="22"/>
                    </w:rPr>
                    <w:t>万</w:t>
                  </w:r>
                  <w:r>
                    <w:rPr>
                      <w:sz w:val="22"/>
                      <w:szCs w:val="22"/>
                    </w:rPr>
                    <w:t xml:space="preserve"> </w:t>
                  </w:r>
                  <w:r>
                    <w:rPr>
                      <w:rFonts w:ascii="Times New Roman" w:hAnsi="Times New Roman" w:eastAsia="Times New Roman" w:cs="Times New Roman"/>
                      <w:spacing w:val="-1"/>
                      <w:sz w:val="22"/>
                      <w:szCs w:val="22"/>
                    </w:rPr>
                    <w:t>kW·h</w:t>
                  </w:r>
                </w:p>
              </w:tc>
              <w:tc>
                <w:tcPr>
                  <w:tcW w:w="1103" w:type="dxa"/>
                  <w:vAlign w:val="top"/>
                </w:tcPr>
                <w:p w14:paraId="629CB5DA">
                  <w:pPr>
                    <w:spacing w:before="217" w:line="186" w:lineRule="auto"/>
                    <w:ind w:left="504"/>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901" w:type="dxa"/>
                  <w:vAlign w:val="top"/>
                </w:tcPr>
                <w:p w14:paraId="7B4DCB73">
                  <w:pPr>
                    <w:spacing w:before="210" w:line="193" w:lineRule="auto"/>
                    <w:ind w:left="41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04" w:type="dxa"/>
                  <w:vAlign w:val="top"/>
                </w:tcPr>
                <w:p w14:paraId="61A50648">
                  <w:pPr>
                    <w:spacing w:before="217" w:line="186" w:lineRule="auto"/>
                    <w:ind w:left="554"/>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066" w:type="dxa"/>
                  <w:vAlign w:val="top"/>
                </w:tcPr>
                <w:p w14:paraId="07A5F153">
                  <w:pPr>
                    <w:spacing w:before="210" w:line="193" w:lineRule="auto"/>
                    <w:ind w:left="5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48" w:type="dxa"/>
                  <w:vAlign w:val="top"/>
                </w:tcPr>
                <w:p w14:paraId="69A5F44E">
                  <w:pPr>
                    <w:pStyle w:val="6"/>
                    <w:spacing w:before="34" w:line="222" w:lineRule="auto"/>
                    <w:ind w:left="245" w:right="119" w:hanging="88"/>
                    <w:rPr>
                      <w:sz w:val="22"/>
                      <w:szCs w:val="22"/>
                    </w:rPr>
                  </w:pPr>
                  <w:r>
                    <w:rPr>
                      <w:spacing w:val="-7"/>
                      <w:sz w:val="22"/>
                      <w:szCs w:val="22"/>
                    </w:rPr>
                    <w:t>由市政供电</w:t>
                  </w:r>
                  <w:r>
                    <w:rPr>
                      <w:spacing w:val="-4"/>
                      <w:sz w:val="22"/>
                      <w:szCs w:val="22"/>
                    </w:rPr>
                    <w:t>管网引入</w:t>
                  </w:r>
                </w:p>
              </w:tc>
            </w:tr>
            <w:tr w14:paraId="30646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450" w:type="dxa"/>
                  <w:vAlign w:val="top"/>
                </w:tcPr>
                <w:p w14:paraId="6B550060">
                  <w:pPr>
                    <w:spacing w:before="216" w:line="189" w:lineRule="auto"/>
                    <w:ind w:left="175"/>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1002" w:type="dxa"/>
                  <w:vAlign w:val="top"/>
                </w:tcPr>
                <w:p w14:paraId="4042340C">
                  <w:pPr>
                    <w:pStyle w:val="6"/>
                    <w:spacing w:before="178" w:line="220" w:lineRule="auto"/>
                    <w:ind w:left="174"/>
                    <w:rPr>
                      <w:sz w:val="22"/>
                      <w:szCs w:val="22"/>
                    </w:rPr>
                  </w:pPr>
                  <w:r>
                    <w:rPr>
                      <w:spacing w:val="-3"/>
                      <w:sz w:val="22"/>
                      <w:szCs w:val="22"/>
                    </w:rPr>
                    <w:t>新鲜水</w:t>
                  </w:r>
                </w:p>
              </w:tc>
              <w:tc>
                <w:tcPr>
                  <w:tcW w:w="865" w:type="dxa"/>
                  <w:vAlign w:val="top"/>
                </w:tcPr>
                <w:p w14:paraId="3C9A030A">
                  <w:pPr>
                    <w:pStyle w:val="6"/>
                    <w:spacing w:before="177" w:line="221" w:lineRule="auto"/>
                    <w:ind w:left="184"/>
                    <w:rPr>
                      <w:rFonts w:ascii="Times New Roman" w:hAnsi="Times New Roman" w:eastAsia="Times New Roman" w:cs="Times New Roman"/>
                      <w:sz w:val="14"/>
                      <w:szCs w:val="14"/>
                    </w:rPr>
                  </w:pPr>
                  <w:r>
                    <w:rPr>
                      <w:spacing w:val="-5"/>
                      <w:position w:val="-1"/>
                      <w:sz w:val="22"/>
                      <w:szCs w:val="22"/>
                    </w:rPr>
                    <w:t>万</w:t>
                  </w:r>
                  <w:r>
                    <w:rPr>
                      <w:spacing w:val="-56"/>
                      <w:position w:val="-1"/>
                      <w:sz w:val="22"/>
                      <w:szCs w:val="22"/>
                    </w:rPr>
                    <w:t xml:space="preserve"> </w:t>
                  </w:r>
                  <w:r>
                    <w:rPr>
                      <w:rFonts w:ascii="Times New Roman" w:hAnsi="Times New Roman" w:eastAsia="Times New Roman" w:cs="Times New Roman"/>
                      <w:spacing w:val="-5"/>
                      <w:position w:val="-1"/>
                      <w:sz w:val="22"/>
                      <w:szCs w:val="22"/>
                    </w:rPr>
                    <w:t>m</w:t>
                  </w:r>
                  <w:r>
                    <w:rPr>
                      <w:rFonts w:ascii="Times New Roman" w:hAnsi="Times New Roman" w:eastAsia="Times New Roman" w:cs="Times New Roman"/>
                      <w:spacing w:val="-5"/>
                      <w:position w:val="6"/>
                      <w:sz w:val="14"/>
                      <w:szCs w:val="14"/>
                    </w:rPr>
                    <w:t>3</w:t>
                  </w:r>
                </w:p>
              </w:tc>
              <w:tc>
                <w:tcPr>
                  <w:tcW w:w="1103" w:type="dxa"/>
                  <w:vAlign w:val="top"/>
                </w:tcPr>
                <w:p w14:paraId="004A7248">
                  <w:pPr>
                    <w:spacing w:before="216" w:line="189" w:lineRule="auto"/>
                    <w:ind w:left="36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0.07</w:t>
                  </w:r>
                </w:p>
              </w:tc>
              <w:tc>
                <w:tcPr>
                  <w:tcW w:w="901" w:type="dxa"/>
                  <w:vAlign w:val="top"/>
                </w:tcPr>
                <w:p w14:paraId="5C5C0701">
                  <w:pPr>
                    <w:spacing w:before="211" w:line="193" w:lineRule="auto"/>
                    <w:ind w:left="41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04" w:type="dxa"/>
                  <w:vAlign w:val="top"/>
                </w:tcPr>
                <w:p w14:paraId="4CB9AE65">
                  <w:pPr>
                    <w:spacing w:before="216" w:line="189" w:lineRule="auto"/>
                    <w:ind w:left="30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0.0855</w:t>
                  </w:r>
                </w:p>
              </w:tc>
              <w:tc>
                <w:tcPr>
                  <w:tcW w:w="1066" w:type="dxa"/>
                  <w:vAlign w:val="top"/>
                </w:tcPr>
                <w:p w14:paraId="0EFA34CB">
                  <w:pPr>
                    <w:spacing w:before="211" w:line="193" w:lineRule="auto"/>
                    <w:ind w:left="5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48" w:type="dxa"/>
                  <w:vAlign w:val="top"/>
                </w:tcPr>
                <w:p w14:paraId="658BB669">
                  <w:pPr>
                    <w:pStyle w:val="6"/>
                    <w:spacing w:before="36" w:line="224" w:lineRule="auto"/>
                    <w:ind w:left="245" w:right="119" w:hanging="88"/>
                    <w:rPr>
                      <w:sz w:val="22"/>
                      <w:szCs w:val="22"/>
                    </w:rPr>
                  </w:pPr>
                  <w:r>
                    <w:rPr>
                      <w:spacing w:val="-7"/>
                      <w:sz w:val="22"/>
                      <w:szCs w:val="22"/>
                    </w:rPr>
                    <w:t>由市政供水</w:t>
                  </w:r>
                  <w:r>
                    <w:rPr>
                      <w:spacing w:val="-4"/>
                      <w:sz w:val="22"/>
                      <w:szCs w:val="22"/>
                    </w:rPr>
                    <w:t>管网引入</w:t>
                  </w:r>
                </w:p>
              </w:tc>
            </w:tr>
          </w:tbl>
          <w:p w14:paraId="004C3E53">
            <w:pPr>
              <w:pStyle w:val="6"/>
              <w:spacing w:before="31" w:line="213" w:lineRule="auto"/>
              <w:ind w:left="109"/>
              <w:rPr>
                <w:sz w:val="22"/>
                <w:szCs w:val="22"/>
              </w:rPr>
            </w:pPr>
            <w:r>
              <w:rPr>
                <w:spacing w:val="-1"/>
                <w:sz w:val="22"/>
                <w:szCs w:val="22"/>
              </w:rPr>
              <w:t>注：①</w:t>
            </w:r>
            <w:r>
              <w:rPr>
                <w:rFonts w:ascii="Times New Roman" w:hAnsi="Times New Roman" w:eastAsia="Times New Roman" w:cs="Times New Roman"/>
                <w:spacing w:val="-1"/>
                <w:sz w:val="22"/>
                <w:szCs w:val="22"/>
              </w:rPr>
              <w:t>92#</w:t>
            </w:r>
            <w:r>
              <w:rPr>
                <w:rFonts w:ascii="Times New Roman" w:hAnsi="Times New Roman" w:eastAsia="Times New Roman" w:cs="Times New Roman"/>
                <w:spacing w:val="-31"/>
                <w:sz w:val="22"/>
                <w:szCs w:val="22"/>
              </w:rPr>
              <w:t xml:space="preserve"> </w:t>
            </w:r>
            <w:r>
              <w:rPr>
                <w:spacing w:val="-1"/>
                <w:sz w:val="22"/>
                <w:szCs w:val="22"/>
              </w:rPr>
              <w:t>、</w:t>
            </w:r>
            <w:r>
              <w:rPr>
                <w:rFonts w:ascii="Times New Roman" w:hAnsi="Times New Roman" w:eastAsia="Times New Roman" w:cs="Times New Roman"/>
                <w:spacing w:val="-1"/>
                <w:sz w:val="22"/>
                <w:szCs w:val="22"/>
              </w:rPr>
              <w:t>95#</w:t>
            </w:r>
            <w:r>
              <w:rPr>
                <w:rFonts w:ascii="Times New Roman" w:hAnsi="Times New Roman" w:eastAsia="Times New Roman" w:cs="Times New Roman"/>
                <w:spacing w:val="-31"/>
                <w:sz w:val="22"/>
                <w:szCs w:val="22"/>
              </w:rPr>
              <w:t xml:space="preserve"> </w:t>
            </w:r>
            <w:r>
              <w:rPr>
                <w:spacing w:val="-1"/>
                <w:sz w:val="22"/>
                <w:szCs w:val="22"/>
              </w:rPr>
              <w:t>、</w:t>
            </w:r>
            <w:r>
              <w:rPr>
                <w:rFonts w:ascii="Times New Roman" w:hAnsi="Times New Roman" w:eastAsia="Times New Roman" w:cs="Times New Roman"/>
                <w:spacing w:val="-1"/>
                <w:sz w:val="22"/>
                <w:szCs w:val="22"/>
              </w:rPr>
              <w:t>98#</w:t>
            </w:r>
            <w:r>
              <w:rPr>
                <w:spacing w:val="-1"/>
                <w:sz w:val="22"/>
                <w:szCs w:val="22"/>
              </w:rPr>
              <w:t>汽油密度均按为</w:t>
            </w:r>
            <w:r>
              <w:rPr>
                <w:spacing w:val="-47"/>
                <w:sz w:val="22"/>
                <w:szCs w:val="22"/>
              </w:rPr>
              <w:t xml:space="preserve"> </w:t>
            </w:r>
            <w:r>
              <w:rPr>
                <w:rFonts w:ascii="Times New Roman" w:hAnsi="Times New Roman" w:eastAsia="Times New Roman" w:cs="Times New Roman"/>
                <w:spacing w:val="-2"/>
                <w:sz w:val="22"/>
                <w:szCs w:val="22"/>
              </w:rPr>
              <w:t xml:space="preserve">0.72g/mL </w:t>
            </w:r>
            <w:r>
              <w:rPr>
                <w:spacing w:val="-2"/>
                <w:sz w:val="22"/>
                <w:szCs w:val="22"/>
              </w:rPr>
              <w:t>计，</w:t>
            </w:r>
            <w:r>
              <w:rPr>
                <w:rFonts w:ascii="Times New Roman" w:hAnsi="Times New Roman" w:eastAsia="Times New Roman" w:cs="Times New Roman"/>
                <w:spacing w:val="-2"/>
                <w:sz w:val="22"/>
                <w:szCs w:val="22"/>
              </w:rPr>
              <w:t>0#</w:t>
            </w:r>
            <w:r>
              <w:rPr>
                <w:spacing w:val="-2"/>
                <w:sz w:val="22"/>
                <w:szCs w:val="22"/>
              </w:rPr>
              <w:t>柴油密度为</w:t>
            </w:r>
            <w:r>
              <w:rPr>
                <w:spacing w:val="-50"/>
                <w:sz w:val="22"/>
                <w:szCs w:val="22"/>
              </w:rPr>
              <w:t xml:space="preserve"> </w:t>
            </w:r>
            <w:r>
              <w:rPr>
                <w:rFonts w:ascii="Times New Roman" w:hAnsi="Times New Roman" w:eastAsia="Times New Roman" w:cs="Times New Roman"/>
                <w:spacing w:val="-2"/>
                <w:sz w:val="22"/>
                <w:szCs w:val="22"/>
              </w:rPr>
              <w:t>0.89g/mL</w:t>
            </w:r>
            <w:r>
              <w:rPr>
                <w:spacing w:val="-2"/>
                <w:sz w:val="22"/>
                <w:szCs w:val="22"/>
              </w:rPr>
              <w:t>；</w:t>
            </w:r>
          </w:p>
          <w:p w14:paraId="167C8EC6">
            <w:pPr>
              <w:pStyle w:val="6"/>
              <w:spacing w:before="31" w:line="218" w:lineRule="auto"/>
              <w:ind w:left="107"/>
              <w:rPr>
                <w:sz w:val="22"/>
                <w:szCs w:val="22"/>
              </w:rPr>
            </w:pPr>
            <w:r>
              <w:rPr>
                <w:spacing w:val="-1"/>
                <w:sz w:val="22"/>
                <w:szCs w:val="22"/>
              </w:rPr>
              <w:t>②汽柴油储罐充装系数均按</w:t>
            </w:r>
            <w:r>
              <w:rPr>
                <w:spacing w:val="-45"/>
                <w:sz w:val="22"/>
                <w:szCs w:val="22"/>
              </w:rPr>
              <w:t xml:space="preserve"> </w:t>
            </w:r>
            <w:r>
              <w:rPr>
                <w:rFonts w:ascii="Times New Roman" w:hAnsi="Times New Roman" w:eastAsia="Times New Roman" w:cs="Times New Roman"/>
                <w:spacing w:val="-1"/>
                <w:sz w:val="22"/>
                <w:szCs w:val="22"/>
              </w:rPr>
              <w:t xml:space="preserve">0.8 </w:t>
            </w:r>
            <w:r>
              <w:rPr>
                <w:spacing w:val="-1"/>
                <w:sz w:val="22"/>
                <w:szCs w:val="22"/>
              </w:rPr>
              <w:t>计。</w:t>
            </w:r>
          </w:p>
          <w:p w14:paraId="2291A00E">
            <w:pPr>
              <w:pStyle w:val="6"/>
              <w:spacing w:before="140" w:line="225" w:lineRule="auto"/>
              <w:ind w:left="629"/>
            </w:pPr>
            <w:r>
              <w:rPr>
                <w:spacing w:val="9"/>
              </w:rPr>
              <w:t>本项目实施后仅涉及汽油，汽油理化性质详见下表。</w:t>
            </w:r>
          </w:p>
          <w:p w14:paraId="6AF72840">
            <w:pPr>
              <w:pStyle w:val="6"/>
              <w:spacing w:before="153" w:line="227" w:lineRule="auto"/>
              <w:ind w:left="1988"/>
            </w:pPr>
            <w:r>
              <w:rPr>
                <w:spacing w:val="6"/>
              </w:rPr>
              <w:t>表</w:t>
            </w:r>
            <w:r>
              <w:rPr>
                <w:rFonts w:ascii="Times New Roman" w:hAnsi="Times New Roman" w:eastAsia="Times New Roman" w:cs="Times New Roman"/>
                <w:spacing w:val="6"/>
              </w:rPr>
              <w:t xml:space="preserve">2.5-2    </w:t>
            </w:r>
            <w:r>
              <w:rPr>
                <w:spacing w:val="6"/>
              </w:rPr>
              <w:t>汽油理化及危险性质统计表</w:t>
            </w:r>
          </w:p>
          <w:p w14:paraId="27356B49">
            <w:pPr>
              <w:spacing w:line="110" w:lineRule="auto"/>
              <w:rPr>
                <w:rFonts w:ascii="Arial"/>
                <w:sz w:val="2"/>
              </w:rPr>
            </w:pPr>
          </w:p>
          <w:tbl>
            <w:tblPr>
              <w:tblStyle w:val="5"/>
              <w:tblW w:w="7939"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0"/>
              <w:gridCol w:w="3740"/>
              <w:gridCol w:w="3719"/>
            </w:tblGrid>
            <w:tr w14:paraId="6861D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480" w:type="dxa"/>
                  <w:vMerge w:val="restart"/>
                  <w:tcBorders>
                    <w:bottom w:val="nil"/>
                  </w:tcBorders>
                  <w:textDirection w:val="tbRlV"/>
                  <w:vAlign w:val="top"/>
                </w:tcPr>
                <w:p w14:paraId="2A96F1C0">
                  <w:pPr>
                    <w:pStyle w:val="6"/>
                    <w:spacing w:before="145" w:line="209" w:lineRule="auto"/>
                    <w:ind w:left="778"/>
                    <w:rPr>
                      <w:sz w:val="22"/>
                      <w:szCs w:val="22"/>
                    </w:rPr>
                  </w:pPr>
                  <w:r>
                    <w:rPr>
                      <w:spacing w:val="49"/>
                      <w:sz w:val="22"/>
                      <w:szCs w:val="22"/>
                    </w:rPr>
                    <w:t>理化性质</w:t>
                  </w:r>
                </w:p>
              </w:tc>
              <w:tc>
                <w:tcPr>
                  <w:tcW w:w="3740" w:type="dxa"/>
                  <w:vAlign w:val="top"/>
                </w:tcPr>
                <w:p w14:paraId="1BE5E7D1">
                  <w:pPr>
                    <w:pStyle w:val="6"/>
                    <w:spacing w:before="36" w:line="208" w:lineRule="auto"/>
                    <w:ind w:left="112"/>
                    <w:rPr>
                      <w:sz w:val="22"/>
                      <w:szCs w:val="22"/>
                    </w:rPr>
                  </w:pPr>
                  <w:r>
                    <w:rPr>
                      <w:spacing w:val="-2"/>
                      <w:sz w:val="22"/>
                      <w:szCs w:val="22"/>
                    </w:rPr>
                    <w:t>物理状态：液态</w:t>
                  </w:r>
                </w:p>
              </w:tc>
              <w:tc>
                <w:tcPr>
                  <w:tcW w:w="3719" w:type="dxa"/>
                  <w:vAlign w:val="top"/>
                </w:tcPr>
                <w:p w14:paraId="4C7501AA">
                  <w:pPr>
                    <w:pStyle w:val="6"/>
                    <w:spacing w:before="36" w:line="208" w:lineRule="auto"/>
                    <w:ind w:left="116"/>
                    <w:rPr>
                      <w:sz w:val="22"/>
                      <w:szCs w:val="22"/>
                    </w:rPr>
                  </w:pPr>
                  <w:r>
                    <w:rPr>
                      <w:spacing w:val="-2"/>
                      <w:sz w:val="22"/>
                      <w:szCs w:val="22"/>
                    </w:rPr>
                    <w:t>形状：挥发液体</w:t>
                  </w:r>
                </w:p>
              </w:tc>
            </w:tr>
            <w:tr w14:paraId="0C373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480" w:type="dxa"/>
                  <w:vMerge w:val="continue"/>
                  <w:tcBorders>
                    <w:top w:val="nil"/>
                    <w:bottom w:val="nil"/>
                  </w:tcBorders>
                  <w:textDirection w:val="tbRlV"/>
                  <w:vAlign w:val="top"/>
                </w:tcPr>
                <w:p w14:paraId="5EFE6894">
                  <w:pPr>
                    <w:rPr>
                      <w:rFonts w:ascii="Arial"/>
                      <w:sz w:val="21"/>
                    </w:rPr>
                  </w:pPr>
                </w:p>
              </w:tc>
              <w:tc>
                <w:tcPr>
                  <w:tcW w:w="3740" w:type="dxa"/>
                  <w:vAlign w:val="top"/>
                </w:tcPr>
                <w:p w14:paraId="75370023">
                  <w:pPr>
                    <w:pStyle w:val="6"/>
                    <w:spacing w:before="33" w:line="208" w:lineRule="auto"/>
                    <w:ind w:left="111"/>
                    <w:rPr>
                      <w:sz w:val="22"/>
                      <w:szCs w:val="22"/>
                    </w:rPr>
                  </w:pPr>
                  <w:r>
                    <w:rPr>
                      <w:spacing w:val="-1"/>
                      <w:sz w:val="22"/>
                      <w:szCs w:val="22"/>
                    </w:rPr>
                    <w:t>颜色：无色或淡黄色</w:t>
                  </w:r>
                </w:p>
              </w:tc>
              <w:tc>
                <w:tcPr>
                  <w:tcW w:w="3719" w:type="dxa"/>
                  <w:vAlign w:val="top"/>
                </w:tcPr>
                <w:p w14:paraId="04BA7EFB">
                  <w:pPr>
                    <w:pStyle w:val="6"/>
                    <w:spacing w:before="33" w:line="208" w:lineRule="auto"/>
                    <w:ind w:left="114"/>
                    <w:rPr>
                      <w:sz w:val="22"/>
                      <w:szCs w:val="22"/>
                    </w:rPr>
                  </w:pPr>
                  <w:r>
                    <w:rPr>
                      <w:spacing w:val="-2"/>
                      <w:sz w:val="22"/>
                      <w:szCs w:val="22"/>
                    </w:rPr>
                    <w:t>气味：汽油味道</w:t>
                  </w:r>
                </w:p>
              </w:tc>
            </w:tr>
            <w:tr w14:paraId="7DA07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480" w:type="dxa"/>
                  <w:vMerge w:val="continue"/>
                  <w:tcBorders>
                    <w:top w:val="nil"/>
                    <w:bottom w:val="nil"/>
                  </w:tcBorders>
                  <w:textDirection w:val="tbRlV"/>
                  <w:vAlign w:val="top"/>
                </w:tcPr>
                <w:p w14:paraId="71C745F0">
                  <w:pPr>
                    <w:rPr>
                      <w:rFonts w:ascii="Arial"/>
                      <w:sz w:val="21"/>
                    </w:rPr>
                  </w:pPr>
                </w:p>
              </w:tc>
              <w:tc>
                <w:tcPr>
                  <w:tcW w:w="3740" w:type="dxa"/>
                  <w:vAlign w:val="top"/>
                </w:tcPr>
                <w:p w14:paraId="6923DA55">
                  <w:pPr>
                    <w:pStyle w:val="6"/>
                    <w:spacing w:before="32" w:line="208" w:lineRule="auto"/>
                    <w:ind w:left="102"/>
                    <w:rPr>
                      <w:sz w:val="22"/>
                      <w:szCs w:val="22"/>
                    </w:rPr>
                  </w:pPr>
                  <w:r>
                    <w:rPr>
                      <w:rFonts w:ascii="Times New Roman" w:hAnsi="Times New Roman" w:eastAsia="Times New Roman" w:cs="Times New Roman"/>
                      <w:sz w:val="22"/>
                      <w:szCs w:val="22"/>
                    </w:rPr>
                    <w:t xml:space="preserve">pH </w:t>
                  </w:r>
                  <w:r>
                    <w:rPr>
                      <w:sz w:val="22"/>
                      <w:szCs w:val="22"/>
                    </w:rPr>
                    <w:t>值：中性</w:t>
                  </w:r>
                </w:p>
              </w:tc>
              <w:tc>
                <w:tcPr>
                  <w:tcW w:w="3719" w:type="dxa"/>
                  <w:vAlign w:val="top"/>
                </w:tcPr>
                <w:p w14:paraId="77E2A7FD">
                  <w:pPr>
                    <w:pStyle w:val="6"/>
                    <w:spacing w:before="32" w:line="208" w:lineRule="auto"/>
                    <w:jc w:val="right"/>
                    <w:rPr>
                      <w:sz w:val="22"/>
                      <w:szCs w:val="22"/>
                    </w:rPr>
                  </w:pPr>
                  <w:r>
                    <w:rPr>
                      <w:spacing w:val="-8"/>
                      <w:sz w:val="22"/>
                      <w:szCs w:val="22"/>
                    </w:rPr>
                    <w:t>沸点</w:t>
                  </w:r>
                  <w:r>
                    <w:rPr>
                      <w:spacing w:val="-28"/>
                      <w:sz w:val="22"/>
                      <w:szCs w:val="22"/>
                    </w:rPr>
                    <w:t xml:space="preserve"> </w:t>
                  </w:r>
                  <w:r>
                    <w:rPr>
                      <w:spacing w:val="-8"/>
                      <w:sz w:val="22"/>
                      <w:szCs w:val="22"/>
                    </w:rPr>
                    <w:t>(℃)</w:t>
                  </w:r>
                  <w:r>
                    <w:rPr>
                      <w:spacing w:val="-28"/>
                      <w:sz w:val="22"/>
                      <w:szCs w:val="22"/>
                    </w:rPr>
                    <w:t xml:space="preserve"> </w:t>
                  </w:r>
                  <w:r>
                    <w:rPr>
                      <w:spacing w:val="-8"/>
                      <w:sz w:val="22"/>
                      <w:szCs w:val="22"/>
                    </w:rPr>
                    <w:t>：</w:t>
                  </w:r>
                  <w:r>
                    <w:rPr>
                      <w:rFonts w:ascii="Times New Roman" w:hAnsi="Times New Roman" w:eastAsia="Times New Roman" w:cs="Times New Roman"/>
                      <w:spacing w:val="-8"/>
                      <w:sz w:val="22"/>
                      <w:szCs w:val="22"/>
                    </w:rPr>
                    <w:t>30~210</w:t>
                  </w:r>
                  <w:r>
                    <w:rPr>
                      <w:spacing w:val="-8"/>
                      <w:sz w:val="22"/>
                      <w:szCs w:val="22"/>
                    </w:rPr>
                    <w:t>（</w:t>
                  </w:r>
                  <w:r>
                    <w:rPr>
                      <w:rFonts w:ascii="Times New Roman" w:hAnsi="Times New Roman" w:eastAsia="Times New Roman" w:cs="Times New Roman"/>
                      <w:spacing w:val="-8"/>
                      <w:sz w:val="22"/>
                      <w:szCs w:val="22"/>
                    </w:rPr>
                    <w:t>86</w:t>
                  </w:r>
                  <w:r>
                    <w:rPr>
                      <w:rFonts w:ascii="Times New Roman" w:hAnsi="Times New Roman" w:eastAsia="Times New Roman" w:cs="Times New Roman"/>
                      <w:spacing w:val="-27"/>
                      <w:sz w:val="22"/>
                      <w:szCs w:val="22"/>
                    </w:rPr>
                    <w:t xml:space="preserve"> </w:t>
                  </w:r>
                  <w:r>
                    <w:rPr>
                      <w:spacing w:val="-8"/>
                      <w:sz w:val="22"/>
                      <w:szCs w:val="22"/>
                    </w:rPr>
                    <w:t>°</w:t>
                  </w:r>
                  <w:r>
                    <w:rPr>
                      <w:rFonts w:ascii="Times New Roman" w:hAnsi="Times New Roman" w:eastAsia="Times New Roman" w:cs="Times New Roman"/>
                      <w:spacing w:val="-8"/>
                      <w:sz w:val="22"/>
                      <w:szCs w:val="22"/>
                    </w:rPr>
                    <w:t>F~410</w:t>
                  </w:r>
                  <w:r>
                    <w:rPr>
                      <w:rFonts w:ascii="Times New Roman" w:hAnsi="Times New Roman" w:eastAsia="Times New Roman" w:cs="Times New Roman"/>
                      <w:spacing w:val="-29"/>
                      <w:sz w:val="22"/>
                      <w:szCs w:val="22"/>
                    </w:rPr>
                    <w:t xml:space="preserve"> </w:t>
                  </w:r>
                  <w:r>
                    <w:rPr>
                      <w:spacing w:val="-9"/>
                      <w:sz w:val="22"/>
                      <w:szCs w:val="22"/>
                    </w:rPr>
                    <w:t>°</w:t>
                  </w:r>
                  <w:r>
                    <w:rPr>
                      <w:rFonts w:ascii="Times New Roman" w:hAnsi="Times New Roman" w:eastAsia="Times New Roman" w:cs="Times New Roman"/>
                      <w:spacing w:val="-9"/>
                      <w:sz w:val="22"/>
                      <w:szCs w:val="22"/>
                    </w:rPr>
                    <w:t>F</w:t>
                  </w:r>
                  <w:r>
                    <w:rPr>
                      <w:spacing w:val="-9"/>
                      <w:sz w:val="22"/>
                      <w:szCs w:val="22"/>
                    </w:rPr>
                    <w:t>）</w:t>
                  </w:r>
                </w:p>
              </w:tc>
            </w:tr>
            <w:tr w14:paraId="23715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480" w:type="dxa"/>
                  <w:vMerge w:val="continue"/>
                  <w:tcBorders>
                    <w:top w:val="nil"/>
                    <w:bottom w:val="nil"/>
                  </w:tcBorders>
                  <w:textDirection w:val="tbRlV"/>
                  <w:vAlign w:val="top"/>
                </w:tcPr>
                <w:p w14:paraId="4ED5F7E8">
                  <w:pPr>
                    <w:rPr>
                      <w:rFonts w:ascii="Arial"/>
                      <w:sz w:val="21"/>
                    </w:rPr>
                  </w:pPr>
                </w:p>
              </w:tc>
              <w:tc>
                <w:tcPr>
                  <w:tcW w:w="3740" w:type="dxa"/>
                  <w:vAlign w:val="top"/>
                </w:tcPr>
                <w:p w14:paraId="159F7915">
                  <w:pPr>
                    <w:pStyle w:val="6"/>
                    <w:spacing w:before="32" w:line="208" w:lineRule="auto"/>
                    <w:jc w:val="right"/>
                    <w:rPr>
                      <w:sz w:val="22"/>
                      <w:szCs w:val="22"/>
                    </w:rPr>
                  </w:pPr>
                  <w:r>
                    <w:rPr>
                      <w:spacing w:val="-9"/>
                      <w:sz w:val="22"/>
                      <w:szCs w:val="22"/>
                    </w:rPr>
                    <w:t>闪点</w:t>
                  </w:r>
                  <w:r>
                    <w:rPr>
                      <w:spacing w:val="-40"/>
                      <w:sz w:val="22"/>
                      <w:szCs w:val="22"/>
                    </w:rPr>
                    <w:t xml:space="preserve"> </w:t>
                  </w:r>
                  <w:r>
                    <w:rPr>
                      <w:spacing w:val="-9"/>
                      <w:sz w:val="22"/>
                      <w:szCs w:val="22"/>
                    </w:rPr>
                    <w:t>(℃)</w:t>
                  </w:r>
                  <w:r>
                    <w:rPr>
                      <w:spacing w:val="-41"/>
                      <w:sz w:val="22"/>
                      <w:szCs w:val="22"/>
                    </w:rPr>
                    <w:t xml:space="preserve"> </w:t>
                  </w:r>
                  <w:r>
                    <w:rPr>
                      <w:spacing w:val="-9"/>
                      <w:sz w:val="22"/>
                      <w:szCs w:val="22"/>
                    </w:rPr>
                    <w:t>：</w:t>
                  </w:r>
                  <w:r>
                    <w:rPr>
                      <w:rFonts w:ascii="Times New Roman" w:hAnsi="Times New Roman" w:eastAsia="Times New Roman" w:cs="Times New Roman"/>
                      <w:spacing w:val="-9"/>
                      <w:sz w:val="22"/>
                      <w:szCs w:val="22"/>
                    </w:rPr>
                    <w:t>-43~-38</w:t>
                  </w:r>
                  <w:r>
                    <w:rPr>
                      <w:spacing w:val="-9"/>
                      <w:sz w:val="22"/>
                      <w:szCs w:val="22"/>
                    </w:rPr>
                    <w:t>（</w:t>
                  </w:r>
                  <w:r>
                    <w:rPr>
                      <w:rFonts w:ascii="Times New Roman" w:hAnsi="Times New Roman" w:eastAsia="Times New Roman" w:cs="Times New Roman"/>
                      <w:spacing w:val="-9"/>
                      <w:sz w:val="22"/>
                      <w:szCs w:val="22"/>
                    </w:rPr>
                    <w:t>-45</w:t>
                  </w:r>
                  <w:r>
                    <w:rPr>
                      <w:rFonts w:ascii="Times New Roman" w:hAnsi="Times New Roman" w:eastAsia="Times New Roman" w:cs="Times New Roman"/>
                      <w:spacing w:val="-26"/>
                      <w:sz w:val="22"/>
                      <w:szCs w:val="22"/>
                    </w:rPr>
                    <w:t xml:space="preserve"> </w:t>
                  </w:r>
                  <w:r>
                    <w:rPr>
                      <w:spacing w:val="-9"/>
                      <w:sz w:val="22"/>
                      <w:szCs w:val="22"/>
                    </w:rPr>
                    <w:t>°</w:t>
                  </w:r>
                  <w:r>
                    <w:rPr>
                      <w:rFonts w:ascii="Times New Roman" w:hAnsi="Times New Roman" w:eastAsia="Times New Roman" w:cs="Times New Roman"/>
                      <w:spacing w:val="-9"/>
                      <w:sz w:val="22"/>
                      <w:szCs w:val="22"/>
                    </w:rPr>
                    <w:t>F</w:t>
                  </w:r>
                  <w:r>
                    <w:rPr>
                      <w:rFonts w:ascii="Times New Roman" w:hAnsi="Times New Roman" w:eastAsia="Times New Roman" w:cs="Times New Roman"/>
                      <w:spacing w:val="-10"/>
                      <w:sz w:val="22"/>
                      <w:szCs w:val="22"/>
                    </w:rPr>
                    <w:t>~-36</w:t>
                  </w:r>
                  <w:r>
                    <w:rPr>
                      <w:rFonts w:ascii="Times New Roman" w:hAnsi="Times New Roman" w:eastAsia="Times New Roman" w:cs="Times New Roman"/>
                      <w:spacing w:val="-27"/>
                      <w:sz w:val="22"/>
                      <w:szCs w:val="22"/>
                    </w:rPr>
                    <w:t xml:space="preserve"> </w:t>
                  </w:r>
                  <w:r>
                    <w:rPr>
                      <w:spacing w:val="-10"/>
                      <w:sz w:val="22"/>
                      <w:szCs w:val="22"/>
                    </w:rPr>
                    <w:t>°</w:t>
                  </w:r>
                  <w:r>
                    <w:rPr>
                      <w:rFonts w:ascii="Times New Roman" w:hAnsi="Times New Roman" w:eastAsia="Times New Roman" w:cs="Times New Roman"/>
                      <w:spacing w:val="-10"/>
                      <w:sz w:val="22"/>
                      <w:szCs w:val="22"/>
                    </w:rPr>
                    <w:t>F</w:t>
                  </w:r>
                  <w:r>
                    <w:rPr>
                      <w:spacing w:val="-10"/>
                      <w:sz w:val="22"/>
                      <w:szCs w:val="22"/>
                    </w:rPr>
                    <w:t>）</w:t>
                  </w:r>
                </w:p>
              </w:tc>
              <w:tc>
                <w:tcPr>
                  <w:tcW w:w="3719" w:type="dxa"/>
                  <w:vAlign w:val="top"/>
                </w:tcPr>
                <w:p w14:paraId="00D879D3">
                  <w:pPr>
                    <w:pStyle w:val="6"/>
                    <w:spacing w:before="32" w:line="208" w:lineRule="auto"/>
                    <w:ind w:left="114"/>
                    <w:rPr>
                      <w:sz w:val="22"/>
                      <w:szCs w:val="22"/>
                    </w:rPr>
                  </w:pPr>
                  <w:r>
                    <w:rPr>
                      <w:spacing w:val="-1"/>
                      <w:sz w:val="22"/>
                      <w:szCs w:val="22"/>
                    </w:rPr>
                    <w:t>密度：</w:t>
                  </w:r>
                  <w:r>
                    <w:rPr>
                      <w:rFonts w:ascii="Times New Roman" w:hAnsi="Times New Roman" w:eastAsia="Times New Roman" w:cs="Times New Roman"/>
                      <w:spacing w:val="-1"/>
                      <w:sz w:val="22"/>
                      <w:szCs w:val="22"/>
                    </w:rPr>
                    <w:t>0.72kg/L@20</w:t>
                  </w:r>
                  <w:r>
                    <w:rPr>
                      <w:spacing w:val="-1"/>
                      <w:sz w:val="22"/>
                      <w:szCs w:val="22"/>
                    </w:rPr>
                    <w:t>℃</w:t>
                  </w:r>
                </w:p>
              </w:tc>
            </w:tr>
            <w:tr w14:paraId="3C4CC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480" w:type="dxa"/>
                  <w:vMerge w:val="continue"/>
                  <w:tcBorders>
                    <w:top w:val="nil"/>
                    <w:bottom w:val="nil"/>
                  </w:tcBorders>
                  <w:textDirection w:val="tbRlV"/>
                  <w:vAlign w:val="top"/>
                </w:tcPr>
                <w:p w14:paraId="53EB57E4">
                  <w:pPr>
                    <w:rPr>
                      <w:rFonts w:ascii="Arial"/>
                      <w:sz w:val="21"/>
                    </w:rPr>
                  </w:pPr>
                </w:p>
              </w:tc>
              <w:tc>
                <w:tcPr>
                  <w:tcW w:w="3740" w:type="dxa"/>
                  <w:vAlign w:val="top"/>
                </w:tcPr>
                <w:p w14:paraId="79585000">
                  <w:pPr>
                    <w:pStyle w:val="6"/>
                    <w:spacing w:before="31" w:line="209" w:lineRule="auto"/>
                    <w:ind w:left="114"/>
                    <w:rPr>
                      <w:rFonts w:ascii="Times New Roman" w:hAnsi="Times New Roman" w:eastAsia="Times New Roman" w:cs="Times New Roman"/>
                      <w:sz w:val="22"/>
                      <w:szCs w:val="22"/>
                    </w:rPr>
                  </w:pPr>
                  <w:r>
                    <w:rPr>
                      <w:spacing w:val="-2"/>
                      <w:sz w:val="22"/>
                      <w:szCs w:val="22"/>
                    </w:rPr>
                    <w:t>蒸气压：</w:t>
                  </w:r>
                  <w:r>
                    <w:rPr>
                      <w:rFonts w:ascii="Times New Roman" w:hAnsi="Times New Roman" w:eastAsia="Times New Roman" w:cs="Times New Roman"/>
                      <w:spacing w:val="-2"/>
                      <w:sz w:val="22"/>
                      <w:szCs w:val="22"/>
                    </w:rPr>
                    <w:t>0.03447~0.</w:t>
                  </w:r>
                  <w:r>
                    <w:rPr>
                      <w:rFonts w:ascii="Times New Roman" w:hAnsi="Times New Roman" w:eastAsia="Times New Roman" w:cs="Times New Roman"/>
                      <w:spacing w:val="-22"/>
                      <w:sz w:val="22"/>
                      <w:szCs w:val="22"/>
                    </w:rPr>
                    <w:t xml:space="preserve"> </w:t>
                  </w:r>
                  <w:r>
                    <w:rPr>
                      <w:rFonts w:ascii="Times New Roman" w:hAnsi="Times New Roman" w:eastAsia="Times New Roman" w:cs="Times New Roman"/>
                      <w:spacing w:val="-2"/>
                      <w:sz w:val="22"/>
                      <w:szCs w:val="22"/>
                    </w:rPr>
                    <w:t>10342MPa</w:t>
                  </w:r>
                </w:p>
              </w:tc>
              <w:tc>
                <w:tcPr>
                  <w:tcW w:w="3719" w:type="dxa"/>
                  <w:vAlign w:val="top"/>
                </w:tcPr>
                <w:p w14:paraId="2186B335">
                  <w:pPr>
                    <w:pStyle w:val="6"/>
                    <w:spacing w:line="235" w:lineRule="auto"/>
                    <w:ind w:left="116"/>
                    <w:rPr>
                      <w:rFonts w:ascii="Times New Roman" w:hAnsi="Times New Roman" w:eastAsia="Times New Roman" w:cs="Times New Roman"/>
                      <w:sz w:val="22"/>
                      <w:szCs w:val="22"/>
                    </w:rPr>
                  </w:pPr>
                  <w:r>
                    <w:rPr>
                      <w:spacing w:val="-1"/>
                      <w:sz w:val="22"/>
                      <w:szCs w:val="22"/>
                    </w:rPr>
                    <w:t>蒸气密度（</w:t>
                  </w:r>
                  <w:r>
                    <w:rPr>
                      <w:rFonts w:ascii="Times New Roman" w:hAnsi="Times New Roman" w:eastAsia="Times New Roman" w:cs="Times New Roman"/>
                      <w:spacing w:val="-1"/>
                      <w:sz w:val="22"/>
                      <w:szCs w:val="22"/>
                    </w:rPr>
                    <w:t>Air=1</w:t>
                  </w:r>
                  <w:r>
                    <w:rPr>
                      <w:spacing w:val="7"/>
                      <w:sz w:val="22"/>
                      <w:szCs w:val="22"/>
                    </w:rPr>
                    <w:t>）：</w:t>
                  </w:r>
                  <w:r>
                    <w:rPr>
                      <w:rFonts w:ascii="Times New Roman" w:hAnsi="Times New Roman" w:eastAsia="Times New Roman" w:cs="Times New Roman"/>
                      <w:spacing w:val="-1"/>
                      <w:sz w:val="22"/>
                      <w:szCs w:val="22"/>
                    </w:rPr>
                    <w:t>3~5</w:t>
                  </w:r>
                </w:p>
              </w:tc>
            </w:tr>
            <w:tr w14:paraId="2AFFB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480" w:type="dxa"/>
                  <w:vMerge w:val="continue"/>
                  <w:tcBorders>
                    <w:top w:val="nil"/>
                    <w:bottom w:val="nil"/>
                  </w:tcBorders>
                  <w:textDirection w:val="tbRlV"/>
                  <w:vAlign w:val="top"/>
                </w:tcPr>
                <w:p w14:paraId="182E283D">
                  <w:pPr>
                    <w:rPr>
                      <w:rFonts w:ascii="Arial"/>
                      <w:sz w:val="21"/>
                    </w:rPr>
                  </w:pPr>
                </w:p>
              </w:tc>
              <w:tc>
                <w:tcPr>
                  <w:tcW w:w="3740" w:type="dxa"/>
                  <w:vAlign w:val="top"/>
                </w:tcPr>
                <w:p w14:paraId="010CD550">
                  <w:pPr>
                    <w:pStyle w:val="6"/>
                    <w:spacing w:before="173" w:line="221" w:lineRule="auto"/>
                    <w:ind w:left="148"/>
                    <w:rPr>
                      <w:rFonts w:ascii="Times New Roman" w:hAnsi="Times New Roman" w:eastAsia="Times New Roman" w:cs="Times New Roman"/>
                      <w:sz w:val="22"/>
                      <w:szCs w:val="22"/>
                    </w:rPr>
                  </w:pPr>
                  <w:r>
                    <w:rPr>
                      <w:spacing w:val="-6"/>
                      <w:sz w:val="22"/>
                      <w:szCs w:val="22"/>
                    </w:rPr>
                    <w:t>自燃温度 (℃)</w:t>
                  </w:r>
                  <w:r>
                    <w:rPr>
                      <w:spacing w:val="50"/>
                      <w:sz w:val="22"/>
                      <w:szCs w:val="22"/>
                    </w:rPr>
                    <w:t xml:space="preserve"> </w:t>
                  </w:r>
                  <w:r>
                    <w:rPr>
                      <w:spacing w:val="-6"/>
                      <w:sz w:val="22"/>
                      <w:szCs w:val="22"/>
                    </w:rPr>
                    <w:t>：</w:t>
                  </w:r>
                  <w:r>
                    <w:rPr>
                      <w:rFonts w:ascii="Times New Roman" w:hAnsi="Times New Roman" w:eastAsia="Times New Roman" w:cs="Times New Roman"/>
                      <w:spacing w:val="-6"/>
                      <w:sz w:val="22"/>
                      <w:szCs w:val="22"/>
                    </w:rPr>
                    <w:t>280~456</w:t>
                  </w:r>
                </w:p>
              </w:tc>
              <w:tc>
                <w:tcPr>
                  <w:tcW w:w="3719" w:type="dxa"/>
                  <w:vAlign w:val="top"/>
                </w:tcPr>
                <w:p w14:paraId="6D4E884C">
                  <w:pPr>
                    <w:pStyle w:val="6"/>
                    <w:spacing w:before="31" w:line="219" w:lineRule="auto"/>
                    <w:ind w:left="113"/>
                    <w:rPr>
                      <w:rFonts w:ascii="Times New Roman" w:hAnsi="Times New Roman" w:eastAsia="Times New Roman" w:cs="Times New Roman"/>
                      <w:sz w:val="22"/>
                      <w:szCs w:val="22"/>
                    </w:rPr>
                  </w:pPr>
                  <w:r>
                    <w:rPr>
                      <w:spacing w:val="-1"/>
                      <w:sz w:val="22"/>
                      <w:szCs w:val="22"/>
                    </w:rPr>
                    <w:t>爆炸界限：</w:t>
                  </w:r>
                  <w:r>
                    <w:rPr>
                      <w:rFonts w:ascii="Times New Roman" w:hAnsi="Times New Roman" w:eastAsia="Times New Roman" w:cs="Times New Roman"/>
                      <w:spacing w:val="-1"/>
                      <w:sz w:val="22"/>
                      <w:szCs w:val="22"/>
                    </w:rPr>
                    <w:t>LEL</w:t>
                  </w:r>
                  <w:r>
                    <w:rPr>
                      <w:spacing w:val="-1"/>
                      <w:sz w:val="22"/>
                      <w:szCs w:val="22"/>
                    </w:rPr>
                    <w:t>：</w:t>
                  </w:r>
                  <w:r>
                    <w:rPr>
                      <w:rFonts w:ascii="Times New Roman" w:hAnsi="Times New Roman" w:eastAsia="Times New Roman" w:cs="Times New Roman"/>
                      <w:spacing w:val="-1"/>
                      <w:sz w:val="22"/>
                      <w:szCs w:val="22"/>
                    </w:rPr>
                    <w:t>1.2%</w:t>
                  </w:r>
                  <w:r>
                    <w:rPr>
                      <w:spacing w:val="-1"/>
                      <w:sz w:val="22"/>
                      <w:szCs w:val="22"/>
                    </w:rPr>
                    <w:t>～</w:t>
                  </w:r>
                  <w:r>
                    <w:rPr>
                      <w:rFonts w:ascii="Times New Roman" w:hAnsi="Times New Roman" w:eastAsia="Times New Roman" w:cs="Times New Roman"/>
                      <w:spacing w:val="-1"/>
                      <w:sz w:val="22"/>
                      <w:szCs w:val="22"/>
                    </w:rPr>
                    <w:t>1.4%</w:t>
                  </w:r>
                </w:p>
                <w:p w14:paraId="5EABB288">
                  <w:pPr>
                    <w:pStyle w:val="6"/>
                    <w:spacing w:before="25" w:line="207" w:lineRule="auto"/>
                    <w:ind w:left="106"/>
                    <w:rPr>
                      <w:rFonts w:ascii="Times New Roman" w:hAnsi="Times New Roman" w:eastAsia="Times New Roman" w:cs="Times New Roman"/>
                      <w:sz w:val="22"/>
                      <w:szCs w:val="22"/>
                    </w:rPr>
                  </w:pPr>
                  <w:r>
                    <w:rPr>
                      <w:rFonts w:ascii="Times New Roman" w:hAnsi="Times New Roman" w:eastAsia="Times New Roman" w:cs="Times New Roman"/>
                      <w:sz w:val="22"/>
                      <w:szCs w:val="22"/>
                    </w:rPr>
                    <w:t>UEL</w:t>
                  </w:r>
                  <w:r>
                    <w:rPr>
                      <w:sz w:val="22"/>
                      <w:szCs w:val="22"/>
                    </w:rPr>
                    <w:t>：</w:t>
                  </w:r>
                  <w:r>
                    <w:rPr>
                      <w:rFonts w:ascii="Times New Roman" w:hAnsi="Times New Roman" w:eastAsia="Times New Roman" w:cs="Times New Roman"/>
                      <w:sz w:val="22"/>
                      <w:szCs w:val="22"/>
                    </w:rPr>
                    <w:t>7.6%</w:t>
                  </w:r>
                </w:p>
              </w:tc>
            </w:tr>
            <w:tr w14:paraId="3D664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480" w:type="dxa"/>
                  <w:vMerge w:val="continue"/>
                  <w:tcBorders>
                    <w:top w:val="nil"/>
                  </w:tcBorders>
                  <w:textDirection w:val="tbRlV"/>
                  <w:vAlign w:val="top"/>
                </w:tcPr>
                <w:p w14:paraId="65D38236">
                  <w:pPr>
                    <w:rPr>
                      <w:rFonts w:ascii="Arial"/>
                      <w:sz w:val="21"/>
                    </w:rPr>
                  </w:pPr>
                </w:p>
              </w:tc>
              <w:tc>
                <w:tcPr>
                  <w:tcW w:w="3740" w:type="dxa"/>
                  <w:vAlign w:val="top"/>
                </w:tcPr>
                <w:p w14:paraId="18E5E137">
                  <w:pPr>
                    <w:pStyle w:val="6"/>
                    <w:spacing w:before="33" w:line="220" w:lineRule="auto"/>
                    <w:ind w:left="114"/>
                    <w:rPr>
                      <w:rFonts w:ascii="Times New Roman" w:hAnsi="Times New Roman" w:eastAsia="Times New Roman" w:cs="Times New Roman"/>
                      <w:sz w:val="22"/>
                      <w:szCs w:val="22"/>
                    </w:rPr>
                  </w:pPr>
                  <w:r>
                    <w:rPr>
                      <w:spacing w:val="-1"/>
                      <w:sz w:val="22"/>
                      <w:szCs w:val="22"/>
                    </w:rPr>
                    <w:t>溶解性：水溶解度</w:t>
                  </w:r>
                  <w:r>
                    <w:rPr>
                      <w:spacing w:val="-12"/>
                      <w:sz w:val="22"/>
                      <w:szCs w:val="22"/>
                    </w:rPr>
                    <w:t>：＜</w:t>
                  </w:r>
                  <w:r>
                    <w:rPr>
                      <w:rFonts w:ascii="Times New Roman" w:hAnsi="Times New Roman" w:eastAsia="Times New Roman" w:cs="Times New Roman"/>
                      <w:spacing w:val="-1"/>
                      <w:sz w:val="22"/>
                      <w:szCs w:val="22"/>
                    </w:rPr>
                    <w:t>0.</w:t>
                  </w:r>
                  <w:r>
                    <w:rPr>
                      <w:rFonts w:ascii="Times New Roman" w:hAnsi="Times New Roman" w:eastAsia="Times New Roman" w:cs="Times New Roman"/>
                      <w:spacing w:val="-29"/>
                      <w:sz w:val="22"/>
                      <w:szCs w:val="22"/>
                    </w:rPr>
                    <w:t xml:space="preserve"> </w:t>
                  </w:r>
                  <w:r>
                    <w:rPr>
                      <w:rFonts w:ascii="Times New Roman" w:hAnsi="Times New Roman" w:eastAsia="Times New Roman" w:cs="Times New Roman"/>
                      <w:spacing w:val="-1"/>
                      <w:sz w:val="22"/>
                      <w:szCs w:val="22"/>
                    </w:rPr>
                    <w:t>1%</w:t>
                  </w:r>
                </w:p>
                <w:p w14:paraId="5F9464C3">
                  <w:pPr>
                    <w:pStyle w:val="6"/>
                    <w:spacing w:before="23" w:line="206" w:lineRule="auto"/>
                    <w:ind w:left="114"/>
                    <w:rPr>
                      <w:sz w:val="22"/>
                      <w:szCs w:val="22"/>
                    </w:rPr>
                  </w:pPr>
                  <w:r>
                    <w:rPr>
                      <w:spacing w:val="-1"/>
                      <w:sz w:val="22"/>
                      <w:szCs w:val="22"/>
                    </w:rPr>
                    <w:t>溶解于无水酒精、醚类、苯、氯仿</w:t>
                  </w:r>
                </w:p>
              </w:tc>
              <w:tc>
                <w:tcPr>
                  <w:tcW w:w="3719" w:type="dxa"/>
                  <w:vAlign w:val="top"/>
                </w:tcPr>
                <w:p w14:paraId="7DD81103">
                  <w:pPr>
                    <w:pStyle w:val="6"/>
                    <w:spacing w:before="175" w:line="220" w:lineRule="auto"/>
                    <w:ind w:left="114"/>
                    <w:rPr>
                      <w:sz w:val="22"/>
                      <w:szCs w:val="22"/>
                    </w:rPr>
                  </w:pPr>
                  <w:r>
                    <w:rPr>
                      <w:spacing w:val="-1"/>
                      <w:sz w:val="22"/>
                      <w:szCs w:val="22"/>
                    </w:rPr>
                    <w:t>稳定性：常温常压下稳定</w:t>
                  </w:r>
                </w:p>
              </w:tc>
            </w:tr>
            <w:tr w14:paraId="0667C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0" w:hRule="atLeast"/>
              </w:trPr>
              <w:tc>
                <w:tcPr>
                  <w:tcW w:w="480" w:type="dxa"/>
                  <w:vMerge w:val="restart"/>
                  <w:tcBorders>
                    <w:bottom w:val="nil"/>
                  </w:tcBorders>
                  <w:textDirection w:val="tbRlV"/>
                  <w:vAlign w:val="top"/>
                </w:tcPr>
                <w:p w14:paraId="64667BBE">
                  <w:pPr>
                    <w:pStyle w:val="6"/>
                    <w:spacing w:before="145" w:line="209" w:lineRule="auto"/>
                    <w:ind w:left="1606"/>
                    <w:rPr>
                      <w:sz w:val="22"/>
                      <w:szCs w:val="22"/>
                    </w:rPr>
                  </w:pPr>
                  <w:r>
                    <w:rPr>
                      <w:spacing w:val="49"/>
                      <w:sz w:val="22"/>
                      <w:szCs w:val="22"/>
                    </w:rPr>
                    <w:t>危险特性</w:t>
                  </w:r>
                </w:p>
              </w:tc>
              <w:tc>
                <w:tcPr>
                  <w:tcW w:w="7459" w:type="dxa"/>
                  <w:gridSpan w:val="2"/>
                  <w:vAlign w:val="top"/>
                </w:tcPr>
                <w:p w14:paraId="6A8C6EEB">
                  <w:pPr>
                    <w:pStyle w:val="6"/>
                    <w:spacing w:before="33" w:line="222" w:lineRule="auto"/>
                    <w:ind w:left="112"/>
                    <w:rPr>
                      <w:sz w:val="22"/>
                      <w:szCs w:val="22"/>
                    </w:rPr>
                  </w:pPr>
                  <w:r>
                    <w:rPr>
                      <w:spacing w:val="-3"/>
                      <w:sz w:val="22"/>
                      <w:szCs w:val="22"/>
                    </w:rPr>
                    <w:t>反应性：</w:t>
                  </w:r>
                </w:p>
                <w:p w14:paraId="390B7CE3">
                  <w:pPr>
                    <w:pStyle w:val="6"/>
                    <w:spacing w:before="20" w:line="239" w:lineRule="auto"/>
                    <w:ind w:left="111" w:right="104"/>
                    <w:rPr>
                      <w:sz w:val="22"/>
                      <w:szCs w:val="22"/>
                    </w:rPr>
                  </w:pPr>
                  <w:r>
                    <w:rPr>
                      <w:spacing w:val="-1"/>
                      <w:sz w:val="22"/>
                      <w:szCs w:val="22"/>
                    </w:rPr>
                    <w:t>①避免热、火焰、火花及其他燃烧物质。若曝露于热源，容器会破裂或爆炸远离水源及下水道。有害气体会累积在密闭空间。</w:t>
                  </w:r>
                </w:p>
                <w:p w14:paraId="50C86820">
                  <w:pPr>
                    <w:pStyle w:val="6"/>
                    <w:spacing w:before="2" w:line="222" w:lineRule="auto"/>
                    <w:ind w:left="111" w:right="107" w:hanging="1"/>
                    <w:rPr>
                      <w:sz w:val="22"/>
                      <w:szCs w:val="22"/>
                    </w:rPr>
                  </w:pPr>
                  <w:r>
                    <w:rPr>
                      <w:spacing w:val="-1"/>
                      <w:sz w:val="22"/>
                      <w:szCs w:val="22"/>
                    </w:rPr>
                    <w:t>②避免和强氧化剂，如：酸、碱、金属、卤素、过氧化物、易燃物质等，接触极易发生反应。</w:t>
                  </w:r>
                </w:p>
              </w:tc>
            </w:tr>
            <w:tr w14:paraId="551C1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0" w:hRule="atLeast"/>
              </w:trPr>
              <w:tc>
                <w:tcPr>
                  <w:tcW w:w="480" w:type="dxa"/>
                  <w:vMerge w:val="continue"/>
                  <w:tcBorders>
                    <w:top w:val="nil"/>
                  </w:tcBorders>
                  <w:textDirection w:val="tbRlV"/>
                  <w:vAlign w:val="top"/>
                </w:tcPr>
                <w:p w14:paraId="34730C3E">
                  <w:pPr>
                    <w:rPr>
                      <w:rFonts w:ascii="Arial"/>
                      <w:sz w:val="21"/>
                    </w:rPr>
                  </w:pPr>
                </w:p>
              </w:tc>
              <w:tc>
                <w:tcPr>
                  <w:tcW w:w="7459" w:type="dxa"/>
                  <w:gridSpan w:val="2"/>
                  <w:vAlign w:val="top"/>
                </w:tcPr>
                <w:p w14:paraId="78FA8680">
                  <w:pPr>
                    <w:pStyle w:val="6"/>
                    <w:spacing w:before="36" w:line="220" w:lineRule="auto"/>
                    <w:ind w:left="118"/>
                    <w:rPr>
                      <w:sz w:val="22"/>
                      <w:szCs w:val="22"/>
                    </w:rPr>
                  </w:pPr>
                  <w:r>
                    <w:rPr>
                      <w:spacing w:val="-3"/>
                      <w:sz w:val="22"/>
                      <w:szCs w:val="22"/>
                    </w:rPr>
                    <w:t>急性毒性：</w:t>
                  </w:r>
                </w:p>
                <w:p w14:paraId="5B5543BC">
                  <w:pPr>
                    <w:pStyle w:val="6"/>
                    <w:spacing w:before="19"/>
                    <w:ind w:left="111" w:right="104"/>
                    <w:rPr>
                      <w:sz w:val="22"/>
                      <w:szCs w:val="22"/>
                    </w:rPr>
                  </w:pPr>
                  <w:r>
                    <w:rPr>
                      <w:spacing w:val="-1"/>
                      <w:sz w:val="22"/>
                      <w:szCs w:val="22"/>
                    </w:rPr>
                    <w:t>①食入：会引起刺激与伴随着反胃、呕吐、腹泻的胃肠管道的烧伤。吸收最初会引起中枢神经兴奋随后意志消沉。症状包含：轻微的兴奋、坐立不安、神经过敏、兴奋性、痉挛、虚弱、视力模糊、头痛、头昏眼花、困倦、精神错乱、抽筋与昏迷。有可能短暂的肝脏受损。</w:t>
                  </w:r>
                </w:p>
                <w:p w14:paraId="24C5AF2F">
                  <w:pPr>
                    <w:pStyle w:val="6"/>
                    <w:spacing w:before="5" w:line="232" w:lineRule="auto"/>
                    <w:ind w:left="110" w:right="29"/>
                    <w:rPr>
                      <w:sz w:val="22"/>
                      <w:szCs w:val="22"/>
                    </w:rPr>
                  </w:pPr>
                  <w:r>
                    <w:rPr>
                      <w:spacing w:val="-7"/>
                      <w:sz w:val="22"/>
                      <w:szCs w:val="22"/>
                    </w:rPr>
                    <w:t>②吸入：在</w:t>
                  </w:r>
                  <w:r>
                    <w:rPr>
                      <w:spacing w:val="-38"/>
                      <w:sz w:val="22"/>
                      <w:szCs w:val="22"/>
                    </w:rPr>
                    <w:t xml:space="preserve"> </w:t>
                  </w:r>
                  <w:r>
                    <w:rPr>
                      <w:rFonts w:ascii="Times New Roman" w:hAnsi="Times New Roman" w:eastAsia="Times New Roman" w:cs="Times New Roman"/>
                      <w:spacing w:val="-7"/>
                      <w:sz w:val="22"/>
                      <w:szCs w:val="22"/>
                    </w:rPr>
                    <w:t>160</w:t>
                  </w:r>
                  <w:r>
                    <w:rPr>
                      <w:spacing w:val="-7"/>
                      <w:sz w:val="22"/>
                      <w:szCs w:val="22"/>
                    </w:rPr>
                    <w:t>～</w:t>
                  </w:r>
                  <w:r>
                    <w:rPr>
                      <w:rFonts w:ascii="Times New Roman" w:hAnsi="Times New Roman" w:eastAsia="Times New Roman" w:cs="Times New Roman"/>
                      <w:spacing w:val="-7"/>
                      <w:sz w:val="22"/>
                      <w:szCs w:val="22"/>
                    </w:rPr>
                    <w:t>270ppm</w:t>
                  </w:r>
                  <w:r>
                    <w:rPr>
                      <w:spacing w:val="-7"/>
                      <w:sz w:val="22"/>
                      <w:szCs w:val="22"/>
                    </w:rPr>
                    <w:t>浓度下几小时，会刺激咽喉。浓度</w:t>
                  </w:r>
                  <w:r>
                    <w:rPr>
                      <w:rFonts w:ascii="Times New Roman" w:hAnsi="Times New Roman" w:eastAsia="Times New Roman" w:cs="Times New Roman"/>
                      <w:spacing w:val="-7"/>
                      <w:sz w:val="22"/>
                      <w:szCs w:val="22"/>
                    </w:rPr>
                    <w:t>2000ppm</w:t>
                  </w:r>
                  <w:r>
                    <w:rPr>
                      <w:spacing w:val="-7"/>
                      <w:sz w:val="22"/>
                      <w:szCs w:val="22"/>
                    </w:rPr>
                    <w:t>下</w:t>
                  </w:r>
                  <w:r>
                    <w:rPr>
                      <w:spacing w:val="-66"/>
                      <w:sz w:val="22"/>
                      <w:szCs w:val="22"/>
                    </w:rPr>
                    <w:t xml:space="preserve"> </w:t>
                  </w:r>
                  <w:r>
                    <w:rPr>
                      <w:rFonts w:ascii="Times New Roman" w:hAnsi="Times New Roman" w:eastAsia="Times New Roman" w:cs="Times New Roman"/>
                      <w:spacing w:val="-7"/>
                      <w:sz w:val="22"/>
                      <w:szCs w:val="22"/>
                    </w:rPr>
                    <w:t>30min</w:t>
                  </w:r>
                  <w:r>
                    <w:rPr>
                      <w:spacing w:val="-7"/>
                      <w:sz w:val="22"/>
                      <w:szCs w:val="22"/>
                    </w:rPr>
                    <w:t>，</w:t>
                  </w:r>
                  <w:r>
                    <w:rPr>
                      <w:spacing w:val="-1"/>
                      <w:sz w:val="22"/>
                      <w:szCs w:val="22"/>
                    </w:rPr>
                    <w:t>会引起轻微的麻醉。其它中枢神经抑制的症状包括：头痛、反胃、呕吐、头昏眼花、困倦、脸部发红、视力模糊、说话含糊、吞咽困难、摇晃欲倒、困</w:t>
                  </w:r>
                  <w:r>
                    <w:rPr>
                      <w:spacing w:val="-5"/>
                      <w:sz w:val="22"/>
                      <w:szCs w:val="22"/>
                    </w:rPr>
                    <w:t>惑与陶醉感。在更高浓度会逐渐出现：呼吸困难、肺部浮肿、与支气管肺炎。更进一步会引起，如下列的意气消沉：微弱的呼吸与脉搏、神经过敏、痉挛、</w:t>
                  </w:r>
                </w:p>
              </w:tc>
            </w:tr>
          </w:tbl>
          <w:p w14:paraId="5F33DE39">
            <w:pPr>
              <w:spacing w:line="46" w:lineRule="auto"/>
              <w:rPr>
                <w:rFonts w:ascii="Arial"/>
                <w:sz w:val="2"/>
              </w:rPr>
            </w:pPr>
          </w:p>
        </w:tc>
      </w:tr>
    </w:tbl>
    <w:p w14:paraId="1A9D6CEF">
      <w:pPr>
        <w:pStyle w:val="2"/>
        <w:rPr>
          <w:sz w:val="21"/>
        </w:rPr>
      </w:pPr>
    </w:p>
    <w:p w14:paraId="6FBB697E">
      <w:pPr>
        <w:rPr>
          <w:sz w:val="21"/>
          <w:szCs w:val="21"/>
        </w:rPr>
        <w:sectPr>
          <w:footerReference r:id="rId39" w:type="default"/>
          <w:pgSz w:w="11906" w:h="16839"/>
          <w:pgMar w:top="400" w:right="1451" w:bottom="1009" w:left="1451" w:header="0" w:footer="770" w:gutter="0"/>
          <w:cols w:space="720" w:num="1"/>
        </w:sectPr>
      </w:pPr>
    </w:p>
    <w:p w14:paraId="109A4CC7">
      <w:pPr>
        <w:spacing w:before="19"/>
      </w:pPr>
    </w:p>
    <w:p w14:paraId="0BF038DB">
      <w:pPr>
        <w:spacing w:before="19"/>
      </w:pPr>
    </w:p>
    <w:p w14:paraId="54AEF7CB">
      <w:pPr>
        <w:spacing w:before="19"/>
      </w:pPr>
    </w:p>
    <w:p w14:paraId="01F5527A">
      <w:pPr>
        <w:spacing w:before="18"/>
      </w:pPr>
    </w:p>
    <w:p w14:paraId="47ED592D">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118"/>
        <w:gridCol w:w="475"/>
        <w:gridCol w:w="7447"/>
        <w:gridCol w:w="117"/>
      </w:tblGrid>
      <w:tr w14:paraId="29395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9" w:hRule="atLeast"/>
        </w:trPr>
        <w:tc>
          <w:tcPr>
            <w:tcW w:w="831" w:type="dxa"/>
            <w:vMerge w:val="restart"/>
            <w:tcBorders>
              <w:top w:val="single" w:color="000000" w:sz="6" w:space="0"/>
              <w:left w:val="single" w:color="000000" w:sz="6" w:space="0"/>
              <w:bottom w:val="nil"/>
            </w:tcBorders>
            <w:vAlign w:val="top"/>
          </w:tcPr>
          <w:p w14:paraId="6ECD2BC8">
            <w:pPr>
              <w:rPr>
                <w:rFonts w:ascii="Arial"/>
                <w:sz w:val="21"/>
              </w:rPr>
            </w:pPr>
          </w:p>
        </w:tc>
        <w:tc>
          <w:tcPr>
            <w:tcW w:w="118" w:type="dxa"/>
            <w:tcBorders>
              <w:top w:val="single" w:color="000000" w:sz="6" w:space="0"/>
              <w:bottom w:val="nil"/>
            </w:tcBorders>
            <w:vAlign w:val="top"/>
          </w:tcPr>
          <w:p w14:paraId="42224414">
            <w:pPr>
              <w:rPr>
                <w:rFonts w:ascii="Arial"/>
                <w:sz w:val="21"/>
              </w:rPr>
            </w:pPr>
          </w:p>
        </w:tc>
        <w:tc>
          <w:tcPr>
            <w:tcW w:w="475" w:type="dxa"/>
            <w:vMerge w:val="restart"/>
            <w:tcBorders>
              <w:top w:val="single" w:color="000000" w:sz="6" w:space="0"/>
              <w:bottom w:val="nil"/>
            </w:tcBorders>
            <w:vAlign w:val="top"/>
          </w:tcPr>
          <w:p w14:paraId="60AA218A">
            <w:pPr>
              <w:rPr>
                <w:rFonts w:ascii="Arial"/>
                <w:sz w:val="21"/>
              </w:rPr>
            </w:pPr>
          </w:p>
        </w:tc>
        <w:tc>
          <w:tcPr>
            <w:tcW w:w="7447" w:type="dxa"/>
            <w:tcBorders>
              <w:top w:val="single" w:color="000000" w:sz="6" w:space="0"/>
            </w:tcBorders>
            <w:vAlign w:val="top"/>
          </w:tcPr>
          <w:p w14:paraId="4A0ECF95">
            <w:pPr>
              <w:pStyle w:val="6"/>
              <w:spacing w:before="45"/>
              <w:ind w:left="112" w:right="98"/>
              <w:jc w:val="both"/>
              <w:rPr>
                <w:sz w:val="22"/>
                <w:szCs w:val="22"/>
              </w:rPr>
            </w:pPr>
            <w:r>
              <w:rPr>
                <w:spacing w:val="-1"/>
                <w:sz w:val="22"/>
                <w:szCs w:val="22"/>
              </w:rPr>
              <w:t>兴奋性、与运动失调。严重的中毒会导致精神错乱、无意识、昏迷、与癫痫发作的抽筋。另外也会影响：肝脏、肾脏、脾脏、脑部、心肌与胰脏。会由于呼吸或循环不足或心室纤维颤动而引起死亡</w:t>
            </w:r>
            <w:r>
              <w:rPr>
                <w:spacing w:val="-2"/>
                <w:sz w:val="22"/>
                <w:szCs w:val="22"/>
              </w:rPr>
              <w:t>。极高度的浓度会引起窒息。</w:t>
            </w:r>
          </w:p>
          <w:p w14:paraId="09E1E747">
            <w:pPr>
              <w:pStyle w:val="6"/>
              <w:spacing w:before="1" w:line="238" w:lineRule="auto"/>
              <w:ind w:left="108" w:right="133" w:hanging="1"/>
              <w:rPr>
                <w:sz w:val="22"/>
                <w:szCs w:val="22"/>
              </w:rPr>
            </w:pPr>
            <w:r>
              <w:rPr>
                <w:spacing w:val="-2"/>
                <w:sz w:val="22"/>
                <w:szCs w:val="22"/>
              </w:rPr>
              <w:t>③皮肤：液体会引起带有红斑与疼痛的刺激。长期或大量接触会引起水泡；</w:t>
            </w:r>
            <w:r>
              <w:rPr>
                <w:spacing w:val="-1"/>
                <w:sz w:val="22"/>
                <w:szCs w:val="22"/>
              </w:rPr>
              <w:t>且在极端情况下会引起表皮损坏。</w:t>
            </w:r>
          </w:p>
          <w:p w14:paraId="68BA1328">
            <w:pPr>
              <w:pStyle w:val="6"/>
              <w:spacing w:before="3" w:line="222" w:lineRule="auto"/>
              <w:ind w:left="110" w:right="84" w:hanging="3"/>
              <w:rPr>
                <w:sz w:val="22"/>
                <w:szCs w:val="22"/>
              </w:rPr>
            </w:pPr>
            <w:r>
              <w:rPr>
                <w:spacing w:val="-1"/>
                <w:sz w:val="22"/>
                <w:szCs w:val="22"/>
              </w:rPr>
              <w:t>④眼睛：浓度在</w:t>
            </w:r>
            <w:r>
              <w:rPr>
                <w:spacing w:val="-50"/>
                <w:sz w:val="22"/>
                <w:szCs w:val="22"/>
              </w:rPr>
              <w:t xml:space="preserve"> </w:t>
            </w:r>
            <w:r>
              <w:rPr>
                <w:rFonts w:ascii="Times New Roman" w:hAnsi="Times New Roman" w:eastAsia="Times New Roman" w:cs="Times New Roman"/>
                <w:spacing w:val="-1"/>
                <w:sz w:val="22"/>
                <w:szCs w:val="22"/>
              </w:rPr>
              <w:t>270ppm</w:t>
            </w:r>
            <w:r>
              <w:rPr>
                <w:spacing w:val="-1"/>
                <w:sz w:val="22"/>
                <w:szCs w:val="22"/>
              </w:rPr>
              <w:t>～</w:t>
            </w:r>
            <w:r>
              <w:rPr>
                <w:rFonts w:ascii="Times New Roman" w:hAnsi="Times New Roman" w:eastAsia="Times New Roman" w:cs="Times New Roman"/>
                <w:spacing w:val="-1"/>
                <w:sz w:val="22"/>
                <w:szCs w:val="22"/>
              </w:rPr>
              <w:t>900ppm</w:t>
            </w:r>
            <w:r>
              <w:rPr>
                <w:rFonts w:ascii="Times New Roman" w:hAnsi="Times New Roman" w:eastAsia="Times New Roman" w:cs="Times New Roman"/>
                <w:spacing w:val="25"/>
                <w:sz w:val="22"/>
                <w:szCs w:val="22"/>
              </w:rPr>
              <w:t xml:space="preserve"> </w:t>
            </w:r>
            <w:r>
              <w:rPr>
                <w:spacing w:val="-1"/>
                <w:sz w:val="22"/>
                <w:szCs w:val="22"/>
              </w:rPr>
              <w:t>间，通</w:t>
            </w:r>
            <w:r>
              <w:rPr>
                <w:spacing w:val="-2"/>
                <w:sz w:val="22"/>
                <w:szCs w:val="22"/>
              </w:rPr>
              <w:t>常在症状（如：明显的结膜充血）</w:t>
            </w:r>
            <w:r>
              <w:rPr>
                <w:spacing w:val="-1"/>
                <w:sz w:val="22"/>
                <w:szCs w:val="22"/>
              </w:rPr>
              <w:t>之前会引起刺激感觉。液体挥溅在眼睛上，会引起疼痛、剧痛的与脆弱的、短暂的角膜上皮的困扰。角膜充血与浮肿会发生。</w:t>
            </w:r>
          </w:p>
        </w:tc>
        <w:tc>
          <w:tcPr>
            <w:tcW w:w="117" w:type="dxa"/>
            <w:tcBorders>
              <w:top w:val="single" w:color="000000" w:sz="6" w:space="0"/>
              <w:bottom w:val="nil"/>
              <w:right w:val="single" w:color="000000" w:sz="6" w:space="0"/>
            </w:tcBorders>
            <w:vAlign w:val="top"/>
          </w:tcPr>
          <w:p w14:paraId="52699284">
            <w:pPr>
              <w:rPr>
                <w:rFonts w:ascii="Arial"/>
                <w:sz w:val="21"/>
              </w:rPr>
            </w:pPr>
          </w:p>
        </w:tc>
      </w:tr>
      <w:tr w14:paraId="60BF1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831" w:type="dxa"/>
            <w:vMerge w:val="continue"/>
            <w:tcBorders>
              <w:top w:val="nil"/>
              <w:left w:val="single" w:color="000000" w:sz="6" w:space="0"/>
              <w:bottom w:val="nil"/>
            </w:tcBorders>
            <w:vAlign w:val="top"/>
          </w:tcPr>
          <w:p w14:paraId="7DA174B8">
            <w:pPr>
              <w:rPr>
                <w:rFonts w:ascii="Arial"/>
                <w:sz w:val="21"/>
              </w:rPr>
            </w:pPr>
          </w:p>
        </w:tc>
        <w:tc>
          <w:tcPr>
            <w:tcW w:w="118" w:type="dxa"/>
            <w:tcBorders>
              <w:top w:val="nil"/>
              <w:bottom w:val="nil"/>
            </w:tcBorders>
            <w:vAlign w:val="top"/>
          </w:tcPr>
          <w:p w14:paraId="599FBCF2">
            <w:pPr>
              <w:rPr>
                <w:rFonts w:ascii="Arial"/>
                <w:sz w:val="21"/>
              </w:rPr>
            </w:pPr>
          </w:p>
        </w:tc>
        <w:tc>
          <w:tcPr>
            <w:tcW w:w="475" w:type="dxa"/>
            <w:vMerge w:val="continue"/>
            <w:tcBorders>
              <w:top w:val="nil"/>
            </w:tcBorders>
            <w:vAlign w:val="top"/>
          </w:tcPr>
          <w:p w14:paraId="46E090B2">
            <w:pPr>
              <w:rPr>
                <w:rFonts w:ascii="Arial"/>
                <w:sz w:val="21"/>
              </w:rPr>
            </w:pPr>
          </w:p>
        </w:tc>
        <w:tc>
          <w:tcPr>
            <w:tcW w:w="7447" w:type="dxa"/>
            <w:vAlign w:val="top"/>
          </w:tcPr>
          <w:p w14:paraId="7715F5C8">
            <w:pPr>
              <w:pStyle w:val="6"/>
              <w:spacing w:before="54" w:line="207" w:lineRule="auto"/>
              <w:ind w:left="109"/>
              <w:rPr>
                <w:sz w:val="22"/>
                <w:szCs w:val="22"/>
              </w:rPr>
            </w:pPr>
            <w:r>
              <w:rPr>
                <w:spacing w:val="-1"/>
                <w:sz w:val="22"/>
                <w:szCs w:val="22"/>
              </w:rPr>
              <w:t>燃爆危险性：易燃液体。</w:t>
            </w:r>
          </w:p>
        </w:tc>
        <w:tc>
          <w:tcPr>
            <w:tcW w:w="117" w:type="dxa"/>
            <w:tcBorders>
              <w:top w:val="nil"/>
              <w:bottom w:val="nil"/>
              <w:right w:val="single" w:color="000000" w:sz="6" w:space="0"/>
            </w:tcBorders>
            <w:vAlign w:val="top"/>
          </w:tcPr>
          <w:p w14:paraId="4A0C8EE9">
            <w:pPr>
              <w:rPr>
                <w:rFonts w:ascii="Arial"/>
                <w:sz w:val="21"/>
              </w:rPr>
            </w:pPr>
          </w:p>
        </w:tc>
      </w:tr>
      <w:tr w14:paraId="6BC8A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6" w:hRule="atLeast"/>
        </w:trPr>
        <w:tc>
          <w:tcPr>
            <w:tcW w:w="831" w:type="dxa"/>
            <w:vMerge w:val="continue"/>
            <w:tcBorders>
              <w:top w:val="nil"/>
              <w:left w:val="single" w:color="000000" w:sz="6" w:space="0"/>
              <w:bottom w:val="single" w:color="000000" w:sz="6" w:space="0"/>
            </w:tcBorders>
            <w:vAlign w:val="top"/>
          </w:tcPr>
          <w:p w14:paraId="4D72F46B">
            <w:pPr>
              <w:rPr>
                <w:rFonts w:ascii="Arial"/>
                <w:sz w:val="21"/>
              </w:rPr>
            </w:pPr>
          </w:p>
        </w:tc>
        <w:tc>
          <w:tcPr>
            <w:tcW w:w="8157" w:type="dxa"/>
            <w:gridSpan w:val="4"/>
            <w:tcBorders>
              <w:bottom w:val="single" w:color="000000" w:sz="6" w:space="0"/>
              <w:right w:val="single" w:color="000000" w:sz="6" w:space="0"/>
            </w:tcBorders>
            <w:vAlign w:val="top"/>
          </w:tcPr>
          <w:p w14:paraId="37FC520F">
            <w:pPr>
              <w:spacing w:line="262" w:lineRule="auto"/>
              <w:rPr>
                <w:rFonts w:ascii="Arial"/>
                <w:sz w:val="21"/>
              </w:rPr>
            </w:pPr>
          </w:p>
          <w:p w14:paraId="151C091E">
            <w:pPr>
              <w:spacing w:line="263" w:lineRule="auto"/>
              <w:rPr>
                <w:rFonts w:ascii="Arial"/>
                <w:sz w:val="21"/>
              </w:rPr>
            </w:pPr>
          </w:p>
          <w:p w14:paraId="6094FBFE">
            <w:pPr>
              <w:pStyle w:val="6"/>
              <w:spacing w:before="82" w:line="226" w:lineRule="auto"/>
              <w:ind w:left="106"/>
            </w:pPr>
            <w:r>
              <w:rPr>
                <w:rFonts w:ascii="Times New Roman" w:hAnsi="Times New Roman" w:eastAsia="Times New Roman" w:cs="Times New Roman"/>
                <w:b/>
                <w:bCs/>
                <w:spacing w:val="5"/>
              </w:rPr>
              <w:t>2.6</w:t>
            </w:r>
            <w:r>
              <w:rPr>
                <w:rFonts w:ascii="Times New Roman" w:hAnsi="Times New Roman" w:eastAsia="Times New Roman" w:cs="Times New Roman"/>
                <w:b/>
                <w:bCs/>
                <w:spacing w:val="19"/>
                <w:w w:val="101"/>
              </w:rPr>
              <w:t xml:space="preserve"> </w:t>
            </w:r>
            <w:r>
              <w:rPr>
                <w:b/>
                <w:bCs/>
                <w:spacing w:val="5"/>
              </w:rPr>
              <w:t>劳动定员及工作制度</w:t>
            </w:r>
          </w:p>
          <w:p w14:paraId="031F07E8">
            <w:pPr>
              <w:pStyle w:val="6"/>
              <w:spacing w:before="153" w:line="340" w:lineRule="auto"/>
              <w:ind w:left="115" w:right="102" w:firstLine="514"/>
            </w:pPr>
            <w:r>
              <w:rPr>
                <w:spacing w:val="9"/>
              </w:rPr>
              <w:t>本项目改扩建后不新增劳动定员，劳动定员仍为</w:t>
            </w:r>
            <w:r>
              <w:rPr>
                <w:spacing w:val="-19"/>
              </w:rPr>
              <w:t xml:space="preserve"> </w:t>
            </w:r>
            <w:r>
              <w:rPr>
                <w:rFonts w:ascii="Times New Roman" w:hAnsi="Times New Roman" w:eastAsia="Times New Roman" w:cs="Times New Roman"/>
                <w:spacing w:val="9"/>
              </w:rPr>
              <w:t>10</w:t>
            </w:r>
            <w:r>
              <w:rPr>
                <w:rFonts w:ascii="Times New Roman" w:hAnsi="Times New Roman" w:eastAsia="Times New Roman" w:cs="Times New Roman"/>
                <w:spacing w:val="19"/>
              </w:rPr>
              <w:t xml:space="preserve"> </w:t>
            </w:r>
            <w:r>
              <w:rPr>
                <w:spacing w:val="9"/>
              </w:rPr>
              <w:t>人；全年</w:t>
            </w:r>
            <w:r>
              <w:rPr>
                <w:spacing w:val="-45"/>
              </w:rPr>
              <w:t xml:space="preserve"> </w:t>
            </w:r>
            <w:r>
              <w:rPr>
                <w:rFonts w:ascii="Times New Roman" w:hAnsi="Times New Roman" w:eastAsia="Times New Roman" w:cs="Times New Roman"/>
                <w:spacing w:val="9"/>
              </w:rPr>
              <w:t>365</w:t>
            </w:r>
            <w:r>
              <w:rPr>
                <w:spacing w:val="4"/>
              </w:rPr>
              <w:t>天</w:t>
            </w:r>
            <w:r>
              <w:rPr>
                <w:spacing w:val="-42"/>
              </w:rPr>
              <w:t xml:space="preserve"> </w:t>
            </w:r>
            <w:r>
              <w:rPr>
                <w:rFonts w:ascii="Times New Roman" w:hAnsi="Times New Roman" w:eastAsia="Times New Roman" w:cs="Times New Roman"/>
                <w:spacing w:val="4"/>
              </w:rPr>
              <w:t>24</w:t>
            </w:r>
            <w:r>
              <w:rPr>
                <w:rFonts w:ascii="Times New Roman" w:hAnsi="Times New Roman" w:eastAsia="Times New Roman" w:cs="Times New Roman"/>
                <w:spacing w:val="19"/>
              </w:rPr>
              <w:t xml:space="preserve"> </w:t>
            </w:r>
            <w:r>
              <w:rPr>
                <w:spacing w:val="4"/>
              </w:rPr>
              <w:t>小时营业，三班制，每班</w:t>
            </w:r>
            <w:r>
              <w:rPr>
                <w:spacing w:val="-42"/>
              </w:rPr>
              <w:t xml:space="preserve"> </w:t>
            </w:r>
            <w:r>
              <w:rPr>
                <w:rFonts w:ascii="Times New Roman" w:hAnsi="Times New Roman" w:eastAsia="Times New Roman" w:cs="Times New Roman"/>
                <w:spacing w:val="4"/>
              </w:rPr>
              <w:t>8h</w:t>
            </w:r>
            <w:r>
              <w:rPr>
                <w:spacing w:val="4"/>
              </w:rPr>
              <w:t>。</w:t>
            </w:r>
          </w:p>
          <w:p w14:paraId="0D6C9E97">
            <w:pPr>
              <w:pStyle w:val="6"/>
              <w:spacing w:before="1" w:line="225" w:lineRule="auto"/>
              <w:ind w:left="106"/>
            </w:pPr>
            <w:r>
              <w:rPr>
                <w:rFonts w:ascii="Times New Roman" w:hAnsi="Times New Roman" w:eastAsia="Times New Roman" w:cs="Times New Roman"/>
                <w:b/>
                <w:bCs/>
                <w:spacing w:val="6"/>
              </w:rPr>
              <w:t xml:space="preserve">2.7 </w:t>
            </w:r>
            <w:r>
              <w:rPr>
                <w:b/>
                <w:bCs/>
                <w:spacing w:val="6"/>
              </w:rPr>
              <w:t>用排水分析及水平衡</w:t>
            </w:r>
          </w:p>
          <w:p w14:paraId="3405B6CB">
            <w:pPr>
              <w:pStyle w:val="6"/>
              <w:spacing w:before="153" w:line="340" w:lineRule="auto"/>
              <w:ind w:left="113" w:right="105" w:firstLine="516"/>
            </w:pPr>
            <w:r>
              <w:rPr>
                <w:spacing w:val="14"/>
              </w:rPr>
              <w:t>本项目用水由市政管网提供，用水去向主要为生活用水及生产用</w:t>
            </w:r>
            <w:r>
              <w:rPr>
                <w:spacing w:val="-3"/>
              </w:rPr>
              <w:t>水。</w:t>
            </w:r>
          </w:p>
          <w:p w14:paraId="560BE6E8">
            <w:pPr>
              <w:pStyle w:val="6"/>
              <w:spacing w:before="1" w:line="225" w:lineRule="auto"/>
              <w:ind w:left="640"/>
            </w:pPr>
            <w:r>
              <w:rPr>
                <w:spacing w:val="6"/>
              </w:rPr>
              <w:t>（</w:t>
            </w:r>
            <w:r>
              <w:rPr>
                <w:rFonts w:ascii="Times New Roman" w:hAnsi="Times New Roman" w:eastAsia="Times New Roman" w:cs="Times New Roman"/>
                <w:spacing w:val="6"/>
              </w:rPr>
              <w:t>1</w:t>
            </w:r>
            <w:r>
              <w:rPr>
                <w:spacing w:val="6"/>
              </w:rPr>
              <w:t>）生活用水</w:t>
            </w:r>
          </w:p>
          <w:p w14:paraId="3C8EF3C6">
            <w:pPr>
              <w:pStyle w:val="6"/>
              <w:spacing w:before="153" w:line="340" w:lineRule="auto"/>
              <w:ind w:left="110" w:right="102" w:firstLine="519"/>
            </w:pPr>
            <w:r>
              <w:rPr>
                <w:spacing w:val="5"/>
              </w:rPr>
              <w:t>本项目营运期生活用水主要为员工、司乘人员生活用水。加油站改扩建后劳动定员为</w:t>
            </w:r>
            <w:r>
              <w:rPr>
                <w:spacing w:val="-30"/>
              </w:rPr>
              <w:t xml:space="preserve"> </w:t>
            </w:r>
            <w:r>
              <w:rPr>
                <w:rFonts w:ascii="Times New Roman" w:hAnsi="Times New Roman" w:eastAsia="Times New Roman" w:cs="Times New Roman"/>
                <w:spacing w:val="5"/>
              </w:rPr>
              <w:t xml:space="preserve">10 </w:t>
            </w:r>
            <w:r>
              <w:rPr>
                <w:spacing w:val="5"/>
              </w:rPr>
              <w:t>人，司乘人员约</w:t>
            </w:r>
            <w:r>
              <w:rPr>
                <w:spacing w:val="-29"/>
              </w:rPr>
              <w:t xml:space="preserve"> </w:t>
            </w:r>
            <w:r>
              <w:rPr>
                <w:rFonts w:ascii="Times New Roman" w:hAnsi="Times New Roman" w:eastAsia="Times New Roman" w:cs="Times New Roman"/>
                <w:spacing w:val="5"/>
              </w:rPr>
              <w:t>15</w:t>
            </w:r>
            <w:r>
              <w:rPr>
                <w:rFonts w:ascii="Times New Roman" w:hAnsi="Times New Roman" w:eastAsia="Times New Roman" w:cs="Times New Roman"/>
                <w:spacing w:val="4"/>
              </w:rPr>
              <w:t xml:space="preserve">0 </w:t>
            </w:r>
            <w:r>
              <w:rPr>
                <w:spacing w:val="4"/>
              </w:rPr>
              <w:t>人</w:t>
            </w:r>
            <w:r>
              <w:rPr>
                <w:rFonts w:ascii="Times New Roman" w:hAnsi="Times New Roman" w:eastAsia="Times New Roman" w:cs="Times New Roman"/>
                <w:spacing w:val="4"/>
              </w:rPr>
              <w:t>/d</w:t>
            </w:r>
            <w:r>
              <w:rPr>
                <w:spacing w:val="4"/>
              </w:rPr>
              <w:t>。</w:t>
            </w:r>
          </w:p>
          <w:p w14:paraId="6B8E234D">
            <w:pPr>
              <w:pStyle w:val="6"/>
              <w:spacing w:before="4" w:line="339" w:lineRule="auto"/>
              <w:ind w:left="110" w:firstLine="522"/>
              <w:jc w:val="both"/>
            </w:pPr>
            <w:r>
              <w:rPr>
                <w:spacing w:val="11"/>
              </w:rPr>
              <w:t>项目用水定额参照《重庆市第二三产业用水定额（</w:t>
            </w:r>
            <w:r>
              <w:rPr>
                <w:rFonts w:ascii="Times New Roman" w:hAnsi="Times New Roman" w:eastAsia="Times New Roman" w:cs="Times New Roman"/>
                <w:spacing w:val="11"/>
              </w:rPr>
              <w:t xml:space="preserve">2020 </w:t>
            </w:r>
            <w:r>
              <w:rPr>
                <w:spacing w:val="11"/>
              </w:rPr>
              <w:t>年版）》</w:t>
            </w:r>
            <w:r>
              <w:rPr>
                <w:spacing w:val="17"/>
              </w:rPr>
              <w:t xml:space="preserve"> </w:t>
            </w:r>
            <w:r>
              <w:rPr>
                <w:spacing w:val="-2"/>
              </w:rPr>
              <w:t>（渝水〔</w:t>
            </w:r>
            <w:r>
              <w:rPr>
                <w:rFonts w:ascii="Times New Roman" w:hAnsi="Times New Roman" w:eastAsia="Times New Roman" w:cs="Times New Roman"/>
                <w:spacing w:val="-2"/>
              </w:rPr>
              <w:t>2021</w:t>
            </w:r>
            <w:r>
              <w:rPr>
                <w:spacing w:val="-2"/>
              </w:rPr>
              <w:t>〕</w:t>
            </w:r>
            <w:r>
              <w:rPr>
                <w:rFonts w:ascii="Times New Roman" w:hAnsi="Times New Roman" w:eastAsia="Times New Roman" w:cs="Times New Roman"/>
                <w:spacing w:val="-2"/>
              </w:rPr>
              <w:t>56</w:t>
            </w:r>
            <w:r>
              <w:rPr>
                <w:rFonts w:ascii="Times New Roman" w:hAnsi="Times New Roman" w:eastAsia="Times New Roman" w:cs="Times New Roman"/>
                <w:spacing w:val="19"/>
              </w:rPr>
              <w:t xml:space="preserve"> </w:t>
            </w:r>
            <w:r>
              <w:rPr>
                <w:spacing w:val="-2"/>
              </w:rPr>
              <w:t>号）以及《建筑给水排</w:t>
            </w:r>
            <w:r>
              <w:rPr>
                <w:spacing w:val="-3"/>
              </w:rPr>
              <w:t>水设计标准》（</w:t>
            </w:r>
            <w:r>
              <w:rPr>
                <w:rFonts w:ascii="Times New Roman" w:hAnsi="Times New Roman" w:eastAsia="Times New Roman" w:cs="Times New Roman"/>
                <w:spacing w:val="-3"/>
              </w:rPr>
              <w:t>GB50015-2019</w:t>
            </w:r>
            <w:r>
              <w:rPr>
                <w:spacing w:val="-3"/>
              </w:rPr>
              <w:t>）</w:t>
            </w:r>
            <w:r>
              <w:rPr>
                <w:spacing w:val="6"/>
              </w:rPr>
              <w:t>等相关规范要求，结合加油站实际情况考虑，</w:t>
            </w:r>
            <w:r>
              <w:rPr>
                <w:spacing w:val="5"/>
              </w:rPr>
              <w:t>员工涉及工作生活及住宿</w:t>
            </w:r>
            <w:r>
              <w:rPr>
                <w:spacing w:val="1"/>
              </w:rPr>
              <w:t>用水量按</w:t>
            </w:r>
            <w:r>
              <w:rPr>
                <w:spacing w:val="-30"/>
              </w:rPr>
              <w:t xml:space="preserve"> </w:t>
            </w:r>
            <w:r>
              <w:rPr>
                <w:rFonts w:ascii="Times New Roman" w:hAnsi="Times New Roman" w:eastAsia="Times New Roman" w:cs="Times New Roman"/>
                <w:spacing w:val="1"/>
              </w:rPr>
              <w:t>150L/</w:t>
            </w:r>
            <w:r>
              <w:rPr>
                <w:spacing w:val="1"/>
              </w:rPr>
              <w:t>人</w:t>
            </w:r>
            <w:r>
              <w:rPr>
                <w:spacing w:val="-25"/>
              </w:rPr>
              <w:t xml:space="preserve"> </w:t>
            </w:r>
            <w:r>
              <w:rPr>
                <w:spacing w:val="1"/>
              </w:rPr>
              <w:t>·</w:t>
            </w:r>
            <w:r>
              <w:rPr>
                <w:rFonts w:ascii="Times New Roman" w:hAnsi="Times New Roman" w:eastAsia="Times New Roman" w:cs="Times New Roman"/>
                <w:spacing w:val="1"/>
              </w:rPr>
              <w:t xml:space="preserve">d </w:t>
            </w:r>
            <w:r>
              <w:rPr>
                <w:spacing w:val="1"/>
              </w:rPr>
              <w:t>计，为</w:t>
            </w:r>
            <w:r>
              <w:rPr>
                <w:spacing w:val="-30"/>
              </w:rPr>
              <w:t xml:space="preserve"> </w:t>
            </w:r>
            <w:r>
              <w:rPr>
                <w:rFonts w:ascii="Times New Roman" w:hAnsi="Times New Roman" w:eastAsia="Times New Roman" w:cs="Times New Roman"/>
                <w:spacing w:val="1"/>
              </w:rPr>
              <w:t>10</w:t>
            </w:r>
            <w:r>
              <w:rPr>
                <w:rFonts w:ascii="Times New Roman" w:hAnsi="Times New Roman" w:eastAsia="Times New Roman" w:cs="Times New Roman"/>
                <w:spacing w:val="17"/>
              </w:rPr>
              <w:t xml:space="preserve"> </w:t>
            </w:r>
            <w:r>
              <w:rPr>
                <w:spacing w:val="1"/>
              </w:rPr>
              <w:t>人，司乘人</w:t>
            </w:r>
            <w:r>
              <w:t>员用水量参照“航站楼、客运站旅客</w:t>
            </w:r>
            <w:r>
              <w:rPr>
                <w:spacing w:val="-49"/>
              </w:rPr>
              <w:t xml:space="preserve"> </w:t>
            </w:r>
            <w:r>
              <w:rPr>
                <w:rFonts w:ascii="Times New Roman" w:hAnsi="Times New Roman" w:eastAsia="Times New Roman" w:cs="Times New Roman"/>
              </w:rPr>
              <w:t>3~6L/</w:t>
            </w:r>
            <w:r>
              <w:t>人</w:t>
            </w:r>
            <w:r>
              <w:rPr>
                <w:spacing w:val="-26"/>
              </w:rPr>
              <w:t xml:space="preserve"> </w:t>
            </w:r>
            <w:r>
              <w:t>·次</w:t>
            </w:r>
            <w:r>
              <w:rPr>
                <w:spacing w:val="-90"/>
              </w:rPr>
              <w:t xml:space="preserve"> </w:t>
            </w:r>
            <w:r>
              <w:t>”，按</w:t>
            </w:r>
            <w:r>
              <w:rPr>
                <w:spacing w:val="-45"/>
              </w:rPr>
              <w:t xml:space="preserve"> </w:t>
            </w:r>
            <w:r>
              <w:rPr>
                <w:rFonts w:ascii="Times New Roman" w:hAnsi="Times New Roman" w:eastAsia="Times New Roman" w:cs="Times New Roman"/>
              </w:rPr>
              <w:t>5L/</w:t>
            </w:r>
            <w:r>
              <w:t>人</w:t>
            </w:r>
            <w:r>
              <w:rPr>
                <w:spacing w:val="-24"/>
              </w:rPr>
              <w:t xml:space="preserve"> </w:t>
            </w:r>
            <w:r>
              <w:t>·次计，生活污水排污系数取</w:t>
            </w:r>
            <w:r>
              <w:rPr>
                <w:spacing w:val="-50"/>
              </w:rPr>
              <w:t xml:space="preserve"> </w:t>
            </w:r>
            <w:r>
              <w:rPr>
                <w:rFonts w:ascii="Times New Roman" w:hAnsi="Times New Roman" w:eastAsia="Times New Roman" w:cs="Times New Roman"/>
              </w:rPr>
              <w:t>0.9</w:t>
            </w:r>
            <w:r>
              <w:rPr>
                <w:rFonts w:ascii="Times New Roman" w:hAnsi="Times New Roman" w:eastAsia="Times New Roman" w:cs="Times New Roman"/>
                <w:spacing w:val="-29"/>
              </w:rPr>
              <w:t xml:space="preserve"> </w:t>
            </w:r>
            <w:r>
              <w:t>，</w:t>
            </w:r>
            <w:r>
              <w:rPr>
                <w:spacing w:val="7"/>
              </w:rPr>
              <w:t>则本项目实施后站内生活用水共计约</w:t>
            </w:r>
            <w:r>
              <w:rPr>
                <w:spacing w:val="-53"/>
              </w:rPr>
              <w:t xml:space="preserve"> </w:t>
            </w:r>
            <w:r>
              <w:rPr>
                <w:rFonts w:ascii="Times New Roman" w:hAnsi="Times New Roman" w:eastAsia="Times New Roman" w:cs="Times New Roman"/>
                <w:spacing w:val="7"/>
              </w:rPr>
              <w:t>2.25m</w:t>
            </w:r>
            <w:r>
              <w:rPr>
                <w:rFonts w:ascii="Times New Roman" w:hAnsi="Times New Roman" w:eastAsia="Times New Roman" w:cs="Times New Roman"/>
                <w:spacing w:val="7"/>
                <w:position w:val="8"/>
                <w:sz w:val="16"/>
                <w:szCs w:val="16"/>
              </w:rPr>
              <w:t>3</w:t>
            </w:r>
            <w:r>
              <w:rPr>
                <w:rFonts w:ascii="Times New Roman" w:hAnsi="Times New Roman" w:eastAsia="Times New Roman" w:cs="Times New Roman"/>
                <w:spacing w:val="7"/>
              </w:rPr>
              <w:t>/d</w:t>
            </w:r>
            <w:r>
              <w:rPr>
                <w:spacing w:val="7"/>
              </w:rPr>
              <w:t>（</w:t>
            </w:r>
            <w:r>
              <w:rPr>
                <w:rFonts w:ascii="Times New Roman" w:hAnsi="Times New Roman" w:eastAsia="Times New Roman" w:cs="Times New Roman"/>
                <w:spacing w:val="7"/>
              </w:rPr>
              <w:t>821.25m</w:t>
            </w:r>
            <w:r>
              <w:rPr>
                <w:rFonts w:ascii="Times New Roman" w:hAnsi="Times New Roman" w:eastAsia="Times New Roman" w:cs="Times New Roman"/>
                <w:spacing w:val="7"/>
                <w:position w:val="8"/>
                <w:sz w:val="16"/>
                <w:szCs w:val="16"/>
              </w:rPr>
              <w:t>3</w:t>
            </w:r>
            <w:r>
              <w:rPr>
                <w:rFonts w:ascii="Times New Roman" w:hAnsi="Times New Roman" w:eastAsia="Times New Roman" w:cs="Times New Roman"/>
                <w:spacing w:val="7"/>
              </w:rPr>
              <w:t>/a</w:t>
            </w:r>
            <w:r>
              <w:rPr>
                <w:spacing w:val="19"/>
              </w:rPr>
              <w:t>），</w:t>
            </w:r>
            <w:r>
              <w:rPr>
                <w:spacing w:val="7"/>
              </w:rPr>
              <w:t>生活污</w:t>
            </w:r>
            <w:r>
              <w:rPr>
                <w:spacing w:val="3"/>
              </w:rPr>
              <w:t>水产生量约</w:t>
            </w:r>
            <w:r>
              <w:rPr>
                <w:spacing w:val="-38"/>
              </w:rPr>
              <w:t xml:space="preserve"> </w:t>
            </w:r>
            <w:r>
              <w:rPr>
                <w:rFonts w:ascii="Times New Roman" w:hAnsi="Times New Roman" w:eastAsia="Times New Roman" w:cs="Times New Roman"/>
                <w:spacing w:val="3"/>
              </w:rPr>
              <w:t>2.025m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rPr>
              <w:t>/d</w:t>
            </w:r>
            <w:r>
              <w:rPr>
                <w:spacing w:val="3"/>
              </w:rPr>
              <w:t>（</w:t>
            </w:r>
            <w:r>
              <w:rPr>
                <w:rFonts w:ascii="Times New Roman" w:hAnsi="Times New Roman" w:eastAsia="Times New Roman" w:cs="Times New Roman"/>
                <w:spacing w:val="3"/>
              </w:rPr>
              <w:t>739.</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125m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rPr>
              <w:t>/a</w:t>
            </w:r>
            <w:r>
              <w:rPr>
                <w:spacing w:val="3"/>
              </w:rPr>
              <w:t>）。</w:t>
            </w:r>
          </w:p>
          <w:p w14:paraId="0F623093">
            <w:pPr>
              <w:pStyle w:val="6"/>
              <w:spacing w:before="1" w:line="225" w:lineRule="auto"/>
              <w:ind w:left="640"/>
            </w:pPr>
            <w:r>
              <w:rPr>
                <w:spacing w:val="6"/>
              </w:rPr>
              <w:t>（</w:t>
            </w:r>
            <w:r>
              <w:rPr>
                <w:rFonts w:ascii="Times New Roman" w:hAnsi="Times New Roman" w:eastAsia="Times New Roman" w:cs="Times New Roman"/>
                <w:spacing w:val="6"/>
              </w:rPr>
              <w:t>2</w:t>
            </w:r>
            <w:r>
              <w:rPr>
                <w:spacing w:val="6"/>
              </w:rPr>
              <w:t>）生产用水</w:t>
            </w:r>
          </w:p>
          <w:p w14:paraId="38473EE4">
            <w:pPr>
              <w:pStyle w:val="6"/>
              <w:spacing w:before="155" w:line="317" w:lineRule="auto"/>
              <w:ind w:left="109" w:firstLine="519"/>
            </w:pPr>
            <w:r>
              <w:rPr>
                <w:spacing w:val="11"/>
              </w:rPr>
              <w:t>本项目营运期生产用水主要为场地冲洗用水。场地冲洗按一周</w:t>
            </w:r>
            <w:r>
              <w:rPr>
                <w:rFonts w:ascii="Times New Roman" w:hAnsi="Times New Roman" w:eastAsia="Times New Roman" w:cs="Times New Roman"/>
                <w:spacing w:val="11"/>
              </w:rPr>
              <w:t>/</w:t>
            </w:r>
            <w:r>
              <w:rPr>
                <w:spacing w:val="11"/>
              </w:rPr>
              <w:t>次</w:t>
            </w:r>
            <w:r>
              <w:rPr>
                <w:spacing w:val="-7"/>
              </w:rPr>
              <w:t>考虑，冲洗区域主要为卸油区、加油区，每次冲洗废水量</w:t>
            </w:r>
            <w:r>
              <w:rPr>
                <w:spacing w:val="-8"/>
              </w:rPr>
              <w:t>按为</w:t>
            </w:r>
            <w:r>
              <w:rPr>
                <w:spacing w:val="-55"/>
              </w:rPr>
              <w:t xml:space="preserve"> </w:t>
            </w:r>
            <w:r>
              <w:rPr>
                <w:rFonts w:ascii="Times New Roman" w:hAnsi="Times New Roman" w:eastAsia="Times New Roman" w:cs="Times New Roman"/>
                <w:spacing w:val="-8"/>
              </w:rPr>
              <w:t>2L/m</w:t>
            </w:r>
            <w:r>
              <w:rPr>
                <w:rFonts w:ascii="Times New Roman" w:hAnsi="Times New Roman" w:eastAsia="Times New Roman" w:cs="Times New Roman"/>
                <w:spacing w:val="-8"/>
                <w:position w:val="8"/>
                <w:sz w:val="16"/>
                <w:szCs w:val="16"/>
              </w:rPr>
              <w:t>2</w:t>
            </w:r>
            <w:r>
              <w:rPr>
                <w:rFonts w:ascii="Times New Roman" w:hAnsi="Times New Roman" w:eastAsia="Times New Roman" w:cs="Times New Roman"/>
                <w:spacing w:val="9"/>
                <w:position w:val="8"/>
                <w:sz w:val="16"/>
                <w:szCs w:val="16"/>
              </w:rPr>
              <w:t xml:space="preserve">  </w:t>
            </w:r>
            <w:r>
              <w:rPr>
                <w:spacing w:val="-8"/>
              </w:rPr>
              <w:t>·次，</w:t>
            </w:r>
            <w:r>
              <w:rPr>
                <w:spacing w:val="2"/>
              </w:rPr>
              <w:t>场地冲洗面积（罩棚下加油区对应地面及卸油区对应地面</w:t>
            </w:r>
            <w:r>
              <w:rPr>
                <w:spacing w:val="1"/>
              </w:rPr>
              <w:t>）约为</w:t>
            </w:r>
            <w:r>
              <w:rPr>
                <w:spacing w:val="-47"/>
              </w:rPr>
              <w:t xml:space="preserve"> </w:t>
            </w:r>
            <w:r>
              <w:rPr>
                <w:rFonts w:ascii="Times New Roman" w:hAnsi="Times New Roman" w:eastAsia="Times New Roman" w:cs="Times New Roman"/>
                <w:spacing w:val="1"/>
              </w:rPr>
              <w:t>333m</w:t>
            </w:r>
            <w:r>
              <w:rPr>
                <w:rFonts w:ascii="Times New Roman" w:hAnsi="Times New Roman" w:eastAsia="Times New Roman" w:cs="Times New Roman"/>
                <w:spacing w:val="1"/>
                <w:position w:val="8"/>
                <w:sz w:val="16"/>
                <w:szCs w:val="16"/>
              </w:rPr>
              <w:t>2</w:t>
            </w:r>
            <w:r>
              <w:rPr>
                <w:spacing w:val="1"/>
              </w:rPr>
              <w:t>，</w:t>
            </w:r>
            <w:r>
              <w:rPr>
                <w:spacing w:val="15"/>
              </w:rPr>
              <w:t>生产废水排污系数取</w:t>
            </w:r>
            <w:r>
              <w:rPr>
                <w:spacing w:val="-25"/>
              </w:rPr>
              <w:t xml:space="preserve"> </w:t>
            </w:r>
            <w:r>
              <w:rPr>
                <w:rFonts w:ascii="Times New Roman" w:hAnsi="Times New Roman" w:eastAsia="Times New Roman" w:cs="Times New Roman"/>
                <w:spacing w:val="15"/>
              </w:rPr>
              <w:t>0.9</w:t>
            </w:r>
            <w:r>
              <w:rPr>
                <w:rFonts w:ascii="Times New Roman" w:hAnsi="Times New Roman" w:eastAsia="Times New Roman" w:cs="Times New Roman"/>
                <w:spacing w:val="-19"/>
              </w:rPr>
              <w:t xml:space="preserve"> </w:t>
            </w:r>
            <w:r>
              <w:rPr>
                <w:spacing w:val="15"/>
              </w:rPr>
              <w:t>，则本项目实施后站内场地冲洗用水共计约</w:t>
            </w:r>
            <w:r>
              <w:rPr>
                <w:rFonts w:ascii="Times New Roman" w:hAnsi="Times New Roman" w:eastAsia="Times New Roman" w:cs="Times New Roman"/>
                <w:spacing w:val="3"/>
              </w:rPr>
              <w:t>0.666m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rPr>
              <w:t>/d</w:t>
            </w:r>
            <w:r>
              <w:rPr>
                <w:spacing w:val="-11"/>
              </w:rPr>
              <w:t>（</w:t>
            </w:r>
            <w:r>
              <w:rPr>
                <w:rFonts w:ascii="Times New Roman" w:hAnsi="Times New Roman" w:eastAsia="Times New Roman" w:cs="Times New Roman"/>
                <w:spacing w:val="-11"/>
              </w:rPr>
              <w:t>34.632m</w:t>
            </w:r>
            <w:r>
              <w:rPr>
                <w:rFonts w:ascii="Times New Roman" w:hAnsi="Times New Roman" w:eastAsia="Times New Roman" w:cs="Times New Roman"/>
                <w:spacing w:val="-4"/>
                <w:position w:val="8"/>
                <w:sz w:val="16"/>
                <w:szCs w:val="16"/>
              </w:rPr>
              <w:t>3</w:t>
            </w:r>
            <w:r>
              <w:rPr>
                <w:rFonts w:ascii="Times New Roman" w:hAnsi="Times New Roman" w:eastAsia="Times New Roman" w:cs="Times New Roman"/>
                <w:spacing w:val="-4"/>
              </w:rPr>
              <w:t>/a</w:t>
            </w:r>
            <w:r>
              <w:rPr>
                <w:spacing w:val="-50"/>
                <w:w w:val="76"/>
              </w:rPr>
              <w:t>），</w:t>
            </w:r>
            <w:r>
              <w:rPr>
                <w:spacing w:val="-4"/>
              </w:rPr>
              <w:t>场地冲洗废水产生量约</w:t>
            </w:r>
            <w:r>
              <w:rPr>
                <w:spacing w:val="-71"/>
              </w:rPr>
              <w:t xml:space="preserve"> </w:t>
            </w:r>
            <w:r>
              <w:rPr>
                <w:rFonts w:ascii="Times New Roman" w:hAnsi="Times New Roman" w:eastAsia="Times New Roman" w:cs="Times New Roman"/>
                <w:spacing w:val="-4"/>
              </w:rPr>
              <w:t>0.599m</w:t>
            </w:r>
            <w:r>
              <w:rPr>
                <w:rFonts w:ascii="Times New Roman" w:hAnsi="Times New Roman" w:eastAsia="Times New Roman" w:cs="Times New Roman"/>
                <w:spacing w:val="-4"/>
                <w:position w:val="8"/>
                <w:sz w:val="16"/>
                <w:szCs w:val="16"/>
              </w:rPr>
              <w:t>3</w:t>
            </w:r>
            <w:r>
              <w:rPr>
                <w:rFonts w:ascii="Times New Roman" w:hAnsi="Times New Roman" w:eastAsia="Times New Roman" w:cs="Times New Roman"/>
                <w:spacing w:val="-4"/>
              </w:rPr>
              <w:t>/d</w:t>
            </w:r>
            <w:r>
              <w:rPr>
                <w:spacing w:val="-4"/>
              </w:rPr>
              <w:t>（</w:t>
            </w:r>
            <w:r>
              <w:rPr>
                <w:rFonts w:ascii="Times New Roman" w:hAnsi="Times New Roman" w:eastAsia="Times New Roman" w:cs="Times New Roman"/>
                <w:spacing w:val="-4"/>
              </w:rPr>
              <w:t>31.</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169m</w:t>
            </w:r>
            <w:r>
              <w:rPr>
                <w:rFonts w:ascii="Times New Roman" w:hAnsi="Times New Roman" w:eastAsia="Times New Roman" w:cs="Times New Roman"/>
                <w:spacing w:val="-4"/>
                <w:position w:val="8"/>
                <w:sz w:val="16"/>
                <w:szCs w:val="16"/>
              </w:rPr>
              <w:t>3</w:t>
            </w:r>
            <w:r>
              <w:rPr>
                <w:rFonts w:ascii="Times New Roman" w:hAnsi="Times New Roman" w:eastAsia="Times New Roman" w:cs="Times New Roman"/>
                <w:spacing w:val="-4"/>
              </w:rPr>
              <w:t>/a</w:t>
            </w:r>
            <w:r>
              <w:rPr>
                <w:spacing w:val="-4"/>
              </w:rPr>
              <w:t>）。</w:t>
            </w:r>
          </w:p>
        </w:tc>
      </w:tr>
    </w:tbl>
    <w:p w14:paraId="26BBBFC8">
      <w:pPr>
        <w:pStyle w:val="2"/>
        <w:rPr>
          <w:sz w:val="21"/>
        </w:rPr>
      </w:pPr>
    </w:p>
    <w:p w14:paraId="7FD00264">
      <w:pPr>
        <w:rPr>
          <w:sz w:val="21"/>
          <w:szCs w:val="21"/>
        </w:rPr>
        <w:sectPr>
          <w:footerReference r:id="rId40" w:type="default"/>
          <w:pgSz w:w="11906" w:h="16839"/>
          <w:pgMar w:top="400" w:right="1451" w:bottom="1009" w:left="1451" w:header="0" w:footer="770" w:gutter="0"/>
          <w:cols w:space="720" w:num="1"/>
        </w:sectPr>
      </w:pPr>
    </w:p>
    <w:p w14:paraId="48CCBCA6">
      <w:pPr>
        <w:spacing w:before="19"/>
      </w:pPr>
    </w:p>
    <w:p w14:paraId="47CFD168">
      <w:pPr>
        <w:spacing w:before="19"/>
      </w:pPr>
    </w:p>
    <w:p w14:paraId="7714D654">
      <w:pPr>
        <w:spacing w:before="19"/>
      </w:pPr>
    </w:p>
    <w:p w14:paraId="688BB55F">
      <w:pPr>
        <w:spacing w:before="18"/>
      </w:pPr>
    </w:p>
    <w:p w14:paraId="118DE695">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3281A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8" w:hRule="atLeast"/>
        </w:trPr>
        <w:tc>
          <w:tcPr>
            <w:tcW w:w="831" w:type="dxa"/>
            <w:tcBorders>
              <w:right w:val="single" w:color="000000" w:sz="2" w:space="0"/>
            </w:tcBorders>
            <w:vAlign w:val="top"/>
          </w:tcPr>
          <w:p w14:paraId="779C8CAB">
            <w:pPr>
              <w:rPr>
                <w:rFonts w:ascii="Arial"/>
                <w:sz w:val="21"/>
              </w:rPr>
            </w:pPr>
          </w:p>
        </w:tc>
        <w:tc>
          <w:tcPr>
            <w:tcW w:w="8157" w:type="dxa"/>
            <w:tcBorders>
              <w:left w:val="single" w:color="000000" w:sz="2" w:space="0"/>
            </w:tcBorders>
            <w:vAlign w:val="top"/>
          </w:tcPr>
          <w:p w14:paraId="2AC7F0D4">
            <w:pPr>
              <w:pStyle w:val="6"/>
              <w:spacing w:before="150" w:line="225" w:lineRule="auto"/>
              <w:ind w:left="629"/>
            </w:pPr>
            <w:r>
              <w:rPr>
                <w:spacing w:val="7"/>
              </w:rPr>
              <w:t>本项目实施后全站用排水情况见下表，水平衡图见图</w:t>
            </w:r>
            <w:r>
              <w:rPr>
                <w:spacing w:val="-54"/>
              </w:rPr>
              <w:t xml:space="preserve"> </w:t>
            </w:r>
            <w:r>
              <w:rPr>
                <w:rFonts w:ascii="Times New Roman" w:hAnsi="Times New Roman" w:eastAsia="Times New Roman" w:cs="Times New Roman"/>
                <w:spacing w:val="7"/>
              </w:rPr>
              <w:t>2.7-</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1</w:t>
            </w:r>
            <w:r>
              <w:rPr>
                <w:spacing w:val="6"/>
              </w:rPr>
              <w:t>。</w:t>
            </w:r>
          </w:p>
          <w:p w14:paraId="41E47090">
            <w:pPr>
              <w:pStyle w:val="6"/>
              <w:spacing w:before="156" w:line="225" w:lineRule="auto"/>
              <w:ind w:left="1568"/>
            </w:pPr>
            <w:r>
              <w:rPr>
                <w:spacing w:val="5"/>
              </w:rPr>
              <w:t>表</w:t>
            </w:r>
            <w:r>
              <w:rPr>
                <w:spacing w:val="-39"/>
              </w:rPr>
              <w:t xml:space="preserve"> </w:t>
            </w:r>
            <w:r>
              <w:rPr>
                <w:rFonts w:ascii="Times New Roman" w:hAnsi="Times New Roman" w:eastAsia="Times New Roman" w:cs="Times New Roman"/>
                <w:spacing w:val="5"/>
              </w:rPr>
              <w:t>2.7-</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 xml:space="preserve">1    </w:t>
            </w:r>
            <w:r>
              <w:rPr>
                <w:spacing w:val="5"/>
              </w:rPr>
              <w:t>本项目实施后全站用排水量核算表</w:t>
            </w:r>
          </w:p>
          <w:p w14:paraId="415C3CCD">
            <w:pPr>
              <w:spacing w:line="90" w:lineRule="auto"/>
              <w:rPr>
                <w:rFonts w:ascii="Arial"/>
                <w:sz w:val="2"/>
              </w:rPr>
            </w:pPr>
          </w:p>
          <w:tbl>
            <w:tblPr>
              <w:tblStyle w:val="5"/>
              <w:tblW w:w="7939"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3"/>
              <w:gridCol w:w="875"/>
              <w:gridCol w:w="1144"/>
              <w:gridCol w:w="965"/>
              <w:gridCol w:w="961"/>
              <w:gridCol w:w="980"/>
              <w:gridCol w:w="999"/>
              <w:gridCol w:w="902"/>
            </w:tblGrid>
            <w:tr w14:paraId="7B28A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13" w:type="dxa"/>
                  <w:vMerge w:val="restart"/>
                  <w:tcBorders>
                    <w:bottom w:val="nil"/>
                  </w:tcBorders>
                  <w:vAlign w:val="top"/>
                </w:tcPr>
                <w:p w14:paraId="76482A81">
                  <w:pPr>
                    <w:pStyle w:val="6"/>
                    <w:spacing w:before="213" w:line="220" w:lineRule="auto"/>
                    <w:ind w:left="342"/>
                    <w:rPr>
                      <w:sz w:val="22"/>
                      <w:szCs w:val="22"/>
                    </w:rPr>
                  </w:pPr>
                  <w:r>
                    <w:rPr>
                      <w:spacing w:val="-4"/>
                      <w:sz w:val="22"/>
                      <w:szCs w:val="22"/>
                    </w:rPr>
                    <w:t>类别</w:t>
                  </w:r>
                </w:p>
              </w:tc>
              <w:tc>
                <w:tcPr>
                  <w:tcW w:w="875" w:type="dxa"/>
                  <w:vMerge w:val="restart"/>
                  <w:tcBorders>
                    <w:bottom w:val="nil"/>
                  </w:tcBorders>
                  <w:vAlign w:val="top"/>
                </w:tcPr>
                <w:p w14:paraId="4CCC0E6F">
                  <w:pPr>
                    <w:pStyle w:val="6"/>
                    <w:spacing w:before="213" w:line="220" w:lineRule="auto"/>
                    <w:ind w:left="221"/>
                    <w:rPr>
                      <w:sz w:val="22"/>
                      <w:szCs w:val="22"/>
                    </w:rPr>
                  </w:pPr>
                  <w:r>
                    <w:rPr>
                      <w:spacing w:val="-4"/>
                      <w:sz w:val="22"/>
                      <w:szCs w:val="22"/>
                    </w:rPr>
                    <w:t>规模</w:t>
                  </w:r>
                </w:p>
              </w:tc>
              <w:tc>
                <w:tcPr>
                  <w:tcW w:w="1144" w:type="dxa"/>
                  <w:vMerge w:val="restart"/>
                  <w:tcBorders>
                    <w:bottom w:val="nil"/>
                  </w:tcBorders>
                  <w:vAlign w:val="top"/>
                </w:tcPr>
                <w:p w14:paraId="577D2338">
                  <w:pPr>
                    <w:pStyle w:val="6"/>
                    <w:spacing w:before="213" w:line="220" w:lineRule="auto"/>
                    <w:ind w:left="137"/>
                    <w:rPr>
                      <w:sz w:val="22"/>
                      <w:szCs w:val="22"/>
                    </w:rPr>
                  </w:pPr>
                  <w:r>
                    <w:rPr>
                      <w:spacing w:val="-3"/>
                      <w:sz w:val="22"/>
                      <w:szCs w:val="22"/>
                    </w:rPr>
                    <w:t>用水定额</w:t>
                  </w:r>
                </w:p>
              </w:tc>
              <w:tc>
                <w:tcPr>
                  <w:tcW w:w="1926" w:type="dxa"/>
                  <w:gridSpan w:val="2"/>
                  <w:vAlign w:val="top"/>
                </w:tcPr>
                <w:p w14:paraId="4A0FFA75">
                  <w:pPr>
                    <w:pStyle w:val="6"/>
                    <w:spacing w:before="47" w:line="217" w:lineRule="auto"/>
                    <w:ind w:left="639"/>
                    <w:rPr>
                      <w:sz w:val="22"/>
                      <w:szCs w:val="22"/>
                    </w:rPr>
                  </w:pPr>
                  <w:r>
                    <w:rPr>
                      <w:spacing w:val="-3"/>
                      <w:sz w:val="22"/>
                      <w:szCs w:val="22"/>
                    </w:rPr>
                    <w:t>用水量</w:t>
                  </w:r>
                </w:p>
              </w:tc>
              <w:tc>
                <w:tcPr>
                  <w:tcW w:w="1979" w:type="dxa"/>
                  <w:gridSpan w:val="2"/>
                  <w:vAlign w:val="top"/>
                </w:tcPr>
                <w:p w14:paraId="24A90CB6">
                  <w:pPr>
                    <w:pStyle w:val="6"/>
                    <w:spacing w:before="47" w:line="217" w:lineRule="auto"/>
                    <w:ind w:left="665"/>
                    <w:rPr>
                      <w:sz w:val="22"/>
                      <w:szCs w:val="22"/>
                    </w:rPr>
                  </w:pPr>
                  <w:r>
                    <w:rPr>
                      <w:spacing w:val="-3"/>
                      <w:sz w:val="22"/>
                      <w:szCs w:val="22"/>
                    </w:rPr>
                    <w:t>排水量</w:t>
                  </w:r>
                </w:p>
              </w:tc>
              <w:tc>
                <w:tcPr>
                  <w:tcW w:w="902" w:type="dxa"/>
                  <w:vMerge w:val="restart"/>
                  <w:tcBorders>
                    <w:bottom w:val="nil"/>
                  </w:tcBorders>
                  <w:vAlign w:val="top"/>
                </w:tcPr>
                <w:p w14:paraId="7BBF974A">
                  <w:pPr>
                    <w:pStyle w:val="6"/>
                    <w:spacing w:before="212" w:line="222" w:lineRule="auto"/>
                    <w:ind w:left="239"/>
                    <w:rPr>
                      <w:sz w:val="22"/>
                      <w:szCs w:val="22"/>
                    </w:rPr>
                  </w:pPr>
                  <w:r>
                    <w:rPr>
                      <w:spacing w:val="-5"/>
                      <w:sz w:val="22"/>
                      <w:szCs w:val="22"/>
                    </w:rPr>
                    <w:t>备注</w:t>
                  </w:r>
                </w:p>
              </w:tc>
            </w:tr>
            <w:tr w14:paraId="7E1D8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113" w:type="dxa"/>
                  <w:vMerge w:val="continue"/>
                  <w:tcBorders>
                    <w:top w:val="nil"/>
                  </w:tcBorders>
                  <w:vAlign w:val="top"/>
                </w:tcPr>
                <w:p w14:paraId="213D9808">
                  <w:pPr>
                    <w:rPr>
                      <w:rFonts w:ascii="Arial"/>
                      <w:sz w:val="21"/>
                    </w:rPr>
                  </w:pPr>
                </w:p>
              </w:tc>
              <w:tc>
                <w:tcPr>
                  <w:tcW w:w="875" w:type="dxa"/>
                  <w:vMerge w:val="continue"/>
                  <w:tcBorders>
                    <w:top w:val="nil"/>
                  </w:tcBorders>
                  <w:vAlign w:val="top"/>
                </w:tcPr>
                <w:p w14:paraId="1D9D75B1">
                  <w:pPr>
                    <w:rPr>
                      <w:rFonts w:ascii="Arial"/>
                      <w:sz w:val="21"/>
                    </w:rPr>
                  </w:pPr>
                </w:p>
              </w:tc>
              <w:tc>
                <w:tcPr>
                  <w:tcW w:w="1144" w:type="dxa"/>
                  <w:vMerge w:val="continue"/>
                  <w:tcBorders>
                    <w:top w:val="nil"/>
                  </w:tcBorders>
                  <w:vAlign w:val="top"/>
                </w:tcPr>
                <w:p w14:paraId="34B5A9AB">
                  <w:pPr>
                    <w:rPr>
                      <w:rFonts w:ascii="Arial"/>
                      <w:sz w:val="21"/>
                    </w:rPr>
                  </w:pPr>
                </w:p>
              </w:tc>
              <w:tc>
                <w:tcPr>
                  <w:tcW w:w="965" w:type="dxa"/>
                  <w:vAlign w:val="top"/>
                </w:tcPr>
                <w:p w14:paraId="45491BC6">
                  <w:pPr>
                    <w:pStyle w:val="6"/>
                    <w:spacing w:before="50" w:line="223" w:lineRule="auto"/>
                    <w:jc w:val="right"/>
                    <w:rPr>
                      <w:sz w:val="22"/>
                      <w:szCs w:val="22"/>
                    </w:rPr>
                  </w:pPr>
                  <w:r>
                    <w:rPr>
                      <w:spacing w:val="-5"/>
                      <w:sz w:val="22"/>
                      <w:szCs w:val="22"/>
                    </w:rPr>
                    <w:t>（</w:t>
                  </w:r>
                  <w:r>
                    <w:rPr>
                      <w:rFonts w:ascii="Times New Roman" w:hAnsi="Times New Roman" w:eastAsia="Times New Roman" w:cs="Times New Roman"/>
                      <w:spacing w:val="-5"/>
                      <w:sz w:val="22"/>
                      <w:szCs w:val="22"/>
                    </w:rPr>
                    <w:t>m</w:t>
                  </w:r>
                  <w:r>
                    <w:rPr>
                      <w:rFonts w:ascii="Times New Roman" w:hAnsi="Times New Roman" w:eastAsia="Times New Roman" w:cs="Times New Roman"/>
                      <w:spacing w:val="-5"/>
                      <w:position w:val="7"/>
                      <w:sz w:val="14"/>
                      <w:szCs w:val="14"/>
                    </w:rPr>
                    <w:t>3</w:t>
                  </w:r>
                  <w:r>
                    <w:rPr>
                      <w:rFonts w:ascii="Times New Roman" w:hAnsi="Times New Roman" w:eastAsia="Times New Roman" w:cs="Times New Roman"/>
                      <w:spacing w:val="-5"/>
                      <w:sz w:val="22"/>
                      <w:szCs w:val="22"/>
                    </w:rPr>
                    <w:t>/d</w:t>
                  </w:r>
                  <w:r>
                    <w:rPr>
                      <w:spacing w:val="-5"/>
                      <w:sz w:val="22"/>
                      <w:szCs w:val="22"/>
                    </w:rPr>
                    <w:t>）</w:t>
                  </w:r>
                </w:p>
              </w:tc>
              <w:tc>
                <w:tcPr>
                  <w:tcW w:w="961" w:type="dxa"/>
                  <w:vAlign w:val="top"/>
                </w:tcPr>
                <w:p w14:paraId="73F4D442">
                  <w:pPr>
                    <w:pStyle w:val="6"/>
                    <w:spacing w:before="50" w:line="223" w:lineRule="auto"/>
                    <w:ind w:right="9"/>
                    <w:jc w:val="right"/>
                    <w:rPr>
                      <w:sz w:val="22"/>
                      <w:szCs w:val="22"/>
                    </w:rPr>
                  </w:pPr>
                  <w:r>
                    <w:rPr>
                      <w:spacing w:val="-3"/>
                      <w:sz w:val="22"/>
                      <w:szCs w:val="22"/>
                    </w:rPr>
                    <w:t>（</w:t>
                  </w:r>
                  <w:r>
                    <w:rPr>
                      <w:rFonts w:ascii="Times New Roman" w:hAnsi="Times New Roman" w:eastAsia="Times New Roman" w:cs="Times New Roman"/>
                      <w:spacing w:val="-3"/>
                      <w:sz w:val="22"/>
                      <w:szCs w:val="22"/>
                    </w:rPr>
                    <w:t>m</w:t>
                  </w:r>
                  <w:r>
                    <w:rPr>
                      <w:rFonts w:ascii="Times New Roman" w:hAnsi="Times New Roman" w:eastAsia="Times New Roman" w:cs="Times New Roman"/>
                      <w:spacing w:val="-3"/>
                      <w:position w:val="6"/>
                      <w:sz w:val="14"/>
                      <w:szCs w:val="14"/>
                    </w:rPr>
                    <w:t>3</w:t>
                  </w:r>
                  <w:r>
                    <w:rPr>
                      <w:rFonts w:ascii="Times New Roman" w:hAnsi="Times New Roman" w:eastAsia="Times New Roman" w:cs="Times New Roman"/>
                      <w:spacing w:val="-3"/>
                      <w:sz w:val="22"/>
                      <w:szCs w:val="22"/>
                    </w:rPr>
                    <w:t>/a</w:t>
                  </w:r>
                  <w:r>
                    <w:rPr>
                      <w:spacing w:val="-3"/>
                      <w:sz w:val="22"/>
                      <w:szCs w:val="22"/>
                    </w:rPr>
                    <w:t>）</w:t>
                  </w:r>
                </w:p>
              </w:tc>
              <w:tc>
                <w:tcPr>
                  <w:tcW w:w="980" w:type="dxa"/>
                  <w:vAlign w:val="top"/>
                </w:tcPr>
                <w:p w14:paraId="664E5CFE">
                  <w:pPr>
                    <w:pStyle w:val="6"/>
                    <w:spacing w:before="50" w:line="223" w:lineRule="auto"/>
                    <w:ind w:right="13"/>
                    <w:jc w:val="right"/>
                    <w:rPr>
                      <w:sz w:val="22"/>
                      <w:szCs w:val="22"/>
                    </w:rPr>
                  </w:pPr>
                  <w:r>
                    <w:rPr>
                      <w:spacing w:val="-2"/>
                      <w:sz w:val="22"/>
                      <w:szCs w:val="22"/>
                    </w:rPr>
                    <w:t>（</w:t>
                  </w:r>
                  <w:r>
                    <w:rPr>
                      <w:rFonts w:ascii="Times New Roman" w:hAnsi="Times New Roman" w:eastAsia="Times New Roman" w:cs="Times New Roman"/>
                      <w:spacing w:val="-2"/>
                      <w:sz w:val="22"/>
                      <w:szCs w:val="22"/>
                    </w:rPr>
                    <w:t>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2"/>
                      <w:sz w:val="22"/>
                      <w:szCs w:val="22"/>
                    </w:rPr>
                    <w:t>/d</w:t>
                  </w:r>
                  <w:r>
                    <w:rPr>
                      <w:spacing w:val="-2"/>
                      <w:sz w:val="22"/>
                      <w:szCs w:val="22"/>
                    </w:rPr>
                    <w:t>）</w:t>
                  </w:r>
                </w:p>
              </w:tc>
              <w:tc>
                <w:tcPr>
                  <w:tcW w:w="999" w:type="dxa"/>
                  <w:vAlign w:val="top"/>
                </w:tcPr>
                <w:p w14:paraId="0DBAF2E8">
                  <w:pPr>
                    <w:pStyle w:val="6"/>
                    <w:spacing w:before="50" w:line="223" w:lineRule="auto"/>
                    <w:ind w:left="121"/>
                    <w:rPr>
                      <w:sz w:val="22"/>
                      <w:szCs w:val="22"/>
                    </w:rPr>
                  </w:pPr>
                  <w:r>
                    <w:rPr>
                      <w:spacing w:val="-3"/>
                      <w:sz w:val="22"/>
                      <w:szCs w:val="22"/>
                    </w:rPr>
                    <w:t>（</w:t>
                  </w:r>
                  <w:r>
                    <w:rPr>
                      <w:rFonts w:ascii="Times New Roman" w:hAnsi="Times New Roman" w:eastAsia="Times New Roman" w:cs="Times New Roman"/>
                      <w:spacing w:val="-3"/>
                      <w:sz w:val="22"/>
                      <w:szCs w:val="22"/>
                    </w:rPr>
                    <w:t>m</w:t>
                  </w:r>
                  <w:r>
                    <w:rPr>
                      <w:rFonts w:ascii="Times New Roman" w:hAnsi="Times New Roman" w:eastAsia="Times New Roman" w:cs="Times New Roman"/>
                      <w:spacing w:val="-3"/>
                      <w:position w:val="6"/>
                      <w:sz w:val="14"/>
                      <w:szCs w:val="14"/>
                    </w:rPr>
                    <w:t>3</w:t>
                  </w:r>
                  <w:r>
                    <w:rPr>
                      <w:rFonts w:ascii="Times New Roman" w:hAnsi="Times New Roman" w:eastAsia="Times New Roman" w:cs="Times New Roman"/>
                      <w:spacing w:val="-3"/>
                      <w:sz w:val="22"/>
                      <w:szCs w:val="22"/>
                    </w:rPr>
                    <w:t>/a</w:t>
                  </w:r>
                  <w:r>
                    <w:rPr>
                      <w:spacing w:val="-3"/>
                      <w:sz w:val="22"/>
                      <w:szCs w:val="22"/>
                    </w:rPr>
                    <w:t>）</w:t>
                  </w:r>
                </w:p>
              </w:tc>
              <w:tc>
                <w:tcPr>
                  <w:tcW w:w="902" w:type="dxa"/>
                  <w:vMerge w:val="continue"/>
                  <w:tcBorders>
                    <w:top w:val="nil"/>
                  </w:tcBorders>
                  <w:vAlign w:val="top"/>
                </w:tcPr>
                <w:p w14:paraId="23C58882">
                  <w:pPr>
                    <w:rPr>
                      <w:rFonts w:ascii="Arial"/>
                      <w:sz w:val="21"/>
                    </w:rPr>
                  </w:pPr>
                </w:p>
              </w:tc>
            </w:tr>
            <w:tr w14:paraId="2DBD2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113" w:type="dxa"/>
                  <w:vAlign w:val="top"/>
                </w:tcPr>
                <w:p w14:paraId="1317F349">
                  <w:pPr>
                    <w:pStyle w:val="6"/>
                    <w:spacing w:before="161" w:line="221" w:lineRule="auto"/>
                    <w:ind w:left="124"/>
                    <w:rPr>
                      <w:sz w:val="22"/>
                      <w:szCs w:val="22"/>
                    </w:rPr>
                  </w:pPr>
                  <w:r>
                    <w:rPr>
                      <w:spacing w:val="-3"/>
                      <w:sz w:val="22"/>
                      <w:szCs w:val="22"/>
                    </w:rPr>
                    <w:t>工作人员</w:t>
                  </w:r>
                </w:p>
              </w:tc>
              <w:tc>
                <w:tcPr>
                  <w:tcW w:w="875" w:type="dxa"/>
                  <w:vAlign w:val="top"/>
                </w:tcPr>
                <w:p w14:paraId="1D1A4E37">
                  <w:pPr>
                    <w:pStyle w:val="6"/>
                    <w:spacing w:before="161" w:line="223" w:lineRule="auto"/>
                    <w:ind w:left="211"/>
                    <w:rPr>
                      <w:sz w:val="22"/>
                      <w:szCs w:val="22"/>
                    </w:rPr>
                  </w:pPr>
                  <w:r>
                    <w:rPr>
                      <w:rFonts w:ascii="Times New Roman" w:hAnsi="Times New Roman" w:eastAsia="Times New Roman" w:cs="Times New Roman"/>
                      <w:spacing w:val="-9"/>
                      <w:sz w:val="22"/>
                      <w:szCs w:val="22"/>
                    </w:rPr>
                    <w:t>10</w:t>
                  </w:r>
                  <w:r>
                    <w:rPr>
                      <w:rFonts w:ascii="Times New Roman" w:hAnsi="Times New Roman" w:eastAsia="Times New Roman" w:cs="Times New Roman"/>
                      <w:spacing w:val="11"/>
                      <w:sz w:val="22"/>
                      <w:szCs w:val="22"/>
                    </w:rPr>
                    <w:t xml:space="preserve"> </w:t>
                  </w:r>
                  <w:r>
                    <w:rPr>
                      <w:spacing w:val="-9"/>
                      <w:sz w:val="22"/>
                      <w:szCs w:val="22"/>
                    </w:rPr>
                    <w:t>人</w:t>
                  </w:r>
                </w:p>
              </w:tc>
              <w:tc>
                <w:tcPr>
                  <w:tcW w:w="1144" w:type="dxa"/>
                  <w:vAlign w:val="top"/>
                </w:tcPr>
                <w:p w14:paraId="72D509DA">
                  <w:pPr>
                    <w:spacing w:before="51" w:line="193" w:lineRule="auto"/>
                    <w:ind w:left="33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150L/</w:t>
                  </w:r>
                </w:p>
                <w:p w14:paraId="32465D8D">
                  <w:pPr>
                    <w:pStyle w:val="6"/>
                    <w:spacing w:before="32" w:line="206" w:lineRule="auto"/>
                    <w:ind w:left="161"/>
                    <w:rPr>
                      <w:sz w:val="22"/>
                      <w:szCs w:val="22"/>
                    </w:rPr>
                  </w:pPr>
                  <w:r>
                    <w:rPr>
                      <w:spacing w:val="-3"/>
                      <w:sz w:val="22"/>
                      <w:szCs w:val="22"/>
                    </w:rPr>
                    <w:t>（人</w:t>
                  </w:r>
                  <w:r>
                    <w:rPr>
                      <w:rFonts w:ascii="Times New Roman" w:hAnsi="Times New Roman" w:eastAsia="Times New Roman" w:cs="Times New Roman"/>
                      <w:spacing w:val="-3"/>
                      <w:sz w:val="22"/>
                      <w:szCs w:val="22"/>
                    </w:rPr>
                    <w:t>·d</w:t>
                  </w:r>
                  <w:r>
                    <w:rPr>
                      <w:spacing w:val="-3"/>
                      <w:sz w:val="22"/>
                      <w:szCs w:val="22"/>
                    </w:rPr>
                    <w:t>）</w:t>
                  </w:r>
                </w:p>
              </w:tc>
              <w:tc>
                <w:tcPr>
                  <w:tcW w:w="965" w:type="dxa"/>
                  <w:vAlign w:val="top"/>
                </w:tcPr>
                <w:p w14:paraId="21EA3973">
                  <w:pPr>
                    <w:spacing w:before="196" w:line="189" w:lineRule="auto"/>
                    <w:ind w:left="367"/>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1.5</w:t>
                  </w:r>
                </w:p>
              </w:tc>
              <w:tc>
                <w:tcPr>
                  <w:tcW w:w="961" w:type="dxa"/>
                  <w:vAlign w:val="top"/>
                </w:tcPr>
                <w:p w14:paraId="706EDE1F">
                  <w:pPr>
                    <w:spacing w:before="196" w:line="189" w:lineRule="auto"/>
                    <w:ind w:left="24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547.5</w:t>
                  </w:r>
                </w:p>
              </w:tc>
              <w:tc>
                <w:tcPr>
                  <w:tcW w:w="980" w:type="dxa"/>
                  <w:vAlign w:val="top"/>
                </w:tcPr>
                <w:p w14:paraId="681EEC53">
                  <w:pPr>
                    <w:spacing w:before="196" w:line="189" w:lineRule="auto"/>
                    <w:ind w:left="322"/>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1.35</w:t>
                  </w:r>
                </w:p>
              </w:tc>
              <w:tc>
                <w:tcPr>
                  <w:tcW w:w="999" w:type="dxa"/>
                  <w:vAlign w:val="top"/>
                </w:tcPr>
                <w:p w14:paraId="27062C59">
                  <w:pPr>
                    <w:spacing w:before="196" w:line="189" w:lineRule="auto"/>
                    <w:ind w:left="19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492.75</w:t>
                  </w:r>
                </w:p>
              </w:tc>
              <w:tc>
                <w:tcPr>
                  <w:tcW w:w="902" w:type="dxa"/>
                  <w:vMerge w:val="restart"/>
                  <w:tcBorders>
                    <w:bottom w:val="nil"/>
                  </w:tcBorders>
                  <w:vAlign w:val="top"/>
                </w:tcPr>
                <w:p w14:paraId="4B9F64C5">
                  <w:pPr>
                    <w:rPr>
                      <w:rFonts w:ascii="Arial"/>
                      <w:sz w:val="21"/>
                    </w:rPr>
                  </w:pPr>
                </w:p>
                <w:p w14:paraId="7125C210">
                  <w:pPr>
                    <w:pStyle w:val="6"/>
                    <w:spacing w:before="71" w:line="242" w:lineRule="auto"/>
                    <w:ind w:left="237" w:right="119" w:hanging="113"/>
                    <w:rPr>
                      <w:sz w:val="22"/>
                      <w:szCs w:val="22"/>
                    </w:rPr>
                  </w:pPr>
                  <w:r>
                    <w:rPr>
                      <w:spacing w:val="-3"/>
                      <w:sz w:val="22"/>
                      <w:szCs w:val="22"/>
                    </w:rPr>
                    <w:t>进入生</w:t>
                  </w:r>
                  <w:r>
                    <w:rPr>
                      <w:spacing w:val="-4"/>
                      <w:sz w:val="22"/>
                      <w:szCs w:val="22"/>
                    </w:rPr>
                    <w:t>化池</w:t>
                  </w:r>
                </w:p>
              </w:tc>
            </w:tr>
            <w:tr w14:paraId="4740A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113" w:type="dxa"/>
                  <w:vAlign w:val="top"/>
                </w:tcPr>
                <w:p w14:paraId="7BFC5EEA">
                  <w:pPr>
                    <w:pStyle w:val="6"/>
                    <w:spacing w:before="34" w:line="206" w:lineRule="auto"/>
                    <w:ind w:left="130"/>
                    <w:rPr>
                      <w:sz w:val="22"/>
                      <w:szCs w:val="22"/>
                    </w:rPr>
                  </w:pPr>
                  <w:r>
                    <w:rPr>
                      <w:spacing w:val="-5"/>
                      <w:sz w:val="22"/>
                      <w:szCs w:val="22"/>
                    </w:rPr>
                    <w:t>司乘人员</w:t>
                  </w:r>
                </w:p>
              </w:tc>
              <w:tc>
                <w:tcPr>
                  <w:tcW w:w="875" w:type="dxa"/>
                  <w:vAlign w:val="top"/>
                </w:tcPr>
                <w:p w14:paraId="2D0E9526">
                  <w:pPr>
                    <w:pStyle w:val="6"/>
                    <w:spacing w:before="34" w:line="206" w:lineRule="auto"/>
                    <w:ind w:left="156"/>
                    <w:rPr>
                      <w:sz w:val="22"/>
                      <w:szCs w:val="22"/>
                    </w:rPr>
                  </w:pPr>
                  <w:r>
                    <w:rPr>
                      <w:rFonts w:ascii="Times New Roman" w:hAnsi="Times New Roman" w:eastAsia="Times New Roman" w:cs="Times New Roman"/>
                      <w:spacing w:val="-7"/>
                      <w:sz w:val="22"/>
                      <w:szCs w:val="22"/>
                    </w:rPr>
                    <w:t>150</w:t>
                  </w:r>
                  <w:r>
                    <w:rPr>
                      <w:rFonts w:ascii="Times New Roman" w:hAnsi="Times New Roman" w:eastAsia="Times New Roman" w:cs="Times New Roman"/>
                      <w:spacing w:val="10"/>
                      <w:sz w:val="22"/>
                      <w:szCs w:val="22"/>
                    </w:rPr>
                    <w:t xml:space="preserve"> </w:t>
                  </w:r>
                  <w:r>
                    <w:rPr>
                      <w:spacing w:val="-7"/>
                      <w:sz w:val="22"/>
                      <w:szCs w:val="22"/>
                    </w:rPr>
                    <w:t>人</w:t>
                  </w:r>
                </w:p>
              </w:tc>
              <w:tc>
                <w:tcPr>
                  <w:tcW w:w="1144" w:type="dxa"/>
                  <w:vAlign w:val="top"/>
                </w:tcPr>
                <w:p w14:paraId="71C28F3F">
                  <w:pPr>
                    <w:pStyle w:val="6"/>
                    <w:spacing w:before="34" w:line="206" w:lineRule="auto"/>
                    <w:jc w:val="right"/>
                    <w:rPr>
                      <w:sz w:val="22"/>
                      <w:szCs w:val="22"/>
                    </w:rPr>
                  </w:pPr>
                  <w:r>
                    <w:rPr>
                      <w:rFonts w:ascii="Times New Roman" w:hAnsi="Times New Roman" w:eastAsia="Times New Roman" w:cs="Times New Roman"/>
                      <w:spacing w:val="-17"/>
                      <w:sz w:val="22"/>
                      <w:szCs w:val="22"/>
                    </w:rPr>
                    <w:t>5L/</w:t>
                  </w:r>
                  <w:r>
                    <w:rPr>
                      <w:spacing w:val="-17"/>
                      <w:sz w:val="22"/>
                      <w:szCs w:val="22"/>
                    </w:rPr>
                    <w:t>（人</w:t>
                  </w:r>
                  <w:r>
                    <w:rPr>
                      <w:rFonts w:ascii="Times New Roman" w:hAnsi="Times New Roman" w:eastAsia="Times New Roman" w:cs="Times New Roman"/>
                      <w:spacing w:val="-17"/>
                      <w:sz w:val="22"/>
                      <w:szCs w:val="22"/>
                    </w:rPr>
                    <w:t>·d</w:t>
                  </w:r>
                  <w:r>
                    <w:rPr>
                      <w:spacing w:val="-17"/>
                      <w:sz w:val="22"/>
                      <w:szCs w:val="22"/>
                    </w:rPr>
                    <w:t>）</w:t>
                  </w:r>
                </w:p>
              </w:tc>
              <w:tc>
                <w:tcPr>
                  <w:tcW w:w="965" w:type="dxa"/>
                  <w:vAlign w:val="top"/>
                </w:tcPr>
                <w:p w14:paraId="0F39B357">
                  <w:pPr>
                    <w:spacing w:before="72" w:line="189" w:lineRule="auto"/>
                    <w:ind w:left="2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0.75</w:t>
                  </w:r>
                </w:p>
              </w:tc>
              <w:tc>
                <w:tcPr>
                  <w:tcW w:w="961" w:type="dxa"/>
                  <w:vAlign w:val="top"/>
                </w:tcPr>
                <w:p w14:paraId="480172ED">
                  <w:pPr>
                    <w:spacing w:before="72" w:line="189" w:lineRule="auto"/>
                    <w:ind w:left="18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273.75</w:t>
                  </w:r>
                </w:p>
              </w:tc>
              <w:tc>
                <w:tcPr>
                  <w:tcW w:w="980" w:type="dxa"/>
                  <w:vAlign w:val="top"/>
                </w:tcPr>
                <w:p w14:paraId="628BD70C">
                  <w:pPr>
                    <w:spacing w:before="72" w:line="189" w:lineRule="auto"/>
                    <w:ind w:left="24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0.675</w:t>
                  </w:r>
                </w:p>
              </w:tc>
              <w:tc>
                <w:tcPr>
                  <w:tcW w:w="999" w:type="dxa"/>
                  <w:vAlign w:val="top"/>
                </w:tcPr>
                <w:p w14:paraId="771E2847">
                  <w:pPr>
                    <w:spacing w:before="72" w:line="189" w:lineRule="auto"/>
                    <w:ind w:left="14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246.375</w:t>
                  </w:r>
                </w:p>
              </w:tc>
              <w:tc>
                <w:tcPr>
                  <w:tcW w:w="902" w:type="dxa"/>
                  <w:vMerge w:val="continue"/>
                  <w:tcBorders>
                    <w:top w:val="nil"/>
                    <w:bottom w:val="nil"/>
                  </w:tcBorders>
                  <w:vAlign w:val="top"/>
                </w:tcPr>
                <w:p w14:paraId="5A8B751B">
                  <w:pPr>
                    <w:rPr>
                      <w:rFonts w:ascii="Arial"/>
                      <w:sz w:val="21"/>
                    </w:rPr>
                  </w:pPr>
                </w:p>
              </w:tc>
            </w:tr>
            <w:tr w14:paraId="00C63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3132" w:type="dxa"/>
                  <w:gridSpan w:val="3"/>
                  <w:vAlign w:val="top"/>
                </w:tcPr>
                <w:p w14:paraId="5F4B3D6B">
                  <w:pPr>
                    <w:pStyle w:val="6"/>
                    <w:spacing w:before="34" w:line="206" w:lineRule="auto"/>
                    <w:ind w:left="1358"/>
                    <w:rPr>
                      <w:sz w:val="22"/>
                      <w:szCs w:val="22"/>
                    </w:rPr>
                  </w:pPr>
                  <w:r>
                    <w:rPr>
                      <w:spacing w:val="-7"/>
                      <w:sz w:val="22"/>
                      <w:szCs w:val="22"/>
                    </w:rPr>
                    <w:t>小计</w:t>
                  </w:r>
                </w:p>
              </w:tc>
              <w:tc>
                <w:tcPr>
                  <w:tcW w:w="965" w:type="dxa"/>
                  <w:vAlign w:val="top"/>
                </w:tcPr>
                <w:p w14:paraId="6E6F0AD4">
                  <w:pPr>
                    <w:spacing w:before="72" w:line="189" w:lineRule="auto"/>
                    <w:ind w:left="29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2.25</w:t>
                  </w:r>
                </w:p>
              </w:tc>
              <w:tc>
                <w:tcPr>
                  <w:tcW w:w="961" w:type="dxa"/>
                  <w:vAlign w:val="top"/>
                </w:tcPr>
                <w:p w14:paraId="5CBB9375">
                  <w:pPr>
                    <w:spacing w:before="72" w:line="189" w:lineRule="auto"/>
                    <w:ind w:left="18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821.25</w:t>
                  </w:r>
                </w:p>
              </w:tc>
              <w:tc>
                <w:tcPr>
                  <w:tcW w:w="980" w:type="dxa"/>
                  <w:vAlign w:val="top"/>
                </w:tcPr>
                <w:p w14:paraId="6B4FE152">
                  <w:pPr>
                    <w:spacing w:before="72" w:line="189" w:lineRule="auto"/>
                    <w:ind w:left="24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2.025</w:t>
                  </w:r>
                </w:p>
              </w:tc>
              <w:tc>
                <w:tcPr>
                  <w:tcW w:w="999" w:type="dxa"/>
                  <w:vAlign w:val="top"/>
                </w:tcPr>
                <w:p w14:paraId="3B38C4D3">
                  <w:pPr>
                    <w:spacing w:before="72" w:line="189" w:lineRule="auto"/>
                    <w:ind w:left="14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739.125</w:t>
                  </w:r>
                </w:p>
              </w:tc>
              <w:tc>
                <w:tcPr>
                  <w:tcW w:w="902" w:type="dxa"/>
                  <w:vMerge w:val="continue"/>
                  <w:tcBorders>
                    <w:top w:val="nil"/>
                  </w:tcBorders>
                  <w:vAlign w:val="top"/>
                </w:tcPr>
                <w:p w14:paraId="748569FA">
                  <w:pPr>
                    <w:rPr>
                      <w:rFonts w:ascii="Arial"/>
                      <w:sz w:val="21"/>
                    </w:rPr>
                  </w:pPr>
                </w:p>
              </w:tc>
            </w:tr>
            <w:tr w14:paraId="637FC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1113" w:type="dxa"/>
                  <w:vAlign w:val="top"/>
                </w:tcPr>
                <w:p w14:paraId="21108FA5">
                  <w:pPr>
                    <w:pStyle w:val="6"/>
                    <w:spacing w:before="162"/>
                    <w:ind w:left="342" w:right="111" w:hanging="222"/>
                    <w:rPr>
                      <w:sz w:val="22"/>
                      <w:szCs w:val="22"/>
                    </w:rPr>
                  </w:pPr>
                  <w:r>
                    <w:rPr>
                      <w:spacing w:val="-2"/>
                      <w:sz w:val="22"/>
                      <w:szCs w:val="22"/>
                    </w:rPr>
                    <w:t>场地地面</w:t>
                  </w:r>
                  <w:r>
                    <w:rPr>
                      <w:spacing w:val="-4"/>
                      <w:sz w:val="22"/>
                      <w:szCs w:val="22"/>
                    </w:rPr>
                    <w:t>冲洗</w:t>
                  </w:r>
                </w:p>
              </w:tc>
              <w:tc>
                <w:tcPr>
                  <w:tcW w:w="875" w:type="dxa"/>
                  <w:vAlign w:val="top"/>
                </w:tcPr>
                <w:p w14:paraId="06EA97BE">
                  <w:pPr>
                    <w:spacing w:line="256" w:lineRule="auto"/>
                    <w:rPr>
                      <w:rFonts w:ascii="Arial"/>
                      <w:sz w:val="21"/>
                    </w:rPr>
                  </w:pPr>
                </w:p>
                <w:p w14:paraId="757AD9FE">
                  <w:pPr>
                    <w:spacing w:before="63" w:line="208" w:lineRule="auto"/>
                    <w:ind w:left="156"/>
                    <w:rPr>
                      <w:rFonts w:ascii="Times New Roman" w:hAnsi="Times New Roman" w:eastAsia="Times New Roman" w:cs="Times New Roman"/>
                      <w:sz w:val="14"/>
                      <w:szCs w:val="14"/>
                    </w:rPr>
                  </w:pPr>
                  <w:r>
                    <w:rPr>
                      <w:rFonts w:ascii="Times New Roman" w:hAnsi="Times New Roman" w:eastAsia="Times New Roman" w:cs="Times New Roman"/>
                      <w:spacing w:val="-2"/>
                      <w:sz w:val="22"/>
                      <w:szCs w:val="22"/>
                    </w:rPr>
                    <w:t>333m</w:t>
                  </w:r>
                  <w:r>
                    <w:rPr>
                      <w:rFonts w:ascii="Times New Roman" w:hAnsi="Times New Roman" w:eastAsia="Times New Roman" w:cs="Times New Roman"/>
                      <w:spacing w:val="-2"/>
                      <w:position w:val="6"/>
                      <w:sz w:val="14"/>
                      <w:szCs w:val="14"/>
                    </w:rPr>
                    <w:t>2</w:t>
                  </w:r>
                </w:p>
              </w:tc>
              <w:tc>
                <w:tcPr>
                  <w:tcW w:w="1144" w:type="dxa"/>
                  <w:vAlign w:val="top"/>
                </w:tcPr>
                <w:p w14:paraId="25738E4E">
                  <w:pPr>
                    <w:spacing w:before="51" w:line="193" w:lineRule="auto"/>
                    <w:ind w:left="4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2L/</w:t>
                  </w:r>
                </w:p>
                <w:p w14:paraId="419F5464">
                  <w:pPr>
                    <w:pStyle w:val="6"/>
                    <w:spacing w:before="31" w:line="213" w:lineRule="auto"/>
                    <w:ind w:left="117"/>
                    <w:rPr>
                      <w:rFonts w:ascii="Times New Roman" w:hAnsi="Times New Roman" w:eastAsia="Times New Roman" w:cs="Times New Roman"/>
                      <w:sz w:val="22"/>
                      <w:szCs w:val="22"/>
                    </w:rPr>
                  </w:pPr>
                  <w:r>
                    <w:rPr>
                      <w:spacing w:val="-4"/>
                      <w:sz w:val="22"/>
                      <w:szCs w:val="22"/>
                    </w:rPr>
                    <w:t>（</w:t>
                  </w:r>
                  <w:r>
                    <w:rPr>
                      <w:rFonts w:ascii="Times New Roman" w:hAnsi="Times New Roman" w:eastAsia="Times New Roman" w:cs="Times New Roman"/>
                      <w:spacing w:val="-4"/>
                      <w:sz w:val="22"/>
                      <w:szCs w:val="22"/>
                    </w:rPr>
                    <w:t>m</w:t>
                  </w:r>
                  <w:r>
                    <w:rPr>
                      <w:rFonts w:ascii="Times New Roman" w:hAnsi="Times New Roman" w:eastAsia="Times New Roman" w:cs="Times New Roman"/>
                      <w:spacing w:val="-4"/>
                      <w:position w:val="7"/>
                      <w:sz w:val="14"/>
                      <w:szCs w:val="14"/>
                    </w:rPr>
                    <w:t>2</w:t>
                  </w:r>
                  <w:r>
                    <w:rPr>
                      <w:rFonts w:ascii="Times New Roman" w:hAnsi="Times New Roman" w:eastAsia="Times New Roman" w:cs="Times New Roman"/>
                      <w:spacing w:val="-4"/>
                      <w:sz w:val="22"/>
                      <w:szCs w:val="22"/>
                    </w:rPr>
                    <w:t>·</w:t>
                  </w:r>
                  <w:r>
                    <w:rPr>
                      <w:spacing w:val="-14"/>
                      <w:sz w:val="22"/>
                      <w:szCs w:val="22"/>
                    </w:rPr>
                    <w:t>次）</w:t>
                  </w:r>
                  <w:r>
                    <w:rPr>
                      <w:rFonts w:ascii="Times New Roman" w:hAnsi="Times New Roman" w:eastAsia="Times New Roman" w:cs="Times New Roman"/>
                      <w:spacing w:val="-14"/>
                      <w:sz w:val="22"/>
                      <w:szCs w:val="22"/>
                    </w:rPr>
                    <w:t>,</w:t>
                  </w:r>
                </w:p>
                <w:p w14:paraId="50FD131E">
                  <w:pPr>
                    <w:pStyle w:val="6"/>
                    <w:spacing w:before="32" w:line="206" w:lineRule="auto"/>
                    <w:ind w:left="190"/>
                    <w:rPr>
                      <w:sz w:val="22"/>
                      <w:szCs w:val="22"/>
                    </w:rPr>
                  </w:pPr>
                  <w:r>
                    <w:rPr>
                      <w:rFonts w:ascii="Times New Roman" w:hAnsi="Times New Roman" w:eastAsia="Times New Roman" w:cs="Times New Roman"/>
                      <w:spacing w:val="-5"/>
                      <w:sz w:val="22"/>
                      <w:szCs w:val="22"/>
                    </w:rPr>
                    <w:t>52</w:t>
                  </w:r>
                  <w:r>
                    <w:rPr>
                      <w:rFonts w:ascii="Times New Roman" w:hAnsi="Times New Roman" w:eastAsia="Times New Roman" w:cs="Times New Roman"/>
                      <w:spacing w:val="15"/>
                      <w:sz w:val="22"/>
                      <w:szCs w:val="22"/>
                    </w:rPr>
                    <w:t xml:space="preserve"> </w:t>
                  </w:r>
                  <w:r>
                    <w:rPr>
                      <w:spacing w:val="-5"/>
                      <w:sz w:val="22"/>
                      <w:szCs w:val="22"/>
                    </w:rPr>
                    <w:t>次</w:t>
                  </w:r>
                  <w:r>
                    <w:rPr>
                      <w:rFonts w:ascii="Times New Roman" w:hAnsi="Times New Roman" w:eastAsia="Times New Roman" w:cs="Times New Roman"/>
                      <w:spacing w:val="-5"/>
                      <w:sz w:val="22"/>
                      <w:szCs w:val="22"/>
                    </w:rPr>
                    <w:t>/</w:t>
                  </w:r>
                  <w:r>
                    <w:rPr>
                      <w:spacing w:val="-5"/>
                      <w:sz w:val="22"/>
                      <w:szCs w:val="22"/>
                    </w:rPr>
                    <w:t>年</w:t>
                  </w:r>
                </w:p>
              </w:tc>
              <w:tc>
                <w:tcPr>
                  <w:tcW w:w="965" w:type="dxa"/>
                  <w:vAlign w:val="top"/>
                </w:tcPr>
                <w:p w14:paraId="3E8E34B3">
                  <w:pPr>
                    <w:spacing w:line="276" w:lineRule="auto"/>
                    <w:rPr>
                      <w:rFonts w:ascii="Arial"/>
                      <w:sz w:val="21"/>
                    </w:rPr>
                  </w:pPr>
                </w:p>
                <w:p w14:paraId="0CB31649">
                  <w:pPr>
                    <w:spacing w:before="63" w:line="189" w:lineRule="auto"/>
                    <w:ind w:left="23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0.666</w:t>
                  </w:r>
                </w:p>
              </w:tc>
              <w:tc>
                <w:tcPr>
                  <w:tcW w:w="961" w:type="dxa"/>
                  <w:vAlign w:val="top"/>
                </w:tcPr>
                <w:p w14:paraId="33F1AF59">
                  <w:pPr>
                    <w:spacing w:line="276" w:lineRule="auto"/>
                    <w:rPr>
                      <w:rFonts w:ascii="Arial"/>
                      <w:sz w:val="21"/>
                    </w:rPr>
                  </w:pPr>
                </w:p>
                <w:p w14:paraId="43F921A5">
                  <w:pPr>
                    <w:spacing w:before="63" w:line="189" w:lineRule="auto"/>
                    <w:ind w:left="18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34.632</w:t>
                  </w:r>
                </w:p>
              </w:tc>
              <w:tc>
                <w:tcPr>
                  <w:tcW w:w="980" w:type="dxa"/>
                  <w:vAlign w:val="top"/>
                </w:tcPr>
                <w:p w14:paraId="13974F84">
                  <w:pPr>
                    <w:spacing w:line="276" w:lineRule="auto"/>
                    <w:rPr>
                      <w:rFonts w:ascii="Arial"/>
                      <w:sz w:val="21"/>
                    </w:rPr>
                  </w:pPr>
                </w:p>
                <w:p w14:paraId="19ADFC4F">
                  <w:pPr>
                    <w:spacing w:before="63" w:line="189" w:lineRule="auto"/>
                    <w:ind w:left="24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0.599</w:t>
                  </w:r>
                </w:p>
              </w:tc>
              <w:tc>
                <w:tcPr>
                  <w:tcW w:w="999" w:type="dxa"/>
                  <w:vAlign w:val="top"/>
                </w:tcPr>
                <w:p w14:paraId="54C9125E">
                  <w:pPr>
                    <w:spacing w:line="276" w:lineRule="auto"/>
                    <w:rPr>
                      <w:rFonts w:ascii="Arial"/>
                      <w:sz w:val="21"/>
                    </w:rPr>
                  </w:pPr>
                </w:p>
                <w:p w14:paraId="4B63F15B">
                  <w:pPr>
                    <w:spacing w:before="63" w:line="189" w:lineRule="auto"/>
                    <w:ind w:left="14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31.1688</w:t>
                  </w:r>
                </w:p>
              </w:tc>
              <w:tc>
                <w:tcPr>
                  <w:tcW w:w="902" w:type="dxa"/>
                  <w:vMerge w:val="restart"/>
                  <w:tcBorders>
                    <w:bottom w:val="nil"/>
                  </w:tcBorders>
                  <w:vAlign w:val="top"/>
                </w:tcPr>
                <w:p w14:paraId="341C6554">
                  <w:pPr>
                    <w:pStyle w:val="6"/>
                    <w:spacing w:before="307" w:line="244" w:lineRule="auto"/>
                    <w:ind w:left="239" w:right="119" w:hanging="115"/>
                    <w:rPr>
                      <w:sz w:val="22"/>
                      <w:szCs w:val="22"/>
                    </w:rPr>
                  </w:pPr>
                  <w:r>
                    <w:rPr>
                      <w:spacing w:val="-3"/>
                      <w:sz w:val="22"/>
                      <w:szCs w:val="22"/>
                    </w:rPr>
                    <w:t>进入隔</w:t>
                  </w:r>
                  <w:r>
                    <w:rPr>
                      <w:spacing w:val="-6"/>
                      <w:sz w:val="22"/>
                      <w:szCs w:val="22"/>
                    </w:rPr>
                    <w:t>油池</w:t>
                  </w:r>
                </w:p>
              </w:tc>
            </w:tr>
            <w:tr w14:paraId="3589E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3132" w:type="dxa"/>
                  <w:gridSpan w:val="3"/>
                  <w:vAlign w:val="top"/>
                </w:tcPr>
                <w:p w14:paraId="2EEAC6A8">
                  <w:pPr>
                    <w:pStyle w:val="6"/>
                    <w:spacing w:before="36" w:line="204" w:lineRule="auto"/>
                    <w:ind w:left="1358"/>
                    <w:rPr>
                      <w:sz w:val="22"/>
                      <w:szCs w:val="22"/>
                    </w:rPr>
                  </w:pPr>
                  <w:r>
                    <w:rPr>
                      <w:spacing w:val="-7"/>
                      <w:sz w:val="22"/>
                      <w:szCs w:val="22"/>
                    </w:rPr>
                    <w:t>小计</w:t>
                  </w:r>
                </w:p>
              </w:tc>
              <w:tc>
                <w:tcPr>
                  <w:tcW w:w="965" w:type="dxa"/>
                  <w:vAlign w:val="top"/>
                </w:tcPr>
                <w:p w14:paraId="7529AA54">
                  <w:pPr>
                    <w:spacing w:before="72" w:line="189" w:lineRule="auto"/>
                    <w:ind w:left="23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0.666</w:t>
                  </w:r>
                </w:p>
              </w:tc>
              <w:tc>
                <w:tcPr>
                  <w:tcW w:w="961" w:type="dxa"/>
                  <w:vAlign w:val="top"/>
                </w:tcPr>
                <w:p w14:paraId="0FD53C52">
                  <w:pPr>
                    <w:spacing w:before="72" w:line="189" w:lineRule="auto"/>
                    <w:ind w:left="18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34.632</w:t>
                  </w:r>
                </w:p>
              </w:tc>
              <w:tc>
                <w:tcPr>
                  <w:tcW w:w="980" w:type="dxa"/>
                  <w:vAlign w:val="top"/>
                </w:tcPr>
                <w:p w14:paraId="5AC7D695">
                  <w:pPr>
                    <w:spacing w:before="72" w:line="189" w:lineRule="auto"/>
                    <w:ind w:left="24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0.599</w:t>
                  </w:r>
                </w:p>
              </w:tc>
              <w:tc>
                <w:tcPr>
                  <w:tcW w:w="999" w:type="dxa"/>
                  <w:vAlign w:val="top"/>
                </w:tcPr>
                <w:p w14:paraId="7A3865B9">
                  <w:pPr>
                    <w:spacing w:before="72" w:line="189" w:lineRule="auto"/>
                    <w:ind w:left="14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31.1688</w:t>
                  </w:r>
                </w:p>
              </w:tc>
              <w:tc>
                <w:tcPr>
                  <w:tcW w:w="902" w:type="dxa"/>
                  <w:vMerge w:val="continue"/>
                  <w:tcBorders>
                    <w:top w:val="nil"/>
                  </w:tcBorders>
                  <w:vAlign w:val="top"/>
                </w:tcPr>
                <w:p w14:paraId="4B7AC70B">
                  <w:pPr>
                    <w:rPr>
                      <w:rFonts w:ascii="Arial"/>
                      <w:sz w:val="21"/>
                    </w:rPr>
                  </w:pPr>
                </w:p>
              </w:tc>
            </w:tr>
            <w:tr w14:paraId="30C84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3132" w:type="dxa"/>
                  <w:gridSpan w:val="3"/>
                  <w:vAlign w:val="top"/>
                </w:tcPr>
                <w:p w14:paraId="65177FFE">
                  <w:pPr>
                    <w:pStyle w:val="6"/>
                    <w:spacing w:before="37" w:line="207" w:lineRule="auto"/>
                    <w:ind w:left="1353"/>
                    <w:rPr>
                      <w:sz w:val="22"/>
                      <w:szCs w:val="22"/>
                    </w:rPr>
                  </w:pPr>
                  <w:r>
                    <w:rPr>
                      <w:spacing w:val="-4"/>
                      <w:sz w:val="22"/>
                      <w:szCs w:val="22"/>
                    </w:rPr>
                    <w:t>合计</w:t>
                  </w:r>
                </w:p>
              </w:tc>
              <w:tc>
                <w:tcPr>
                  <w:tcW w:w="965" w:type="dxa"/>
                  <w:vAlign w:val="top"/>
                </w:tcPr>
                <w:p w14:paraId="1CC94500">
                  <w:pPr>
                    <w:spacing w:before="72" w:line="189" w:lineRule="auto"/>
                    <w:ind w:left="23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2.916</w:t>
                  </w:r>
                </w:p>
              </w:tc>
              <w:tc>
                <w:tcPr>
                  <w:tcW w:w="961" w:type="dxa"/>
                  <w:vAlign w:val="top"/>
                </w:tcPr>
                <w:p w14:paraId="3CB78DE1">
                  <w:pPr>
                    <w:spacing w:before="72" w:line="189" w:lineRule="auto"/>
                    <w:ind w:left="13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855.882</w:t>
                  </w:r>
                </w:p>
              </w:tc>
              <w:tc>
                <w:tcPr>
                  <w:tcW w:w="980" w:type="dxa"/>
                  <w:vAlign w:val="top"/>
                </w:tcPr>
                <w:p w14:paraId="13B2B9A9">
                  <w:pPr>
                    <w:spacing w:before="72" w:line="189" w:lineRule="auto"/>
                    <w:ind w:left="24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2.624</w:t>
                  </w:r>
                </w:p>
              </w:tc>
              <w:tc>
                <w:tcPr>
                  <w:tcW w:w="999" w:type="dxa"/>
                  <w:vAlign w:val="top"/>
                </w:tcPr>
                <w:p w14:paraId="30BB97A4">
                  <w:pPr>
                    <w:spacing w:before="72" w:line="189" w:lineRule="auto"/>
                    <w:ind w:left="14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770.294</w:t>
                  </w:r>
                </w:p>
              </w:tc>
              <w:tc>
                <w:tcPr>
                  <w:tcW w:w="902" w:type="dxa"/>
                  <w:vAlign w:val="top"/>
                </w:tcPr>
                <w:p w14:paraId="40C0EBA0">
                  <w:pPr>
                    <w:spacing w:before="68" w:line="193" w:lineRule="auto"/>
                    <w:ind w:left="41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bl>
          <w:p w14:paraId="01492F21">
            <w:pPr>
              <w:spacing w:line="287" w:lineRule="auto"/>
              <w:rPr>
                <w:rFonts w:ascii="Arial"/>
                <w:sz w:val="21"/>
              </w:rPr>
            </w:pPr>
          </w:p>
          <w:p w14:paraId="1E315989">
            <w:pPr>
              <w:spacing w:line="2728" w:lineRule="exact"/>
              <w:ind w:firstLine="279"/>
            </w:pPr>
            <w:r>
              <w:rPr>
                <w:position w:val="-54"/>
              </w:rPr>
              <w:drawing>
                <wp:inline distT="0" distB="0" distL="0" distR="0">
                  <wp:extent cx="4808855" cy="173228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8"/>
                          <a:stretch>
                            <a:fillRect/>
                          </a:stretch>
                        </pic:blipFill>
                        <pic:spPr>
                          <a:xfrm>
                            <a:off x="0" y="0"/>
                            <a:ext cx="4809024" cy="1732343"/>
                          </a:xfrm>
                          <a:prstGeom prst="rect">
                            <a:avLst/>
                          </a:prstGeom>
                        </pic:spPr>
                      </pic:pic>
                    </a:graphicData>
                  </a:graphic>
                </wp:inline>
              </w:drawing>
            </w:r>
          </w:p>
          <w:p w14:paraId="47F8B473">
            <w:pPr>
              <w:rPr>
                <w:rFonts w:ascii="Arial"/>
                <w:sz w:val="21"/>
              </w:rPr>
            </w:pPr>
          </w:p>
          <w:p w14:paraId="3C3A3606">
            <w:pPr>
              <w:spacing w:line="241" w:lineRule="auto"/>
              <w:rPr>
                <w:rFonts w:ascii="Arial"/>
                <w:sz w:val="21"/>
              </w:rPr>
            </w:pPr>
          </w:p>
          <w:p w14:paraId="1D7ED4FA">
            <w:pPr>
              <w:pStyle w:val="6"/>
              <w:spacing w:before="81" w:line="225" w:lineRule="auto"/>
              <w:ind w:left="1479"/>
            </w:pPr>
            <w:r>
              <w:rPr>
                <w:spacing w:val="4"/>
              </w:rPr>
              <w:t>图</w:t>
            </w:r>
            <w:r>
              <w:rPr>
                <w:spacing w:val="-49"/>
              </w:rPr>
              <w:t xml:space="preserve"> </w:t>
            </w:r>
            <w:r>
              <w:rPr>
                <w:rFonts w:ascii="Times New Roman" w:hAnsi="Times New Roman" w:eastAsia="Times New Roman" w:cs="Times New Roman"/>
                <w:spacing w:val="4"/>
              </w:rPr>
              <w:t>2.7-</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 xml:space="preserve">1    </w:t>
            </w:r>
            <w:r>
              <w:rPr>
                <w:spacing w:val="4"/>
              </w:rPr>
              <w:t>本项目实施后全站水平衡图（</w:t>
            </w:r>
            <w:r>
              <w:rPr>
                <w:rFonts w:ascii="Times New Roman" w:hAnsi="Times New Roman" w:eastAsia="Times New Roman" w:cs="Times New Roman"/>
                <w:spacing w:val="4"/>
              </w:rPr>
              <w:t>m</w:t>
            </w:r>
            <w:r>
              <w:rPr>
                <w:rFonts w:ascii="Times New Roman" w:hAnsi="Times New Roman" w:eastAsia="Times New Roman" w:cs="Times New Roman"/>
                <w:spacing w:val="4"/>
                <w:position w:val="8"/>
                <w:sz w:val="16"/>
                <w:szCs w:val="16"/>
              </w:rPr>
              <w:t>3</w:t>
            </w:r>
            <w:r>
              <w:rPr>
                <w:rFonts w:ascii="Times New Roman" w:hAnsi="Times New Roman" w:eastAsia="Times New Roman" w:cs="Times New Roman"/>
                <w:spacing w:val="4"/>
              </w:rPr>
              <w:t>/d</w:t>
            </w:r>
            <w:r>
              <w:rPr>
                <w:spacing w:val="4"/>
              </w:rPr>
              <w:t>）</w:t>
            </w:r>
          </w:p>
          <w:p w14:paraId="7193860E">
            <w:pPr>
              <w:pStyle w:val="6"/>
              <w:spacing w:before="156" w:line="225" w:lineRule="auto"/>
              <w:ind w:left="106"/>
            </w:pPr>
            <w:r>
              <w:rPr>
                <w:rFonts w:ascii="Times New Roman" w:hAnsi="Times New Roman" w:eastAsia="Times New Roman" w:cs="Times New Roman"/>
                <w:b/>
                <w:bCs/>
                <w:spacing w:val="5"/>
              </w:rPr>
              <w:t xml:space="preserve">2.8 </w:t>
            </w:r>
            <w:r>
              <w:rPr>
                <w:b/>
                <w:bCs/>
                <w:spacing w:val="5"/>
              </w:rPr>
              <w:t>厂区平面布置图</w:t>
            </w:r>
          </w:p>
          <w:p w14:paraId="29BC30C0">
            <w:pPr>
              <w:pStyle w:val="6"/>
              <w:spacing w:before="156" w:line="226" w:lineRule="auto"/>
              <w:ind w:left="628"/>
            </w:pPr>
            <w:r>
              <w:rPr>
                <w:spacing w:val="9"/>
              </w:rPr>
              <w:t>加油站进出口分开设置，车辆由西侧驶入，东侧驶出。</w:t>
            </w:r>
          </w:p>
          <w:p w14:paraId="0A5E579D">
            <w:pPr>
              <w:pStyle w:val="6"/>
              <w:spacing w:before="150" w:line="340" w:lineRule="auto"/>
              <w:ind w:left="111" w:right="102" w:firstLine="517"/>
            </w:pPr>
            <w:r>
              <w:rPr>
                <w:spacing w:val="5"/>
              </w:rPr>
              <w:t>加油区位于场区中间，设置</w:t>
            </w:r>
            <w:r>
              <w:rPr>
                <w:spacing w:val="-47"/>
              </w:rPr>
              <w:t xml:space="preserve"> </w:t>
            </w:r>
            <w:r>
              <w:rPr>
                <w:rFonts w:ascii="Times New Roman" w:hAnsi="Times New Roman" w:eastAsia="Times New Roman" w:cs="Times New Roman"/>
                <w:spacing w:val="5"/>
              </w:rPr>
              <w:t xml:space="preserve">3 </w:t>
            </w:r>
            <w:r>
              <w:rPr>
                <w:spacing w:val="5"/>
              </w:rPr>
              <w:t>个加油岛，呈矩形布置，临</w:t>
            </w:r>
            <w:r>
              <w:rPr>
                <w:spacing w:val="4"/>
              </w:rPr>
              <w:t>近路侧为前排加油岛（共计</w:t>
            </w:r>
            <w:r>
              <w:rPr>
                <w:spacing w:val="-51"/>
              </w:rPr>
              <w:t xml:space="preserve"> </w:t>
            </w:r>
            <w:r>
              <w:rPr>
                <w:rFonts w:ascii="Times New Roman" w:hAnsi="Times New Roman" w:eastAsia="Times New Roman" w:cs="Times New Roman"/>
                <w:spacing w:val="4"/>
              </w:rPr>
              <w:t xml:space="preserve">2 </w:t>
            </w:r>
            <w:r>
              <w:rPr>
                <w:spacing w:val="4"/>
              </w:rPr>
              <w:t>个），远离路侧为后排加油岛（共计</w:t>
            </w:r>
            <w:r>
              <w:rPr>
                <w:spacing w:val="-27"/>
              </w:rPr>
              <w:t xml:space="preserve"> </w:t>
            </w:r>
            <w:r>
              <w:rPr>
                <w:rFonts w:ascii="Times New Roman" w:hAnsi="Times New Roman" w:eastAsia="Times New Roman" w:cs="Times New Roman"/>
                <w:spacing w:val="4"/>
              </w:rPr>
              <w:t xml:space="preserve">1 </w:t>
            </w:r>
            <w:r>
              <w:rPr>
                <w:spacing w:val="4"/>
              </w:rPr>
              <w:t>个）。加油</w:t>
            </w:r>
            <w:r>
              <w:rPr>
                <w:spacing w:val="8"/>
              </w:rPr>
              <w:t>区上方设置罩棚，下方为地埋储罐区，由近路到远路依次分布</w:t>
            </w:r>
            <w:r>
              <w:rPr>
                <w:spacing w:val="-32"/>
              </w:rPr>
              <w:t xml:space="preserve"> </w:t>
            </w:r>
            <w:r>
              <w:rPr>
                <w:rFonts w:ascii="Times New Roman" w:hAnsi="Times New Roman" w:eastAsia="Times New Roman" w:cs="Times New Roman"/>
                <w:spacing w:val="8"/>
              </w:rPr>
              <w:t>95</w:t>
            </w:r>
            <w:r>
              <w:rPr>
                <w:rFonts w:ascii="Times New Roman" w:hAnsi="Times New Roman" w:eastAsia="Times New Roman" w:cs="Times New Roman"/>
                <w:spacing w:val="8"/>
                <w:position w:val="8"/>
                <w:sz w:val="16"/>
                <w:szCs w:val="16"/>
              </w:rPr>
              <w:t>#</w:t>
            </w:r>
            <w:r>
              <w:rPr>
                <w:spacing w:val="8"/>
              </w:rPr>
              <w:t>汽油</w:t>
            </w:r>
            <w:r>
              <w:rPr>
                <w:spacing w:val="6"/>
              </w:rPr>
              <w:t>罐、</w:t>
            </w:r>
            <w:r>
              <w:rPr>
                <w:rFonts w:ascii="Times New Roman" w:hAnsi="Times New Roman" w:eastAsia="Times New Roman" w:cs="Times New Roman"/>
                <w:spacing w:val="6"/>
              </w:rPr>
              <w:t>92</w:t>
            </w:r>
            <w:r>
              <w:rPr>
                <w:rFonts w:ascii="Times New Roman" w:hAnsi="Times New Roman" w:eastAsia="Times New Roman" w:cs="Times New Roman"/>
                <w:spacing w:val="6"/>
                <w:position w:val="8"/>
                <w:sz w:val="16"/>
                <w:szCs w:val="16"/>
              </w:rPr>
              <w:t>#</w:t>
            </w:r>
            <w:r>
              <w:rPr>
                <w:spacing w:val="6"/>
              </w:rPr>
              <w:t>汽油罐及</w:t>
            </w:r>
            <w:r>
              <w:rPr>
                <w:spacing w:val="-43"/>
              </w:rPr>
              <w:t xml:space="preserve"> </w:t>
            </w:r>
            <w:r>
              <w:rPr>
                <w:rFonts w:ascii="Times New Roman" w:hAnsi="Times New Roman" w:eastAsia="Times New Roman" w:cs="Times New Roman"/>
                <w:spacing w:val="6"/>
              </w:rPr>
              <w:t>98</w:t>
            </w:r>
            <w:r>
              <w:rPr>
                <w:rFonts w:ascii="Times New Roman" w:hAnsi="Times New Roman" w:eastAsia="Times New Roman" w:cs="Times New Roman"/>
                <w:spacing w:val="6"/>
                <w:position w:val="8"/>
                <w:sz w:val="16"/>
                <w:szCs w:val="16"/>
              </w:rPr>
              <w:t>#</w:t>
            </w:r>
            <w:r>
              <w:rPr>
                <w:spacing w:val="6"/>
              </w:rPr>
              <w:t>汽油罐，油罐之间间距为</w:t>
            </w:r>
            <w:r>
              <w:rPr>
                <w:spacing w:val="-29"/>
              </w:rPr>
              <w:t xml:space="preserve"> </w:t>
            </w:r>
            <w:r>
              <w:rPr>
                <w:rFonts w:ascii="Times New Roman" w:hAnsi="Times New Roman" w:eastAsia="Times New Roman" w:cs="Times New Roman"/>
                <w:spacing w:val="6"/>
              </w:rPr>
              <w:t xml:space="preserve">1.3 </w:t>
            </w:r>
            <w:r>
              <w:rPr>
                <w:spacing w:val="6"/>
              </w:rPr>
              <w:t>米，油罐安装有防溢阀。同时，每个油罐单独设置通气管，沿东北侧罩棚立柱引</w:t>
            </w:r>
            <w:r>
              <w:rPr>
                <w:spacing w:val="5"/>
              </w:rPr>
              <w:t>上，高出棚</w:t>
            </w:r>
            <w:r>
              <w:t>面</w:t>
            </w:r>
            <w:r>
              <w:rPr>
                <w:spacing w:val="-52"/>
              </w:rPr>
              <w:t xml:space="preserve"> </w:t>
            </w:r>
            <w:r>
              <w:rPr>
                <w:rFonts w:ascii="Times New Roman" w:hAnsi="Times New Roman" w:eastAsia="Times New Roman" w:cs="Times New Roman"/>
              </w:rPr>
              <w:t>2m</w:t>
            </w:r>
            <w:r>
              <w:t>。</w:t>
            </w:r>
          </w:p>
          <w:p w14:paraId="402ADBF1">
            <w:pPr>
              <w:pStyle w:val="6"/>
              <w:spacing w:before="1" w:line="340" w:lineRule="auto"/>
              <w:ind w:left="111" w:right="40" w:firstLine="518"/>
            </w:pPr>
            <w:r>
              <w:rPr>
                <w:spacing w:val="6"/>
              </w:rPr>
              <w:t>站房一位于加油站西南侧，紧邻罩棚，</w:t>
            </w:r>
            <w:r>
              <w:rPr>
                <w:rFonts w:ascii="Times New Roman" w:hAnsi="Times New Roman" w:eastAsia="Times New Roman" w:cs="Times New Roman"/>
                <w:spacing w:val="6"/>
              </w:rPr>
              <w:t>1F</w:t>
            </w:r>
            <w:r>
              <w:rPr>
                <w:rFonts w:ascii="Times New Roman" w:hAnsi="Times New Roman" w:eastAsia="Times New Roman" w:cs="Times New Roman"/>
                <w:spacing w:val="-32"/>
              </w:rPr>
              <w:t xml:space="preserve"> </w:t>
            </w:r>
            <w:r>
              <w:rPr>
                <w:spacing w:val="6"/>
              </w:rPr>
              <w:t>，包含便利店、办公室；</w:t>
            </w:r>
            <w:r>
              <w:rPr>
                <w:spacing w:val="8"/>
              </w:rPr>
              <w:t>站房二位于加油站南侧，</w:t>
            </w:r>
            <w:r>
              <w:rPr>
                <w:rFonts w:ascii="Times New Roman" w:hAnsi="Times New Roman" w:eastAsia="Times New Roman" w:cs="Times New Roman"/>
                <w:spacing w:val="8"/>
              </w:rPr>
              <w:t>2F</w:t>
            </w:r>
            <w:r>
              <w:rPr>
                <w:rFonts w:ascii="Times New Roman" w:hAnsi="Times New Roman" w:eastAsia="Times New Roman" w:cs="Times New Roman"/>
                <w:spacing w:val="-32"/>
              </w:rPr>
              <w:t xml:space="preserve"> </w:t>
            </w:r>
            <w:r>
              <w:rPr>
                <w:spacing w:val="8"/>
              </w:rPr>
              <w:t>，包含柴油发电机</w:t>
            </w:r>
            <w:r>
              <w:rPr>
                <w:spacing w:val="7"/>
              </w:rPr>
              <w:t>房、员工倒班房。</w:t>
            </w:r>
          </w:p>
          <w:p w14:paraId="2749352B">
            <w:pPr>
              <w:pStyle w:val="6"/>
              <w:spacing w:before="1" w:line="225" w:lineRule="auto"/>
              <w:ind w:left="644"/>
            </w:pPr>
            <w:r>
              <w:rPr>
                <w:spacing w:val="5"/>
              </w:rPr>
              <w:t>隔油池、生化池均位于站区西北侧，三次油气回收处理装置位于前</w:t>
            </w:r>
          </w:p>
        </w:tc>
      </w:tr>
    </w:tbl>
    <w:p w14:paraId="7E3D33D3">
      <w:pPr>
        <w:pStyle w:val="2"/>
        <w:rPr>
          <w:sz w:val="21"/>
        </w:rPr>
      </w:pPr>
    </w:p>
    <w:p w14:paraId="24A7A538">
      <w:pPr>
        <w:rPr>
          <w:sz w:val="21"/>
          <w:szCs w:val="21"/>
        </w:rPr>
        <w:sectPr>
          <w:footerReference r:id="rId41" w:type="default"/>
          <w:pgSz w:w="11906" w:h="16839"/>
          <w:pgMar w:top="400" w:right="1451" w:bottom="1009" w:left="1451" w:header="0" w:footer="770" w:gutter="0"/>
          <w:cols w:space="720" w:num="1"/>
        </w:sectPr>
      </w:pPr>
    </w:p>
    <w:p w14:paraId="1BB9B58F">
      <w:pPr>
        <w:spacing w:before="19"/>
      </w:pPr>
    </w:p>
    <w:p w14:paraId="45A97E4E">
      <w:pPr>
        <w:spacing w:before="19"/>
      </w:pPr>
    </w:p>
    <w:p w14:paraId="7EFC1152">
      <w:pPr>
        <w:spacing w:before="19"/>
      </w:pPr>
    </w:p>
    <w:p w14:paraId="61226924">
      <w:pPr>
        <w:spacing w:before="18"/>
      </w:pPr>
    </w:p>
    <w:p w14:paraId="64AA6F3E">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60B17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55" w:hRule="atLeast"/>
        </w:trPr>
        <w:tc>
          <w:tcPr>
            <w:tcW w:w="831" w:type="dxa"/>
            <w:tcBorders>
              <w:bottom w:val="single" w:color="000000" w:sz="2" w:space="0"/>
              <w:right w:val="single" w:color="000000" w:sz="2" w:space="0"/>
            </w:tcBorders>
            <w:vAlign w:val="top"/>
          </w:tcPr>
          <w:p w14:paraId="4C7AAC9D">
            <w:pPr>
              <w:rPr>
                <w:rFonts w:ascii="Arial"/>
                <w:sz w:val="21"/>
              </w:rPr>
            </w:pPr>
          </w:p>
        </w:tc>
        <w:tc>
          <w:tcPr>
            <w:tcW w:w="8157" w:type="dxa"/>
            <w:tcBorders>
              <w:left w:val="single" w:color="000000" w:sz="2" w:space="0"/>
              <w:bottom w:val="single" w:color="000000" w:sz="2" w:space="0"/>
            </w:tcBorders>
            <w:vAlign w:val="top"/>
          </w:tcPr>
          <w:p w14:paraId="473DB46A">
            <w:pPr>
              <w:pStyle w:val="6"/>
              <w:spacing w:before="150" w:line="225" w:lineRule="auto"/>
              <w:ind w:left="110"/>
            </w:pPr>
            <w:r>
              <w:rPr>
                <w:spacing w:val="9"/>
              </w:rPr>
              <w:t>排东侧加油岛旁，危废贮存点及消防器材集中放置于站区东南侧。</w:t>
            </w:r>
          </w:p>
          <w:p w14:paraId="2C6E0E35">
            <w:pPr>
              <w:pStyle w:val="6"/>
              <w:spacing w:before="156" w:line="339" w:lineRule="auto"/>
              <w:ind w:left="108" w:right="102" w:firstLine="521"/>
            </w:pPr>
            <w:r>
              <w:rPr>
                <w:spacing w:val="5"/>
              </w:rPr>
              <w:t>站内各建（构）筑物安全防火间距符合要求，改扩建前后总平面布</w:t>
            </w:r>
            <w:r>
              <w:rPr>
                <w:spacing w:val="6"/>
              </w:rPr>
              <w:t>置无变化。</w:t>
            </w:r>
          </w:p>
          <w:p w14:paraId="3836A845">
            <w:pPr>
              <w:pStyle w:val="6"/>
              <w:spacing w:before="1" w:line="225" w:lineRule="auto"/>
              <w:ind w:left="106"/>
            </w:pPr>
            <w:r>
              <w:rPr>
                <w:rFonts w:ascii="Times New Roman" w:hAnsi="Times New Roman" w:eastAsia="Times New Roman" w:cs="Times New Roman"/>
                <w:b/>
                <w:bCs/>
                <w:spacing w:val="5"/>
              </w:rPr>
              <w:t xml:space="preserve">2.9 </w:t>
            </w:r>
            <w:r>
              <w:rPr>
                <w:b/>
                <w:bCs/>
                <w:spacing w:val="5"/>
              </w:rPr>
              <w:t>主要技术经济指标</w:t>
            </w:r>
          </w:p>
          <w:p w14:paraId="2E0143C0">
            <w:pPr>
              <w:pStyle w:val="6"/>
              <w:spacing w:before="155" w:line="225" w:lineRule="auto"/>
              <w:ind w:left="629"/>
            </w:pPr>
            <w:r>
              <w:rPr>
                <w:spacing w:val="8"/>
              </w:rPr>
              <w:t>本项目改扩建后主要技术经济指标见下表。</w:t>
            </w:r>
          </w:p>
          <w:p w14:paraId="113A0A13">
            <w:pPr>
              <w:pStyle w:val="6"/>
              <w:spacing w:before="153" w:line="225" w:lineRule="auto"/>
              <w:ind w:left="1568"/>
            </w:pPr>
            <w:r>
              <w:rPr>
                <w:spacing w:val="5"/>
              </w:rPr>
              <w:t>表</w:t>
            </w:r>
            <w:r>
              <w:rPr>
                <w:spacing w:val="-36"/>
              </w:rPr>
              <w:t xml:space="preserve"> </w:t>
            </w:r>
            <w:r>
              <w:rPr>
                <w:rFonts w:ascii="Times New Roman" w:hAnsi="Times New Roman" w:eastAsia="Times New Roman" w:cs="Times New Roman"/>
                <w:spacing w:val="5"/>
              </w:rPr>
              <w:t>2.9-</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 xml:space="preserve">1    </w:t>
            </w:r>
            <w:r>
              <w:rPr>
                <w:spacing w:val="5"/>
              </w:rPr>
              <w:t>本项目改扩建后主要技术经济指标</w:t>
            </w:r>
          </w:p>
          <w:p w14:paraId="6A2BA3F7">
            <w:pPr>
              <w:spacing w:line="116" w:lineRule="auto"/>
              <w:rPr>
                <w:rFonts w:ascii="Arial"/>
                <w:sz w:val="2"/>
              </w:rPr>
            </w:pPr>
          </w:p>
          <w:tbl>
            <w:tblPr>
              <w:tblStyle w:val="5"/>
              <w:tblW w:w="7939"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3"/>
              <w:gridCol w:w="883"/>
              <w:gridCol w:w="1441"/>
              <w:gridCol w:w="824"/>
              <w:gridCol w:w="1142"/>
              <w:gridCol w:w="2756"/>
            </w:tblGrid>
            <w:tr w14:paraId="78528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93" w:type="dxa"/>
                  <w:vAlign w:val="top"/>
                </w:tcPr>
                <w:p w14:paraId="4A4161EC">
                  <w:pPr>
                    <w:pStyle w:val="6"/>
                    <w:spacing w:before="76" w:line="222" w:lineRule="auto"/>
                    <w:ind w:left="231"/>
                    <w:rPr>
                      <w:sz w:val="22"/>
                      <w:szCs w:val="22"/>
                    </w:rPr>
                  </w:pPr>
                  <w:r>
                    <w:rPr>
                      <w:spacing w:val="-3"/>
                      <w:sz w:val="22"/>
                      <w:szCs w:val="22"/>
                    </w:rPr>
                    <w:t>序号</w:t>
                  </w:r>
                </w:p>
              </w:tc>
              <w:tc>
                <w:tcPr>
                  <w:tcW w:w="2324" w:type="dxa"/>
                  <w:gridSpan w:val="2"/>
                  <w:vAlign w:val="top"/>
                </w:tcPr>
                <w:p w14:paraId="44731030">
                  <w:pPr>
                    <w:pStyle w:val="6"/>
                    <w:spacing w:before="77" w:line="222" w:lineRule="auto"/>
                    <w:ind w:left="839"/>
                    <w:rPr>
                      <w:sz w:val="22"/>
                      <w:szCs w:val="22"/>
                    </w:rPr>
                  </w:pPr>
                  <w:r>
                    <w:rPr>
                      <w:spacing w:val="-6"/>
                      <w:sz w:val="22"/>
                      <w:szCs w:val="22"/>
                    </w:rPr>
                    <w:t>名</w:t>
                  </w:r>
                  <w:r>
                    <w:rPr>
                      <w:spacing w:val="4"/>
                      <w:sz w:val="22"/>
                      <w:szCs w:val="22"/>
                    </w:rPr>
                    <w:t xml:space="preserve">  </w:t>
                  </w:r>
                  <w:r>
                    <w:rPr>
                      <w:spacing w:val="-6"/>
                      <w:sz w:val="22"/>
                      <w:szCs w:val="22"/>
                    </w:rPr>
                    <w:t>称</w:t>
                  </w:r>
                </w:p>
              </w:tc>
              <w:tc>
                <w:tcPr>
                  <w:tcW w:w="824" w:type="dxa"/>
                  <w:vAlign w:val="top"/>
                </w:tcPr>
                <w:p w14:paraId="4055963D">
                  <w:pPr>
                    <w:pStyle w:val="6"/>
                    <w:spacing w:before="77" w:line="221" w:lineRule="auto"/>
                    <w:ind w:left="144"/>
                    <w:rPr>
                      <w:sz w:val="22"/>
                      <w:szCs w:val="22"/>
                    </w:rPr>
                  </w:pPr>
                  <w:r>
                    <w:rPr>
                      <w:spacing w:val="-5"/>
                      <w:sz w:val="22"/>
                      <w:szCs w:val="22"/>
                    </w:rPr>
                    <w:t>单</w:t>
                  </w:r>
                  <w:r>
                    <w:rPr>
                      <w:spacing w:val="8"/>
                      <w:sz w:val="22"/>
                      <w:szCs w:val="22"/>
                    </w:rPr>
                    <w:t xml:space="preserve"> </w:t>
                  </w:r>
                  <w:r>
                    <w:rPr>
                      <w:spacing w:val="-5"/>
                      <w:sz w:val="22"/>
                      <w:szCs w:val="22"/>
                    </w:rPr>
                    <w:t>位</w:t>
                  </w:r>
                </w:p>
              </w:tc>
              <w:tc>
                <w:tcPr>
                  <w:tcW w:w="1142" w:type="dxa"/>
                  <w:vAlign w:val="top"/>
                </w:tcPr>
                <w:p w14:paraId="1AFE024C">
                  <w:pPr>
                    <w:pStyle w:val="6"/>
                    <w:spacing w:before="77" w:line="221" w:lineRule="auto"/>
                    <w:ind w:left="305"/>
                    <w:rPr>
                      <w:sz w:val="22"/>
                      <w:szCs w:val="22"/>
                    </w:rPr>
                  </w:pPr>
                  <w:r>
                    <w:rPr>
                      <w:spacing w:val="-6"/>
                      <w:sz w:val="22"/>
                      <w:szCs w:val="22"/>
                    </w:rPr>
                    <w:t>指</w:t>
                  </w:r>
                  <w:r>
                    <w:rPr>
                      <w:spacing w:val="8"/>
                      <w:sz w:val="22"/>
                      <w:szCs w:val="22"/>
                    </w:rPr>
                    <w:t xml:space="preserve"> </w:t>
                  </w:r>
                  <w:r>
                    <w:rPr>
                      <w:spacing w:val="-6"/>
                      <w:sz w:val="22"/>
                      <w:szCs w:val="22"/>
                    </w:rPr>
                    <w:t>标</w:t>
                  </w:r>
                </w:p>
              </w:tc>
              <w:tc>
                <w:tcPr>
                  <w:tcW w:w="2756" w:type="dxa"/>
                  <w:vAlign w:val="top"/>
                </w:tcPr>
                <w:p w14:paraId="4B686EDE">
                  <w:pPr>
                    <w:pStyle w:val="6"/>
                    <w:spacing w:before="76" w:line="222" w:lineRule="auto"/>
                    <w:ind w:left="1056"/>
                    <w:rPr>
                      <w:sz w:val="22"/>
                      <w:szCs w:val="22"/>
                    </w:rPr>
                  </w:pPr>
                  <w:r>
                    <w:rPr>
                      <w:spacing w:val="-6"/>
                      <w:sz w:val="22"/>
                      <w:szCs w:val="22"/>
                    </w:rPr>
                    <w:t>备</w:t>
                  </w:r>
                  <w:r>
                    <w:rPr>
                      <w:spacing w:val="3"/>
                      <w:sz w:val="22"/>
                      <w:szCs w:val="22"/>
                    </w:rPr>
                    <w:t xml:space="preserve">  </w:t>
                  </w:r>
                  <w:r>
                    <w:rPr>
                      <w:spacing w:val="-6"/>
                      <w:sz w:val="22"/>
                      <w:szCs w:val="22"/>
                    </w:rPr>
                    <w:t>注</w:t>
                  </w:r>
                </w:p>
              </w:tc>
            </w:tr>
            <w:tr w14:paraId="09FC6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93" w:type="dxa"/>
                  <w:vMerge w:val="restart"/>
                  <w:tcBorders>
                    <w:bottom w:val="nil"/>
                  </w:tcBorders>
                  <w:vAlign w:val="top"/>
                </w:tcPr>
                <w:p w14:paraId="0758DE7D">
                  <w:pPr>
                    <w:spacing w:line="424" w:lineRule="auto"/>
                    <w:rPr>
                      <w:rFonts w:ascii="Arial"/>
                      <w:sz w:val="21"/>
                    </w:rPr>
                  </w:pPr>
                </w:p>
                <w:p w14:paraId="3F14237C">
                  <w:pPr>
                    <w:spacing w:before="64" w:line="189" w:lineRule="auto"/>
                    <w:ind w:left="41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883" w:type="dxa"/>
                  <w:vMerge w:val="restart"/>
                  <w:tcBorders>
                    <w:bottom w:val="nil"/>
                  </w:tcBorders>
                  <w:vAlign w:val="top"/>
                </w:tcPr>
                <w:p w14:paraId="4BCD6C59">
                  <w:pPr>
                    <w:pStyle w:val="6"/>
                    <w:spacing w:before="310" w:line="242" w:lineRule="auto"/>
                    <w:ind w:left="228" w:right="217"/>
                    <w:rPr>
                      <w:sz w:val="22"/>
                      <w:szCs w:val="22"/>
                    </w:rPr>
                  </w:pPr>
                  <w:r>
                    <w:rPr>
                      <w:spacing w:val="-4"/>
                      <w:sz w:val="22"/>
                      <w:szCs w:val="22"/>
                    </w:rPr>
                    <w:t>销售规模</w:t>
                  </w:r>
                </w:p>
              </w:tc>
              <w:tc>
                <w:tcPr>
                  <w:tcW w:w="1441" w:type="dxa"/>
                  <w:vAlign w:val="top"/>
                </w:tcPr>
                <w:p w14:paraId="404E6EFF">
                  <w:pPr>
                    <w:pStyle w:val="6"/>
                    <w:spacing w:before="73" w:line="224" w:lineRule="auto"/>
                    <w:ind w:left="359"/>
                    <w:rPr>
                      <w:sz w:val="22"/>
                      <w:szCs w:val="22"/>
                    </w:rPr>
                  </w:pPr>
                  <w:r>
                    <w:rPr>
                      <w:rFonts w:ascii="Times New Roman" w:hAnsi="Times New Roman" w:eastAsia="Times New Roman" w:cs="Times New Roman"/>
                      <w:spacing w:val="-1"/>
                      <w:sz w:val="22"/>
                      <w:szCs w:val="22"/>
                    </w:rPr>
                    <w:t>92</w:t>
                  </w:r>
                  <w:r>
                    <w:rPr>
                      <w:rFonts w:ascii="Times New Roman" w:hAnsi="Times New Roman" w:eastAsia="Times New Roman" w:cs="Times New Roman"/>
                      <w:spacing w:val="-1"/>
                      <w:position w:val="6"/>
                      <w:sz w:val="14"/>
                      <w:szCs w:val="14"/>
                    </w:rPr>
                    <w:t>#</w:t>
                  </w:r>
                  <w:r>
                    <w:rPr>
                      <w:spacing w:val="-1"/>
                      <w:sz w:val="22"/>
                      <w:szCs w:val="22"/>
                    </w:rPr>
                    <w:t>汽油</w:t>
                  </w:r>
                </w:p>
              </w:tc>
              <w:tc>
                <w:tcPr>
                  <w:tcW w:w="824" w:type="dxa"/>
                  <w:vAlign w:val="top"/>
                </w:tcPr>
                <w:p w14:paraId="071D5A5E">
                  <w:pPr>
                    <w:spacing w:before="107" w:line="193" w:lineRule="auto"/>
                    <w:ind w:left="30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t/a</w:t>
                  </w:r>
                </w:p>
              </w:tc>
              <w:tc>
                <w:tcPr>
                  <w:tcW w:w="1142" w:type="dxa"/>
                  <w:vAlign w:val="top"/>
                </w:tcPr>
                <w:p w14:paraId="4F87D7A6">
                  <w:pPr>
                    <w:spacing w:before="111" w:line="189" w:lineRule="auto"/>
                    <w:ind w:left="379"/>
                    <w:rPr>
                      <w:rFonts w:ascii="Times New Roman" w:hAnsi="Times New Roman" w:eastAsia="Times New Roman" w:cs="Times New Roman"/>
                      <w:sz w:val="22"/>
                      <w:szCs w:val="22"/>
                    </w:rPr>
                  </w:pPr>
                  <w:r>
                    <w:rPr>
                      <w:rFonts w:ascii="Times New Roman" w:hAnsi="Times New Roman" w:eastAsia="Times New Roman" w:cs="Times New Roman"/>
                      <w:spacing w:val="-8"/>
                      <w:sz w:val="22"/>
                      <w:szCs w:val="22"/>
                    </w:rPr>
                    <w:t>1100</w:t>
                  </w:r>
                </w:p>
              </w:tc>
              <w:tc>
                <w:tcPr>
                  <w:tcW w:w="2756" w:type="dxa"/>
                  <w:vAlign w:val="top"/>
                </w:tcPr>
                <w:p w14:paraId="455770D2">
                  <w:pPr>
                    <w:pStyle w:val="6"/>
                    <w:spacing w:before="73" w:line="220" w:lineRule="auto"/>
                    <w:ind w:left="512"/>
                    <w:rPr>
                      <w:sz w:val="22"/>
                      <w:szCs w:val="22"/>
                    </w:rPr>
                  </w:pPr>
                  <w:r>
                    <w:rPr>
                      <w:spacing w:val="-2"/>
                      <w:sz w:val="22"/>
                      <w:szCs w:val="22"/>
                    </w:rPr>
                    <w:t>改扩建前后无变化</w:t>
                  </w:r>
                </w:p>
              </w:tc>
            </w:tr>
            <w:tr w14:paraId="357EA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93" w:type="dxa"/>
                  <w:vMerge w:val="continue"/>
                  <w:tcBorders>
                    <w:top w:val="nil"/>
                    <w:bottom w:val="nil"/>
                  </w:tcBorders>
                  <w:vAlign w:val="top"/>
                </w:tcPr>
                <w:p w14:paraId="72C662EC">
                  <w:pPr>
                    <w:rPr>
                      <w:rFonts w:ascii="Arial"/>
                      <w:sz w:val="21"/>
                    </w:rPr>
                  </w:pPr>
                </w:p>
              </w:tc>
              <w:tc>
                <w:tcPr>
                  <w:tcW w:w="883" w:type="dxa"/>
                  <w:vMerge w:val="continue"/>
                  <w:tcBorders>
                    <w:top w:val="nil"/>
                    <w:bottom w:val="nil"/>
                  </w:tcBorders>
                  <w:vAlign w:val="top"/>
                </w:tcPr>
                <w:p w14:paraId="5AC91B79">
                  <w:pPr>
                    <w:rPr>
                      <w:rFonts w:ascii="Arial"/>
                      <w:sz w:val="21"/>
                    </w:rPr>
                  </w:pPr>
                </w:p>
              </w:tc>
              <w:tc>
                <w:tcPr>
                  <w:tcW w:w="1441" w:type="dxa"/>
                  <w:vAlign w:val="top"/>
                </w:tcPr>
                <w:p w14:paraId="2A90F287">
                  <w:pPr>
                    <w:pStyle w:val="6"/>
                    <w:spacing w:before="73" w:line="224" w:lineRule="auto"/>
                    <w:ind w:left="359"/>
                    <w:rPr>
                      <w:sz w:val="22"/>
                      <w:szCs w:val="22"/>
                    </w:rPr>
                  </w:pPr>
                  <w:r>
                    <w:rPr>
                      <w:rFonts w:ascii="Times New Roman" w:hAnsi="Times New Roman" w:eastAsia="Times New Roman" w:cs="Times New Roman"/>
                      <w:spacing w:val="-1"/>
                      <w:sz w:val="22"/>
                      <w:szCs w:val="22"/>
                    </w:rPr>
                    <w:t>95</w:t>
                  </w:r>
                  <w:r>
                    <w:rPr>
                      <w:rFonts w:ascii="Times New Roman" w:hAnsi="Times New Roman" w:eastAsia="Times New Roman" w:cs="Times New Roman"/>
                      <w:spacing w:val="-1"/>
                      <w:position w:val="6"/>
                      <w:sz w:val="14"/>
                      <w:szCs w:val="14"/>
                    </w:rPr>
                    <w:t>#</w:t>
                  </w:r>
                  <w:r>
                    <w:rPr>
                      <w:spacing w:val="-1"/>
                      <w:sz w:val="22"/>
                      <w:szCs w:val="22"/>
                    </w:rPr>
                    <w:t>汽油</w:t>
                  </w:r>
                </w:p>
              </w:tc>
              <w:tc>
                <w:tcPr>
                  <w:tcW w:w="824" w:type="dxa"/>
                  <w:vAlign w:val="top"/>
                </w:tcPr>
                <w:p w14:paraId="3CD90429">
                  <w:pPr>
                    <w:spacing w:before="107" w:line="193" w:lineRule="auto"/>
                    <w:ind w:left="30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t/a</w:t>
                  </w:r>
                </w:p>
              </w:tc>
              <w:tc>
                <w:tcPr>
                  <w:tcW w:w="1142" w:type="dxa"/>
                  <w:vAlign w:val="top"/>
                </w:tcPr>
                <w:p w14:paraId="7FCE7C8E">
                  <w:pPr>
                    <w:spacing w:before="111" w:line="189" w:lineRule="auto"/>
                    <w:ind w:left="40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450</w:t>
                  </w:r>
                </w:p>
              </w:tc>
              <w:tc>
                <w:tcPr>
                  <w:tcW w:w="2756" w:type="dxa"/>
                  <w:vAlign w:val="top"/>
                </w:tcPr>
                <w:p w14:paraId="5ED3CE3D">
                  <w:pPr>
                    <w:pStyle w:val="6"/>
                    <w:spacing w:before="73" w:line="220" w:lineRule="auto"/>
                    <w:ind w:left="512"/>
                    <w:rPr>
                      <w:sz w:val="22"/>
                      <w:szCs w:val="22"/>
                    </w:rPr>
                  </w:pPr>
                  <w:r>
                    <w:rPr>
                      <w:spacing w:val="-2"/>
                      <w:sz w:val="22"/>
                      <w:szCs w:val="22"/>
                    </w:rPr>
                    <w:t>改扩建前后无变化</w:t>
                  </w:r>
                </w:p>
              </w:tc>
            </w:tr>
            <w:tr w14:paraId="03C69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893" w:type="dxa"/>
                  <w:vMerge w:val="continue"/>
                  <w:tcBorders>
                    <w:top w:val="nil"/>
                  </w:tcBorders>
                  <w:vAlign w:val="top"/>
                </w:tcPr>
                <w:p w14:paraId="29D096AC">
                  <w:pPr>
                    <w:rPr>
                      <w:rFonts w:ascii="Arial"/>
                      <w:sz w:val="21"/>
                    </w:rPr>
                  </w:pPr>
                </w:p>
              </w:tc>
              <w:tc>
                <w:tcPr>
                  <w:tcW w:w="883" w:type="dxa"/>
                  <w:vMerge w:val="continue"/>
                  <w:tcBorders>
                    <w:top w:val="nil"/>
                  </w:tcBorders>
                  <w:vAlign w:val="top"/>
                </w:tcPr>
                <w:p w14:paraId="4B2E0175">
                  <w:pPr>
                    <w:rPr>
                      <w:rFonts w:ascii="Arial"/>
                      <w:sz w:val="21"/>
                    </w:rPr>
                  </w:pPr>
                </w:p>
              </w:tc>
              <w:tc>
                <w:tcPr>
                  <w:tcW w:w="1441" w:type="dxa"/>
                  <w:vAlign w:val="top"/>
                </w:tcPr>
                <w:p w14:paraId="4F025B82">
                  <w:pPr>
                    <w:pStyle w:val="6"/>
                    <w:spacing w:before="73" w:line="224" w:lineRule="auto"/>
                    <w:ind w:left="359"/>
                    <w:rPr>
                      <w:sz w:val="22"/>
                      <w:szCs w:val="22"/>
                    </w:rPr>
                  </w:pPr>
                  <w:r>
                    <w:rPr>
                      <w:rFonts w:ascii="Times New Roman" w:hAnsi="Times New Roman" w:eastAsia="Times New Roman" w:cs="Times New Roman"/>
                      <w:spacing w:val="-1"/>
                      <w:sz w:val="22"/>
                      <w:szCs w:val="22"/>
                    </w:rPr>
                    <w:t>98</w:t>
                  </w:r>
                  <w:r>
                    <w:rPr>
                      <w:rFonts w:ascii="Times New Roman" w:hAnsi="Times New Roman" w:eastAsia="Times New Roman" w:cs="Times New Roman"/>
                      <w:spacing w:val="-1"/>
                      <w:position w:val="6"/>
                      <w:sz w:val="14"/>
                      <w:szCs w:val="14"/>
                    </w:rPr>
                    <w:t>#</w:t>
                  </w:r>
                  <w:r>
                    <w:rPr>
                      <w:spacing w:val="-1"/>
                      <w:sz w:val="22"/>
                      <w:szCs w:val="22"/>
                    </w:rPr>
                    <w:t>汽油</w:t>
                  </w:r>
                </w:p>
              </w:tc>
              <w:tc>
                <w:tcPr>
                  <w:tcW w:w="824" w:type="dxa"/>
                  <w:vAlign w:val="top"/>
                </w:tcPr>
                <w:p w14:paraId="6DF7B1F7">
                  <w:pPr>
                    <w:spacing w:before="107" w:line="193" w:lineRule="auto"/>
                    <w:ind w:left="301"/>
                    <w:rPr>
                      <w:rFonts w:ascii="Times New Roman" w:hAnsi="Times New Roman" w:eastAsia="Times New Roman" w:cs="Times New Roman"/>
                      <w:sz w:val="22"/>
                      <w:szCs w:val="22"/>
                    </w:rPr>
                  </w:pPr>
                  <w:r>
                    <w:rPr>
                      <w:rFonts w:ascii="Times New Roman" w:hAnsi="Times New Roman" w:eastAsia="Times New Roman" w:cs="Times New Roman"/>
                      <w:sz w:val="22"/>
                      <w:szCs w:val="22"/>
                    </w:rPr>
                    <w:t>t/a</w:t>
                  </w:r>
                </w:p>
              </w:tc>
              <w:tc>
                <w:tcPr>
                  <w:tcW w:w="1142" w:type="dxa"/>
                  <w:vAlign w:val="top"/>
                </w:tcPr>
                <w:p w14:paraId="771D424C">
                  <w:pPr>
                    <w:spacing w:before="111" w:line="189" w:lineRule="auto"/>
                    <w:ind w:left="430"/>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150</w:t>
                  </w:r>
                </w:p>
              </w:tc>
              <w:tc>
                <w:tcPr>
                  <w:tcW w:w="2756" w:type="dxa"/>
                  <w:vAlign w:val="top"/>
                </w:tcPr>
                <w:p w14:paraId="3BDCF68D">
                  <w:pPr>
                    <w:pStyle w:val="6"/>
                    <w:spacing w:before="73" w:line="220" w:lineRule="auto"/>
                    <w:ind w:left="420"/>
                    <w:rPr>
                      <w:sz w:val="22"/>
                      <w:szCs w:val="22"/>
                    </w:rPr>
                  </w:pPr>
                  <w:r>
                    <w:rPr>
                      <w:spacing w:val="-2"/>
                      <w:sz w:val="22"/>
                      <w:szCs w:val="22"/>
                    </w:rPr>
                    <w:t>柴油替换为</w:t>
                  </w:r>
                  <w:r>
                    <w:rPr>
                      <w:spacing w:val="-43"/>
                      <w:sz w:val="22"/>
                      <w:szCs w:val="22"/>
                    </w:rPr>
                    <w:t xml:space="preserve"> </w:t>
                  </w:r>
                  <w:r>
                    <w:rPr>
                      <w:rFonts w:ascii="Times New Roman" w:hAnsi="Times New Roman" w:eastAsia="Times New Roman" w:cs="Times New Roman"/>
                      <w:spacing w:val="-2"/>
                      <w:sz w:val="22"/>
                      <w:szCs w:val="22"/>
                    </w:rPr>
                    <w:t>98#</w:t>
                  </w:r>
                  <w:r>
                    <w:rPr>
                      <w:spacing w:val="-2"/>
                      <w:sz w:val="22"/>
                      <w:szCs w:val="22"/>
                    </w:rPr>
                    <w:t>汽油</w:t>
                  </w:r>
                </w:p>
              </w:tc>
            </w:tr>
            <w:tr w14:paraId="3CC13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93" w:type="dxa"/>
                  <w:vMerge w:val="restart"/>
                  <w:tcBorders>
                    <w:bottom w:val="nil"/>
                  </w:tcBorders>
                  <w:vAlign w:val="top"/>
                </w:tcPr>
                <w:p w14:paraId="12FC9F2C">
                  <w:pPr>
                    <w:spacing w:line="426" w:lineRule="auto"/>
                    <w:rPr>
                      <w:rFonts w:ascii="Arial"/>
                      <w:sz w:val="21"/>
                    </w:rPr>
                  </w:pPr>
                </w:p>
                <w:p w14:paraId="63BD1DA0">
                  <w:pPr>
                    <w:spacing w:before="63" w:line="189" w:lineRule="auto"/>
                    <w:ind w:left="393"/>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883" w:type="dxa"/>
                  <w:vMerge w:val="restart"/>
                  <w:tcBorders>
                    <w:bottom w:val="nil"/>
                  </w:tcBorders>
                  <w:vAlign w:val="top"/>
                </w:tcPr>
                <w:p w14:paraId="037C9085">
                  <w:pPr>
                    <w:pStyle w:val="6"/>
                    <w:spacing w:before="312" w:line="242" w:lineRule="auto"/>
                    <w:ind w:left="229" w:right="217"/>
                    <w:rPr>
                      <w:sz w:val="22"/>
                      <w:szCs w:val="22"/>
                    </w:rPr>
                  </w:pPr>
                  <w:r>
                    <w:rPr>
                      <w:spacing w:val="-6"/>
                      <w:sz w:val="22"/>
                      <w:szCs w:val="22"/>
                    </w:rPr>
                    <w:t>油罐</w:t>
                  </w:r>
                  <w:r>
                    <w:rPr>
                      <w:spacing w:val="-5"/>
                      <w:sz w:val="22"/>
                      <w:szCs w:val="22"/>
                    </w:rPr>
                    <w:t>容积</w:t>
                  </w:r>
                </w:p>
              </w:tc>
              <w:tc>
                <w:tcPr>
                  <w:tcW w:w="1441" w:type="dxa"/>
                  <w:vAlign w:val="top"/>
                </w:tcPr>
                <w:p w14:paraId="06632DC6">
                  <w:pPr>
                    <w:pStyle w:val="6"/>
                    <w:spacing w:before="75" w:line="220" w:lineRule="auto"/>
                    <w:ind w:left="122"/>
                    <w:rPr>
                      <w:sz w:val="22"/>
                      <w:szCs w:val="22"/>
                    </w:rPr>
                  </w:pPr>
                  <w:r>
                    <w:rPr>
                      <w:rFonts w:ascii="Times New Roman" w:hAnsi="Times New Roman" w:eastAsia="Times New Roman" w:cs="Times New Roman"/>
                      <w:spacing w:val="-2"/>
                      <w:sz w:val="22"/>
                      <w:szCs w:val="22"/>
                    </w:rPr>
                    <w:t>92#</w:t>
                  </w:r>
                  <w:r>
                    <w:rPr>
                      <w:spacing w:val="-2"/>
                      <w:sz w:val="22"/>
                      <w:szCs w:val="22"/>
                    </w:rPr>
                    <w:t>汽油油罐</w:t>
                  </w:r>
                </w:p>
              </w:tc>
              <w:tc>
                <w:tcPr>
                  <w:tcW w:w="824" w:type="dxa"/>
                  <w:vAlign w:val="top"/>
                </w:tcPr>
                <w:p w14:paraId="76B991AC">
                  <w:pPr>
                    <w:spacing w:before="95" w:line="206" w:lineRule="auto"/>
                    <w:ind w:left="291"/>
                    <w:rPr>
                      <w:rFonts w:ascii="Times New Roman" w:hAnsi="Times New Roman" w:eastAsia="Times New Roman" w:cs="Times New Roman"/>
                      <w:sz w:val="14"/>
                      <w:szCs w:val="14"/>
                    </w:rPr>
                  </w:pPr>
                  <w:r>
                    <w:rPr>
                      <w:rFonts w:ascii="Times New Roman" w:hAnsi="Times New Roman" w:eastAsia="Times New Roman" w:cs="Times New Roman"/>
                      <w:spacing w:val="-1"/>
                      <w:position w:val="-3"/>
                      <w:sz w:val="22"/>
                      <w:szCs w:val="22"/>
                    </w:rPr>
                    <w:t>m</w:t>
                  </w:r>
                  <w:r>
                    <w:rPr>
                      <w:rFonts w:ascii="Times New Roman" w:hAnsi="Times New Roman" w:eastAsia="Times New Roman" w:cs="Times New Roman"/>
                      <w:spacing w:val="-1"/>
                      <w:position w:val="3"/>
                      <w:sz w:val="14"/>
                      <w:szCs w:val="14"/>
                    </w:rPr>
                    <w:t>3</w:t>
                  </w:r>
                </w:p>
              </w:tc>
              <w:tc>
                <w:tcPr>
                  <w:tcW w:w="1142" w:type="dxa"/>
                  <w:vAlign w:val="top"/>
                </w:tcPr>
                <w:p w14:paraId="51C95BD2">
                  <w:pPr>
                    <w:spacing w:before="113" w:line="189" w:lineRule="auto"/>
                    <w:ind w:left="46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2756" w:type="dxa"/>
                  <w:vAlign w:val="top"/>
                </w:tcPr>
                <w:p w14:paraId="06C9735B">
                  <w:pPr>
                    <w:spacing w:before="108" w:line="193" w:lineRule="auto"/>
                    <w:ind w:left="134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59B7C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893" w:type="dxa"/>
                  <w:vMerge w:val="continue"/>
                  <w:tcBorders>
                    <w:top w:val="nil"/>
                    <w:bottom w:val="nil"/>
                  </w:tcBorders>
                  <w:vAlign w:val="top"/>
                </w:tcPr>
                <w:p w14:paraId="1038A860">
                  <w:pPr>
                    <w:rPr>
                      <w:rFonts w:ascii="Arial"/>
                      <w:sz w:val="21"/>
                    </w:rPr>
                  </w:pPr>
                </w:p>
              </w:tc>
              <w:tc>
                <w:tcPr>
                  <w:tcW w:w="883" w:type="dxa"/>
                  <w:vMerge w:val="continue"/>
                  <w:tcBorders>
                    <w:top w:val="nil"/>
                    <w:bottom w:val="nil"/>
                  </w:tcBorders>
                  <w:vAlign w:val="top"/>
                </w:tcPr>
                <w:p w14:paraId="24631C9A">
                  <w:pPr>
                    <w:rPr>
                      <w:rFonts w:ascii="Arial"/>
                      <w:sz w:val="21"/>
                    </w:rPr>
                  </w:pPr>
                </w:p>
              </w:tc>
              <w:tc>
                <w:tcPr>
                  <w:tcW w:w="1441" w:type="dxa"/>
                  <w:vAlign w:val="top"/>
                </w:tcPr>
                <w:p w14:paraId="55BA4516">
                  <w:pPr>
                    <w:pStyle w:val="6"/>
                    <w:spacing w:before="75" w:line="220" w:lineRule="auto"/>
                    <w:ind w:left="122"/>
                    <w:rPr>
                      <w:sz w:val="22"/>
                      <w:szCs w:val="22"/>
                    </w:rPr>
                  </w:pPr>
                  <w:r>
                    <w:rPr>
                      <w:rFonts w:ascii="Times New Roman" w:hAnsi="Times New Roman" w:eastAsia="Times New Roman" w:cs="Times New Roman"/>
                      <w:spacing w:val="-2"/>
                      <w:sz w:val="22"/>
                      <w:szCs w:val="22"/>
                    </w:rPr>
                    <w:t>95#</w:t>
                  </w:r>
                  <w:r>
                    <w:rPr>
                      <w:spacing w:val="-2"/>
                      <w:sz w:val="22"/>
                      <w:szCs w:val="22"/>
                    </w:rPr>
                    <w:t>汽油油罐</w:t>
                  </w:r>
                </w:p>
              </w:tc>
              <w:tc>
                <w:tcPr>
                  <w:tcW w:w="824" w:type="dxa"/>
                  <w:vAlign w:val="top"/>
                </w:tcPr>
                <w:p w14:paraId="0378EAA6">
                  <w:pPr>
                    <w:spacing w:before="95" w:line="206" w:lineRule="auto"/>
                    <w:ind w:left="291"/>
                    <w:rPr>
                      <w:rFonts w:ascii="Times New Roman" w:hAnsi="Times New Roman" w:eastAsia="Times New Roman" w:cs="Times New Roman"/>
                      <w:sz w:val="14"/>
                      <w:szCs w:val="14"/>
                    </w:rPr>
                  </w:pPr>
                  <w:r>
                    <w:rPr>
                      <w:rFonts w:ascii="Times New Roman" w:hAnsi="Times New Roman" w:eastAsia="Times New Roman" w:cs="Times New Roman"/>
                      <w:spacing w:val="-1"/>
                      <w:position w:val="-3"/>
                      <w:sz w:val="22"/>
                      <w:szCs w:val="22"/>
                    </w:rPr>
                    <w:t>m</w:t>
                  </w:r>
                  <w:r>
                    <w:rPr>
                      <w:rFonts w:ascii="Times New Roman" w:hAnsi="Times New Roman" w:eastAsia="Times New Roman" w:cs="Times New Roman"/>
                      <w:spacing w:val="-1"/>
                      <w:position w:val="3"/>
                      <w:sz w:val="14"/>
                      <w:szCs w:val="14"/>
                    </w:rPr>
                    <w:t>3</w:t>
                  </w:r>
                </w:p>
              </w:tc>
              <w:tc>
                <w:tcPr>
                  <w:tcW w:w="1142" w:type="dxa"/>
                  <w:vAlign w:val="top"/>
                </w:tcPr>
                <w:p w14:paraId="540024D6">
                  <w:pPr>
                    <w:spacing w:before="113" w:line="189" w:lineRule="auto"/>
                    <w:ind w:left="46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2756" w:type="dxa"/>
                  <w:vAlign w:val="top"/>
                </w:tcPr>
                <w:p w14:paraId="2423C631">
                  <w:pPr>
                    <w:spacing w:before="109" w:line="193" w:lineRule="auto"/>
                    <w:ind w:left="134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30C8A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93" w:type="dxa"/>
                  <w:vMerge w:val="continue"/>
                  <w:tcBorders>
                    <w:top w:val="nil"/>
                  </w:tcBorders>
                  <w:vAlign w:val="top"/>
                </w:tcPr>
                <w:p w14:paraId="2A649316">
                  <w:pPr>
                    <w:rPr>
                      <w:rFonts w:ascii="Arial"/>
                      <w:sz w:val="21"/>
                    </w:rPr>
                  </w:pPr>
                </w:p>
              </w:tc>
              <w:tc>
                <w:tcPr>
                  <w:tcW w:w="883" w:type="dxa"/>
                  <w:vMerge w:val="continue"/>
                  <w:tcBorders>
                    <w:top w:val="nil"/>
                  </w:tcBorders>
                  <w:vAlign w:val="top"/>
                </w:tcPr>
                <w:p w14:paraId="1AA1563A">
                  <w:pPr>
                    <w:rPr>
                      <w:rFonts w:ascii="Arial"/>
                      <w:sz w:val="21"/>
                    </w:rPr>
                  </w:pPr>
                </w:p>
              </w:tc>
              <w:tc>
                <w:tcPr>
                  <w:tcW w:w="1441" w:type="dxa"/>
                  <w:vAlign w:val="top"/>
                </w:tcPr>
                <w:p w14:paraId="7A1D26A0">
                  <w:pPr>
                    <w:pStyle w:val="6"/>
                    <w:spacing w:before="76" w:line="220" w:lineRule="auto"/>
                    <w:ind w:left="122"/>
                    <w:rPr>
                      <w:sz w:val="22"/>
                      <w:szCs w:val="22"/>
                    </w:rPr>
                  </w:pPr>
                  <w:r>
                    <w:rPr>
                      <w:rFonts w:ascii="Times New Roman" w:hAnsi="Times New Roman" w:eastAsia="Times New Roman" w:cs="Times New Roman"/>
                      <w:spacing w:val="-2"/>
                      <w:sz w:val="22"/>
                      <w:szCs w:val="22"/>
                    </w:rPr>
                    <w:t>98#</w:t>
                  </w:r>
                  <w:r>
                    <w:rPr>
                      <w:spacing w:val="-2"/>
                      <w:sz w:val="22"/>
                      <w:szCs w:val="22"/>
                    </w:rPr>
                    <w:t>汽油油罐</w:t>
                  </w:r>
                </w:p>
              </w:tc>
              <w:tc>
                <w:tcPr>
                  <w:tcW w:w="824" w:type="dxa"/>
                  <w:vAlign w:val="top"/>
                </w:tcPr>
                <w:p w14:paraId="2D80F2FA">
                  <w:pPr>
                    <w:spacing w:before="94" w:line="208" w:lineRule="auto"/>
                    <w:ind w:left="291"/>
                    <w:rPr>
                      <w:rFonts w:ascii="Times New Roman" w:hAnsi="Times New Roman" w:eastAsia="Times New Roman" w:cs="Times New Roman"/>
                      <w:sz w:val="14"/>
                      <w:szCs w:val="14"/>
                    </w:rPr>
                  </w:pPr>
                  <w:r>
                    <w:rPr>
                      <w:rFonts w:ascii="Times New Roman" w:hAnsi="Times New Roman" w:eastAsia="Times New Roman" w:cs="Times New Roman"/>
                      <w:spacing w:val="-1"/>
                      <w:position w:val="-3"/>
                      <w:sz w:val="22"/>
                      <w:szCs w:val="22"/>
                    </w:rPr>
                    <w:t>m</w:t>
                  </w:r>
                  <w:r>
                    <w:rPr>
                      <w:rFonts w:ascii="Times New Roman" w:hAnsi="Times New Roman" w:eastAsia="Times New Roman" w:cs="Times New Roman"/>
                      <w:spacing w:val="-1"/>
                      <w:position w:val="3"/>
                      <w:sz w:val="14"/>
                      <w:szCs w:val="14"/>
                    </w:rPr>
                    <w:t>3</w:t>
                  </w:r>
                </w:p>
              </w:tc>
              <w:tc>
                <w:tcPr>
                  <w:tcW w:w="1142" w:type="dxa"/>
                  <w:vAlign w:val="top"/>
                </w:tcPr>
                <w:p w14:paraId="262349B5">
                  <w:pPr>
                    <w:spacing w:before="114" w:line="189" w:lineRule="auto"/>
                    <w:ind w:left="46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2756" w:type="dxa"/>
                  <w:vAlign w:val="top"/>
                </w:tcPr>
                <w:p w14:paraId="61732988">
                  <w:pPr>
                    <w:spacing w:before="110" w:line="193" w:lineRule="auto"/>
                    <w:ind w:left="134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412A8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893" w:type="dxa"/>
                  <w:vAlign w:val="top"/>
                </w:tcPr>
                <w:p w14:paraId="35B048B8">
                  <w:pPr>
                    <w:spacing w:before="114" w:line="189" w:lineRule="auto"/>
                    <w:ind w:left="398"/>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2324" w:type="dxa"/>
                  <w:gridSpan w:val="2"/>
                  <w:vAlign w:val="top"/>
                </w:tcPr>
                <w:p w14:paraId="5B87F13F">
                  <w:pPr>
                    <w:pStyle w:val="6"/>
                    <w:spacing w:before="76" w:line="220" w:lineRule="auto"/>
                    <w:ind w:left="618"/>
                    <w:rPr>
                      <w:sz w:val="22"/>
                      <w:szCs w:val="22"/>
                    </w:rPr>
                  </w:pPr>
                  <w:r>
                    <w:rPr>
                      <w:spacing w:val="-2"/>
                      <w:sz w:val="22"/>
                      <w:szCs w:val="22"/>
                    </w:rPr>
                    <w:t>加油站等级</w:t>
                  </w:r>
                </w:p>
              </w:tc>
              <w:tc>
                <w:tcPr>
                  <w:tcW w:w="824" w:type="dxa"/>
                  <w:vAlign w:val="top"/>
                </w:tcPr>
                <w:p w14:paraId="11A70F42">
                  <w:pPr>
                    <w:spacing w:before="110" w:line="193" w:lineRule="auto"/>
                    <w:ind w:left="37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42" w:type="dxa"/>
                  <w:vAlign w:val="top"/>
                </w:tcPr>
                <w:p w14:paraId="098ACD99">
                  <w:pPr>
                    <w:pStyle w:val="6"/>
                    <w:spacing w:before="76" w:line="222" w:lineRule="auto"/>
                    <w:ind w:left="357"/>
                    <w:rPr>
                      <w:sz w:val="22"/>
                      <w:szCs w:val="22"/>
                    </w:rPr>
                  </w:pPr>
                  <w:r>
                    <w:rPr>
                      <w:spacing w:val="-4"/>
                      <w:sz w:val="22"/>
                      <w:szCs w:val="22"/>
                    </w:rPr>
                    <w:t>三级</w:t>
                  </w:r>
                </w:p>
              </w:tc>
              <w:tc>
                <w:tcPr>
                  <w:tcW w:w="2756" w:type="dxa"/>
                  <w:vAlign w:val="top"/>
                </w:tcPr>
                <w:p w14:paraId="71E43B6A">
                  <w:pPr>
                    <w:spacing w:before="110" w:line="193" w:lineRule="auto"/>
                    <w:ind w:left="134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2F501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93" w:type="dxa"/>
                  <w:vAlign w:val="top"/>
                </w:tcPr>
                <w:p w14:paraId="57F27E85">
                  <w:pPr>
                    <w:spacing w:before="115" w:line="189"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2324" w:type="dxa"/>
                  <w:gridSpan w:val="2"/>
                  <w:vAlign w:val="top"/>
                </w:tcPr>
                <w:p w14:paraId="52AFB46A">
                  <w:pPr>
                    <w:pStyle w:val="6"/>
                    <w:spacing w:before="77" w:line="221" w:lineRule="auto"/>
                    <w:ind w:left="397"/>
                    <w:rPr>
                      <w:sz w:val="22"/>
                      <w:szCs w:val="22"/>
                    </w:rPr>
                  </w:pPr>
                  <w:r>
                    <w:rPr>
                      <w:spacing w:val="-2"/>
                      <w:sz w:val="22"/>
                      <w:szCs w:val="22"/>
                    </w:rPr>
                    <w:t>加油站用地面积</w:t>
                  </w:r>
                </w:p>
              </w:tc>
              <w:tc>
                <w:tcPr>
                  <w:tcW w:w="824" w:type="dxa"/>
                  <w:vAlign w:val="top"/>
                </w:tcPr>
                <w:p w14:paraId="3531F8E6">
                  <w:pPr>
                    <w:spacing w:before="95" w:line="208" w:lineRule="auto"/>
                    <w:ind w:left="291"/>
                    <w:rPr>
                      <w:rFonts w:ascii="Times New Roman" w:hAnsi="Times New Roman" w:eastAsia="Times New Roman" w:cs="Times New Roman"/>
                      <w:sz w:val="14"/>
                      <w:szCs w:val="14"/>
                    </w:rPr>
                  </w:pPr>
                  <w:r>
                    <w:rPr>
                      <w:rFonts w:ascii="Times New Roman" w:hAnsi="Times New Roman" w:eastAsia="Times New Roman" w:cs="Times New Roman"/>
                      <w:spacing w:val="-1"/>
                      <w:position w:val="-3"/>
                      <w:sz w:val="22"/>
                      <w:szCs w:val="22"/>
                    </w:rPr>
                    <w:t>m</w:t>
                  </w:r>
                  <w:r>
                    <w:rPr>
                      <w:rFonts w:ascii="Times New Roman" w:hAnsi="Times New Roman" w:eastAsia="Times New Roman" w:cs="Times New Roman"/>
                      <w:spacing w:val="-1"/>
                      <w:position w:val="3"/>
                      <w:sz w:val="14"/>
                      <w:szCs w:val="14"/>
                    </w:rPr>
                    <w:t>2</w:t>
                  </w:r>
                </w:p>
              </w:tc>
              <w:tc>
                <w:tcPr>
                  <w:tcW w:w="1142" w:type="dxa"/>
                  <w:vAlign w:val="top"/>
                </w:tcPr>
                <w:p w14:paraId="145B9E1A">
                  <w:pPr>
                    <w:spacing w:before="115" w:line="189" w:lineRule="auto"/>
                    <w:ind w:left="37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1453</w:t>
                  </w:r>
                </w:p>
              </w:tc>
              <w:tc>
                <w:tcPr>
                  <w:tcW w:w="2756" w:type="dxa"/>
                  <w:vAlign w:val="top"/>
                </w:tcPr>
                <w:p w14:paraId="37B4AB2C">
                  <w:pPr>
                    <w:spacing w:before="111" w:line="193" w:lineRule="auto"/>
                    <w:ind w:left="134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4F2A2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93" w:type="dxa"/>
                  <w:vAlign w:val="top"/>
                </w:tcPr>
                <w:p w14:paraId="3CFC3CB5">
                  <w:pPr>
                    <w:spacing w:before="119" w:line="186" w:lineRule="auto"/>
                    <w:ind w:left="399"/>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2324" w:type="dxa"/>
                  <w:gridSpan w:val="2"/>
                  <w:vAlign w:val="top"/>
                </w:tcPr>
                <w:p w14:paraId="3D03F453">
                  <w:pPr>
                    <w:pStyle w:val="6"/>
                    <w:spacing w:before="77" w:line="221" w:lineRule="auto"/>
                    <w:ind w:left="728"/>
                    <w:rPr>
                      <w:sz w:val="22"/>
                      <w:szCs w:val="22"/>
                    </w:rPr>
                  </w:pPr>
                  <w:r>
                    <w:rPr>
                      <w:spacing w:val="-3"/>
                      <w:sz w:val="22"/>
                      <w:szCs w:val="22"/>
                    </w:rPr>
                    <w:t>绿化面积</w:t>
                  </w:r>
                </w:p>
              </w:tc>
              <w:tc>
                <w:tcPr>
                  <w:tcW w:w="824" w:type="dxa"/>
                  <w:vAlign w:val="top"/>
                </w:tcPr>
                <w:p w14:paraId="7BD9A050">
                  <w:pPr>
                    <w:spacing w:before="96" w:line="208" w:lineRule="auto"/>
                    <w:ind w:left="291"/>
                    <w:rPr>
                      <w:rFonts w:ascii="Times New Roman" w:hAnsi="Times New Roman" w:eastAsia="Times New Roman" w:cs="Times New Roman"/>
                      <w:sz w:val="14"/>
                      <w:szCs w:val="14"/>
                    </w:rPr>
                  </w:pPr>
                  <w:r>
                    <w:rPr>
                      <w:rFonts w:ascii="Times New Roman" w:hAnsi="Times New Roman" w:eastAsia="Times New Roman" w:cs="Times New Roman"/>
                      <w:spacing w:val="-1"/>
                      <w:position w:val="-3"/>
                      <w:sz w:val="22"/>
                      <w:szCs w:val="22"/>
                    </w:rPr>
                    <w:t>m</w:t>
                  </w:r>
                  <w:r>
                    <w:rPr>
                      <w:rFonts w:ascii="Times New Roman" w:hAnsi="Times New Roman" w:eastAsia="Times New Roman" w:cs="Times New Roman"/>
                      <w:spacing w:val="-1"/>
                      <w:position w:val="3"/>
                      <w:sz w:val="14"/>
                      <w:szCs w:val="14"/>
                    </w:rPr>
                    <w:t>2</w:t>
                  </w:r>
                </w:p>
              </w:tc>
              <w:tc>
                <w:tcPr>
                  <w:tcW w:w="1142" w:type="dxa"/>
                  <w:vAlign w:val="top"/>
                </w:tcPr>
                <w:p w14:paraId="0202DA93">
                  <w:pPr>
                    <w:spacing w:before="116" w:line="189" w:lineRule="auto"/>
                    <w:ind w:left="430"/>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150</w:t>
                  </w:r>
                </w:p>
              </w:tc>
              <w:tc>
                <w:tcPr>
                  <w:tcW w:w="2756" w:type="dxa"/>
                  <w:vAlign w:val="top"/>
                </w:tcPr>
                <w:p w14:paraId="731233BA">
                  <w:pPr>
                    <w:spacing w:before="111" w:line="193" w:lineRule="auto"/>
                    <w:ind w:left="134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50FB2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93" w:type="dxa"/>
                  <w:vAlign w:val="top"/>
                </w:tcPr>
                <w:p w14:paraId="542E97C6">
                  <w:pPr>
                    <w:spacing w:before="116" w:line="189" w:lineRule="auto"/>
                    <w:ind w:left="398"/>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2324" w:type="dxa"/>
                  <w:gridSpan w:val="2"/>
                  <w:vAlign w:val="top"/>
                </w:tcPr>
                <w:p w14:paraId="33A1A917">
                  <w:pPr>
                    <w:pStyle w:val="6"/>
                    <w:spacing w:before="78" w:line="221" w:lineRule="auto"/>
                    <w:ind w:left="842"/>
                    <w:rPr>
                      <w:sz w:val="22"/>
                      <w:szCs w:val="22"/>
                    </w:rPr>
                  </w:pPr>
                  <w:r>
                    <w:rPr>
                      <w:spacing w:val="-5"/>
                      <w:sz w:val="22"/>
                      <w:szCs w:val="22"/>
                    </w:rPr>
                    <w:t>总投资</w:t>
                  </w:r>
                </w:p>
              </w:tc>
              <w:tc>
                <w:tcPr>
                  <w:tcW w:w="824" w:type="dxa"/>
                  <w:vAlign w:val="top"/>
                </w:tcPr>
                <w:p w14:paraId="778B92C7">
                  <w:pPr>
                    <w:pStyle w:val="6"/>
                    <w:spacing w:before="78" w:line="221" w:lineRule="auto"/>
                    <w:ind w:left="202"/>
                    <w:rPr>
                      <w:sz w:val="22"/>
                      <w:szCs w:val="22"/>
                    </w:rPr>
                  </w:pPr>
                  <w:r>
                    <w:rPr>
                      <w:spacing w:val="-7"/>
                      <w:sz w:val="22"/>
                      <w:szCs w:val="22"/>
                    </w:rPr>
                    <w:t>万元</w:t>
                  </w:r>
                </w:p>
              </w:tc>
              <w:tc>
                <w:tcPr>
                  <w:tcW w:w="1142" w:type="dxa"/>
                  <w:vAlign w:val="top"/>
                </w:tcPr>
                <w:p w14:paraId="47640931">
                  <w:pPr>
                    <w:spacing w:before="116" w:line="189" w:lineRule="auto"/>
                    <w:ind w:left="46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2756" w:type="dxa"/>
                  <w:vAlign w:val="top"/>
                </w:tcPr>
                <w:p w14:paraId="2910874F">
                  <w:pPr>
                    <w:spacing w:before="112" w:line="193" w:lineRule="auto"/>
                    <w:ind w:left="134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04A88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893" w:type="dxa"/>
                  <w:vAlign w:val="top"/>
                </w:tcPr>
                <w:p w14:paraId="44E146A8">
                  <w:pPr>
                    <w:spacing w:before="117" w:line="186" w:lineRule="auto"/>
                    <w:ind w:left="397"/>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2324" w:type="dxa"/>
                  <w:gridSpan w:val="2"/>
                  <w:vAlign w:val="top"/>
                </w:tcPr>
                <w:p w14:paraId="38329A73">
                  <w:pPr>
                    <w:pStyle w:val="6"/>
                    <w:spacing w:before="75" w:line="221" w:lineRule="auto"/>
                    <w:ind w:left="726"/>
                    <w:rPr>
                      <w:sz w:val="22"/>
                      <w:szCs w:val="22"/>
                    </w:rPr>
                  </w:pPr>
                  <w:r>
                    <w:rPr>
                      <w:spacing w:val="-2"/>
                      <w:sz w:val="22"/>
                      <w:szCs w:val="22"/>
                    </w:rPr>
                    <w:t>环保投资</w:t>
                  </w:r>
                </w:p>
              </w:tc>
              <w:tc>
                <w:tcPr>
                  <w:tcW w:w="824" w:type="dxa"/>
                  <w:vAlign w:val="top"/>
                </w:tcPr>
                <w:p w14:paraId="0D876683">
                  <w:pPr>
                    <w:pStyle w:val="6"/>
                    <w:spacing w:before="75" w:line="221" w:lineRule="auto"/>
                    <w:ind w:left="202"/>
                    <w:rPr>
                      <w:sz w:val="22"/>
                      <w:szCs w:val="22"/>
                    </w:rPr>
                  </w:pPr>
                  <w:r>
                    <w:rPr>
                      <w:spacing w:val="-7"/>
                      <w:sz w:val="22"/>
                      <w:szCs w:val="22"/>
                    </w:rPr>
                    <w:t>万元</w:t>
                  </w:r>
                </w:p>
              </w:tc>
              <w:tc>
                <w:tcPr>
                  <w:tcW w:w="1142" w:type="dxa"/>
                  <w:vAlign w:val="top"/>
                </w:tcPr>
                <w:p w14:paraId="4E69FE84">
                  <w:pPr>
                    <w:spacing w:before="117" w:line="186" w:lineRule="auto"/>
                    <w:ind w:left="525"/>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2756" w:type="dxa"/>
                  <w:vAlign w:val="top"/>
                </w:tcPr>
                <w:p w14:paraId="74F141B6">
                  <w:pPr>
                    <w:spacing w:before="109" w:line="193" w:lineRule="auto"/>
                    <w:ind w:left="134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085A2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93" w:type="dxa"/>
                  <w:vAlign w:val="top"/>
                </w:tcPr>
                <w:p w14:paraId="6291A1D5">
                  <w:pPr>
                    <w:spacing w:before="115" w:line="189"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2324" w:type="dxa"/>
                  <w:gridSpan w:val="2"/>
                  <w:vAlign w:val="top"/>
                </w:tcPr>
                <w:p w14:paraId="7DCBECB3">
                  <w:pPr>
                    <w:pStyle w:val="6"/>
                    <w:spacing w:before="77" w:line="220" w:lineRule="auto"/>
                    <w:ind w:left="731"/>
                    <w:rPr>
                      <w:sz w:val="22"/>
                      <w:szCs w:val="22"/>
                    </w:rPr>
                  </w:pPr>
                  <w:r>
                    <w:rPr>
                      <w:spacing w:val="-4"/>
                      <w:sz w:val="22"/>
                      <w:szCs w:val="22"/>
                    </w:rPr>
                    <w:t>劳动定员</w:t>
                  </w:r>
                </w:p>
              </w:tc>
              <w:tc>
                <w:tcPr>
                  <w:tcW w:w="824" w:type="dxa"/>
                  <w:vAlign w:val="top"/>
                </w:tcPr>
                <w:p w14:paraId="4EA789E9">
                  <w:pPr>
                    <w:pStyle w:val="6"/>
                    <w:spacing w:before="77" w:line="223" w:lineRule="auto"/>
                    <w:ind w:left="309"/>
                    <w:rPr>
                      <w:sz w:val="22"/>
                      <w:szCs w:val="22"/>
                    </w:rPr>
                  </w:pPr>
                  <w:r>
                    <w:rPr>
                      <w:sz w:val="22"/>
                      <w:szCs w:val="22"/>
                    </w:rPr>
                    <w:t>人</w:t>
                  </w:r>
                </w:p>
              </w:tc>
              <w:tc>
                <w:tcPr>
                  <w:tcW w:w="1142" w:type="dxa"/>
                  <w:vAlign w:val="top"/>
                </w:tcPr>
                <w:p w14:paraId="36A1F9D0">
                  <w:pPr>
                    <w:spacing w:before="115" w:line="189" w:lineRule="auto"/>
                    <w:ind w:left="485"/>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2756" w:type="dxa"/>
                  <w:vAlign w:val="top"/>
                </w:tcPr>
                <w:p w14:paraId="615BE07D">
                  <w:pPr>
                    <w:spacing w:before="111" w:line="193" w:lineRule="auto"/>
                    <w:ind w:left="134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50B3C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893" w:type="dxa"/>
                  <w:vAlign w:val="top"/>
                </w:tcPr>
                <w:p w14:paraId="00BDF4B4">
                  <w:pPr>
                    <w:spacing w:before="115" w:line="189" w:lineRule="auto"/>
                    <w:ind w:left="398"/>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2324" w:type="dxa"/>
                  <w:gridSpan w:val="2"/>
                  <w:vAlign w:val="top"/>
                </w:tcPr>
                <w:p w14:paraId="4D2CBED9">
                  <w:pPr>
                    <w:pStyle w:val="6"/>
                    <w:spacing w:before="77" w:line="220" w:lineRule="auto"/>
                    <w:ind w:left="727"/>
                    <w:rPr>
                      <w:sz w:val="22"/>
                      <w:szCs w:val="22"/>
                    </w:rPr>
                  </w:pPr>
                  <w:r>
                    <w:rPr>
                      <w:spacing w:val="-3"/>
                      <w:sz w:val="22"/>
                      <w:szCs w:val="22"/>
                    </w:rPr>
                    <w:t>年工作日</w:t>
                  </w:r>
                </w:p>
              </w:tc>
              <w:tc>
                <w:tcPr>
                  <w:tcW w:w="824" w:type="dxa"/>
                  <w:vAlign w:val="top"/>
                </w:tcPr>
                <w:p w14:paraId="318FD5B9">
                  <w:pPr>
                    <w:pStyle w:val="6"/>
                    <w:spacing w:before="77" w:line="221" w:lineRule="auto"/>
                    <w:ind w:left="312"/>
                    <w:rPr>
                      <w:sz w:val="22"/>
                      <w:szCs w:val="22"/>
                    </w:rPr>
                  </w:pPr>
                  <w:r>
                    <w:rPr>
                      <w:sz w:val="22"/>
                      <w:szCs w:val="22"/>
                    </w:rPr>
                    <w:t>天</w:t>
                  </w:r>
                </w:p>
              </w:tc>
              <w:tc>
                <w:tcPr>
                  <w:tcW w:w="1142" w:type="dxa"/>
                  <w:vAlign w:val="top"/>
                </w:tcPr>
                <w:p w14:paraId="311AFDDD">
                  <w:pPr>
                    <w:spacing w:before="115" w:line="189" w:lineRule="auto"/>
                    <w:ind w:left="41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365</w:t>
                  </w:r>
                </w:p>
              </w:tc>
              <w:tc>
                <w:tcPr>
                  <w:tcW w:w="2756" w:type="dxa"/>
                  <w:vAlign w:val="top"/>
                </w:tcPr>
                <w:p w14:paraId="665DEC58">
                  <w:pPr>
                    <w:pStyle w:val="6"/>
                    <w:spacing w:before="77" w:line="221" w:lineRule="auto"/>
                    <w:ind w:left="528"/>
                    <w:rPr>
                      <w:sz w:val="22"/>
                      <w:szCs w:val="22"/>
                    </w:rPr>
                  </w:pPr>
                  <w:r>
                    <w:rPr>
                      <w:rFonts w:ascii="Times New Roman" w:hAnsi="Times New Roman" w:eastAsia="Times New Roman" w:cs="Times New Roman"/>
                      <w:spacing w:val="-3"/>
                      <w:sz w:val="22"/>
                      <w:szCs w:val="22"/>
                    </w:rPr>
                    <w:t xml:space="preserve">3 </w:t>
                  </w:r>
                  <w:r>
                    <w:rPr>
                      <w:spacing w:val="-3"/>
                      <w:sz w:val="22"/>
                      <w:szCs w:val="22"/>
                    </w:rPr>
                    <w:t>班制，</w:t>
                  </w:r>
                  <w:r>
                    <w:rPr>
                      <w:rFonts w:ascii="Times New Roman" w:hAnsi="Times New Roman" w:eastAsia="Times New Roman" w:cs="Times New Roman"/>
                      <w:spacing w:val="-3"/>
                      <w:sz w:val="22"/>
                      <w:szCs w:val="22"/>
                    </w:rPr>
                    <w:t>8</w:t>
                  </w:r>
                  <w:r>
                    <w:rPr>
                      <w:rFonts w:ascii="Times New Roman" w:hAnsi="Times New Roman" w:eastAsia="Times New Roman" w:cs="Times New Roman"/>
                      <w:spacing w:val="21"/>
                      <w:sz w:val="22"/>
                      <w:szCs w:val="22"/>
                    </w:rPr>
                    <w:t xml:space="preserve"> </w:t>
                  </w:r>
                  <w:r>
                    <w:rPr>
                      <w:spacing w:val="-3"/>
                      <w:sz w:val="22"/>
                      <w:szCs w:val="22"/>
                    </w:rPr>
                    <w:t>小时</w:t>
                  </w:r>
                  <w:r>
                    <w:rPr>
                      <w:rFonts w:ascii="Times New Roman" w:hAnsi="Times New Roman" w:eastAsia="Times New Roman" w:cs="Times New Roman"/>
                      <w:spacing w:val="-3"/>
                      <w:sz w:val="22"/>
                      <w:szCs w:val="22"/>
                    </w:rPr>
                    <w:t>/</w:t>
                  </w:r>
                  <w:r>
                    <w:rPr>
                      <w:spacing w:val="-3"/>
                      <w:sz w:val="22"/>
                      <w:szCs w:val="22"/>
                    </w:rPr>
                    <w:t>班</w:t>
                  </w:r>
                </w:p>
              </w:tc>
            </w:tr>
          </w:tbl>
          <w:p w14:paraId="6CACD82C">
            <w:pPr>
              <w:rPr>
                <w:rFonts w:ascii="Arial"/>
                <w:sz w:val="21"/>
              </w:rPr>
            </w:pPr>
          </w:p>
        </w:tc>
      </w:tr>
      <w:tr w14:paraId="6487E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81" w:hRule="atLeast"/>
        </w:trPr>
        <w:tc>
          <w:tcPr>
            <w:tcW w:w="831" w:type="dxa"/>
            <w:tcBorders>
              <w:top w:val="single" w:color="000000" w:sz="2" w:space="0"/>
              <w:right w:val="single" w:color="000000" w:sz="2" w:space="0"/>
            </w:tcBorders>
            <w:vAlign w:val="top"/>
          </w:tcPr>
          <w:p w14:paraId="4C46B9D3">
            <w:pPr>
              <w:spacing w:line="258" w:lineRule="auto"/>
              <w:rPr>
                <w:rFonts w:ascii="Arial"/>
                <w:sz w:val="21"/>
              </w:rPr>
            </w:pPr>
          </w:p>
          <w:p w14:paraId="7994874B">
            <w:pPr>
              <w:spacing w:line="258" w:lineRule="auto"/>
              <w:rPr>
                <w:rFonts w:ascii="Arial"/>
                <w:sz w:val="21"/>
              </w:rPr>
            </w:pPr>
          </w:p>
          <w:p w14:paraId="73959675">
            <w:pPr>
              <w:spacing w:line="259" w:lineRule="auto"/>
              <w:rPr>
                <w:rFonts w:ascii="Arial"/>
                <w:sz w:val="21"/>
              </w:rPr>
            </w:pPr>
          </w:p>
          <w:p w14:paraId="7EBBEDF5">
            <w:pPr>
              <w:spacing w:line="259" w:lineRule="auto"/>
              <w:rPr>
                <w:rFonts w:ascii="Arial"/>
                <w:sz w:val="21"/>
              </w:rPr>
            </w:pPr>
          </w:p>
          <w:p w14:paraId="6262D5FC">
            <w:pPr>
              <w:spacing w:line="259" w:lineRule="auto"/>
              <w:rPr>
                <w:rFonts w:ascii="Arial"/>
                <w:sz w:val="21"/>
              </w:rPr>
            </w:pPr>
          </w:p>
          <w:p w14:paraId="5DF84B26">
            <w:pPr>
              <w:spacing w:line="259" w:lineRule="auto"/>
              <w:rPr>
                <w:rFonts w:ascii="Arial"/>
                <w:sz w:val="21"/>
              </w:rPr>
            </w:pPr>
          </w:p>
          <w:p w14:paraId="1E8B8618">
            <w:pPr>
              <w:pStyle w:val="6"/>
              <w:spacing w:before="81" w:line="249" w:lineRule="auto"/>
              <w:ind w:left="156" w:right="156" w:firstLine="3"/>
              <w:jc w:val="both"/>
            </w:pPr>
            <w:r>
              <w:rPr>
                <w:spacing w:val="2"/>
              </w:rPr>
              <w:t>工艺</w:t>
            </w:r>
            <w:r>
              <w:rPr>
                <w:spacing w:val="4"/>
              </w:rPr>
              <w:t>流程和产排污环节</w:t>
            </w:r>
          </w:p>
        </w:tc>
        <w:tc>
          <w:tcPr>
            <w:tcW w:w="8157" w:type="dxa"/>
            <w:tcBorders>
              <w:top w:val="single" w:color="000000" w:sz="2" w:space="0"/>
              <w:left w:val="single" w:color="000000" w:sz="2" w:space="0"/>
            </w:tcBorders>
            <w:vAlign w:val="top"/>
          </w:tcPr>
          <w:p w14:paraId="04497079">
            <w:pPr>
              <w:pStyle w:val="6"/>
              <w:spacing w:before="138" w:line="225" w:lineRule="auto"/>
              <w:ind w:left="106"/>
            </w:pPr>
            <w:r>
              <w:rPr>
                <w:rFonts w:ascii="Times New Roman" w:hAnsi="Times New Roman" w:eastAsia="Times New Roman" w:cs="Times New Roman"/>
                <w:b/>
                <w:bCs/>
                <w:spacing w:val="7"/>
              </w:rPr>
              <w:t xml:space="preserve">2.10 </w:t>
            </w:r>
            <w:r>
              <w:rPr>
                <w:b/>
                <w:bCs/>
                <w:spacing w:val="7"/>
              </w:rPr>
              <w:t>本项目施工期主要工艺流程及产排污环节</w:t>
            </w:r>
          </w:p>
          <w:p w14:paraId="5923C5C4">
            <w:pPr>
              <w:pStyle w:val="6"/>
              <w:spacing w:before="137" w:line="325" w:lineRule="auto"/>
              <w:ind w:left="109" w:right="102" w:firstLine="523"/>
              <w:jc w:val="both"/>
            </w:pPr>
            <w:r>
              <w:rPr>
                <w:spacing w:val="5"/>
              </w:rPr>
              <w:t>项目施工期间大致分</w:t>
            </w:r>
            <w:r>
              <w:rPr>
                <w:spacing w:val="-49"/>
              </w:rPr>
              <w:t xml:space="preserve"> </w:t>
            </w:r>
            <w:r>
              <w:rPr>
                <w:rFonts w:ascii="Times New Roman" w:hAnsi="Times New Roman" w:eastAsia="Times New Roman" w:cs="Times New Roman"/>
                <w:spacing w:val="5"/>
              </w:rPr>
              <w:t xml:space="preserve">3 </w:t>
            </w:r>
            <w:r>
              <w:rPr>
                <w:spacing w:val="5"/>
              </w:rPr>
              <w:t>个步骤：拆除现有埋地罐、输</w:t>
            </w:r>
            <w:r>
              <w:rPr>
                <w:spacing w:val="4"/>
              </w:rPr>
              <w:t>油管线，结构</w:t>
            </w:r>
            <w:r>
              <w:rPr>
                <w:spacing w:val="6"/>
              </w:rPr>
              <w:t>施工，储油罐、管线安装，装饰调试，投入使用。本项目施工期</w:t>
            </w:r>
            <w:r>
              <w:rPr>
                <w:spacing w:val="5"/>
              </w:rPr>
              <w:t>工艺流</w:t>
            </w:r>
            <w:r>
              <w:rPr>
                <w:spacing w:val="1"/>
              </w:rPr>
              <w:t>程及排污环节见图</w:t>
            </w:r>
            <w:r>
              <w:rPr>
                <w:spacing w:val="-44"/>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30"/>
              </w:rPr>
              <w:t xml:space="preserve"> </w:t>
            </w:r>
            <w:r>
              <w:rPr>
                <w:rFonts w:ascii="Times New Roman" w:hAnsi="Times New Roman" w:eastAsia="Times New Roman" w:cs="Times New Roman"/>
                <w:spacing w:val="1"/>
              </w:rPr>
              <w:t>10-</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w:t>
            </w:r>
            <w:r>
              <w:rPr>
                <w:spacing w:val="1"/>
              </w:rPr>
              <w:t>。</w:t>
            </w:r>
          </w:p>
          <w:p w14:paraId="03069F82">
            <w:pPr>
              <w:spacing w:before="148" w:line="1672" w:lineRule="exact"/>
              <w:ind w:firstLine="561"/>
            </w:pPr>
            <w:r>
              <w:rPr>
                <w:position w:val="-33"/>
              </w:rPr>
              <w:drawing>
                <wp:inline distT="0" distB="0" distL="0" distR="0">
                  <wp:extent cx="4458970" cy="106172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9"/>
                          <a:stretch>
                            <a:fillRect/>
                          </a:stretch>
                        </pic:blipFill>
                        <pic:spPr>
                          <a:xfrm>
                            <a:off x="0" y="0"/>
                            <a:ext cx="4459046" cy="1061847"/>
                          </a:xfrm>
                          <a:prstGeom prst="rect">
                            <a:avLst/>
                          </a:prstGeom>
                        </pic:spPr>
                      </pic:pic>
                    </a:graphicData>
                  </a:graphic>
                </wp:inline>
              </w:drawing>
            </w:r>
          </w:p>
          <w:p w14:paraId="5E7BB24F">
            <w:pPr>
              <w:spacing w:line="321" w:lineRule="auto"/>
              <w:rPr>
                <w:rFonts w:ascii="Arial"/>
                <w:sz w:val="21"/>
              </w:rPr>
            </w:pPr>
          </w:p>
          <w:p w14:paraId="73BA0CE8">
            <w:pPr>
              <w:pStyle w:val="6"/>
              <w:spacing w:before="81" w:line="227" w:lineRule="auto"/>
              <w:ind w:left="1789"/>
            </w:pPr>
            <w:r>
              <w:rPr>
                <w:spacing w:val="4"/>
              </w:rPr>
              <w:t>图</w:t>
            </w:r>
            <w:r>
              <w:rPr>
                <w:spacing w:val="-50"/>
              </w:rPr>
              <w:t xml:space="preserve"> </w:t>
            </w:r>
            <w:r>
              <w:rPr>
                <w:rFonts w:ascii="Times New Roman" w:hAnsi="Times New Roman" w:eastAsia="Times New Roman" w:cs="Times New Roman"/>
                <w:spacing w:val="4"/>
              </w:rPr>
              <w:t>2.10-</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 xml:space="preserve">1    </w:t>
            </w:r>
            <w:r>
              <w:rPr>
                <w:spacing w:val="4"/>
              </w:rPr>
              <w:t>施工期工艺流程及排污环节图</w:t>
            </w:r>
          </w:p>
          <w:p w14:paraId="58074110">
            <w:pPr>
              <w:pStyle w:val="6"/>
              <w:spacing w:before="135" w:line="223" w:lineRule="auto"/>
              <w:ind w:left="627"/>
            </w:pPr>
            <w:r>
              <w:rPr>
                <w:spacing w:val="5"/>
              </w:rPr>
              <w:t>施工过程中使用的机械设备将会产生施工噪声，施工期废水主要来</w:t>
            </w:r>
          </w:p>
        </w:tc>
      </w:tr>
    </w:tbl>
    <w:p w14:paraId="1BA03CCF">
      <w:pPr>
        <w:pStyle w:val="2"/>
        <w:rPr>
          <w:sz w:val="21"/>
        </w:rPr>
      </w:pPr>
    </w:p>
    <w:p w14:paraId="3560A8B1">
      <w:pPr>
        <w:rPr>
          <w:sz w:val="21"/>
          <w:szCs w:val="21"/>
        </w:rPr>
        <w:sectPr>
          <w:footerReference r:id="rId42" w:type="default"/>
          <w:pgSz w:w="11906" w:h="16839"/>
          <w:pgMar w:top="400" w:right="1451" w:bottom="1009" w:left="1451" w:header="0" w:footer="770" w:gutter="0"/>
          <w:cols w:space="720" w:num="1"/>
        </w:sectPr>
      </w:pPr>
    </w:p>
    <w:p w14:paraId="212E9AB4">
      <w:pPr>
        <w:spacing w:before="19"/>
      </w:pPr>
    </w:p>
    <w:p w14:paraId="09C43F04">
      <w:pPr>
        <w:spacing w:before="19"/>
      </w:pPr>
    </w:p>
    <w:p w14:paraId="1BD7F6DD">
      <w:pPr>
        <w:spacing w:before="19"/>
      </w:pPr>
    </w:p>
    <w:p w14:paraId="0B1A0BCC">
      <w:pPr>
        <w:spacing w:before="18"/>
      </w:pPr>
    </w:p>
    <w:p w14:paraId="09FF8950">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7995B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47" w:hRule="atLeast"/>
        </w:trPr>
        <w:tc>
          <w:tcPr>
            <w:tcW w:w="831" w:type="dxa"/>
            <w:tcBorders>
              <w:right w:val="single" w:color="000000" w:sz="2" w:space="0"/>
            </w:tcBorders>
            <w:vAlign w:val="top"/>
          </w:tcPr>
          <w:p w14:paraId="4F22789B">
            <w:pPr>
              <w:rPr>
                <w:rFonts w:ascii="Arial"/>
                <w:sz w:val="21"/>
              </w:rPr>
            </w:pPr>
          </w:p>
        </w:tc>
        <w:tc>
          <w:tcPr>
            <w:tcW w:w="8157" w:type="dxa"/>
            <w:tcBorders>
              <w:left w:val="single" w:color="000000" w:sz="2" w:space="0"/>
            </w:tcBorders>
            <w:vAlign w:val="top"/>
          </w:tcPr>
          <w:p w14:paraId="0C7F4AC4">
            <w:pPr>
              <w:pStyle w:val="6"/>
              <w:spacing w:before="122" w:line="325" w:lineRule="auto"/>
              <w:ind w:left="109" w:right="102"/>
              <w:jc w:val="both"/>
            </w:pPr>
            <w:r>
              <w:rPr>
                <w:spacing w:val="6"/>
              </w:rPr>
              <w:t>源于施工人员生活污水及施工机械冲洗废水，另外现有工程</w:t>
            </w:r>
            <w:r>
              <w:rPr>
                <w:spacing w:val="5"/>
              </w:rPr>
              <w:t>油罐委托专业单位进行拆除，拆除油罐为</w:t>
            </w:r>
            <w:r>
              <w:rPr>
                <w:spacing w:val="-29"/>
              </w:rPr>
              <w:t xml:space="preserve"> </w:t>
            </w:r>
            <w:r>
              <w:rPr>
                <w:rFonts w:ascii="Times New Roman" w:hAnsi="Times New Roman" w:eastAsia="Times New Roman" w:cs="Times New Roman"/>
                <w:spacing w:val="5"/>
              </w:rPr>
              <w:t xml:space="preserve">1 </w:t>
            </w:r>
            <w:r>
              <w:rPr>
                <w:spacing w:val="5"/>
              </w:rPr>
              <w:t>个，清罐废物产</w:t>
            </w:r>
            <w:r>
              <w:rPr>
                <w:spacing w:val="4"/>
              </w:rPr>
              <w:t>生量合计</w:t>
            </w:r>
            <w:r>
              <w:rPr>
                <w:spacing w:val="-49"/>
              </w:rPr>
              <w:t xml:space="preserve"> </w:t>
            </w:r>
            <w:r>
              <w:rPr>
                <w:rFonts w:ascii="Times New Roman" w:hAnsi="Times New Roman" w:eastAsia="Times New Roman" w:cs="Times New Roman"/>
                <w:spacing w:val="4"/>
              </w:rPr>
              <w:t>0.5t</w:t>
            </w:r>
            <w:r>
              <w:rPr>
                <w:rFonts w:ascii="Times New Roman" w:hAnsi="Times New Roman" w:eastAsia="Times New Roman" w:cs="Times New Roman"/>
                <w:spacing w:val="-29"/>
              </w:rPr>
              <w:t xml:space="preserve"> </w:t>
            </w:r>
            <w:r>
              <w:rPr>
                <w:spacing w:val="4"/>
              </w:rPr>
              <w:t>，拆除油</w:t>
            </w:r>
            <w:r>
              <w:rPr>
                <w:spacing w:val="14"/>
              </w:rPr>
              <w:t>罐及含油废物在拆过过程完成后立即交由有危废转移处理资质单位清</w:t>
            </w:r>
            <w:r>
              <w:rPr>
                <w:spacing w:val="5"/>
              </w:rPr>
              <w:t>运处置。</w:t>
            </w:r>
          </w:p>
          <w:p w14:paraId="6AE42622">
            <w:pPr>
              <w:pStyle w:val="6"/>
              <w:spacing w:line="225" w:lineRule="auto"/>
              <w:ind w:left="106"/>
            </w:pPr>
            <w:r>
              <w:rPr>
                <w:rFonts w:ascii="Times New Roman" w:hAnsi="Times New Roman" w:eastAsia="Times New Roman" w:cs="Times New Roman"/>
                <w:b/>
                <w:bCs/>
                <w:spacing w:val="6"/>
              </w:rPr>
              <w:t xml:space="preserve">2.11 </w:t>
            </w:r>
            <w:r>
              <w:rPr>
                <w:b/>
                <w:bCs/>
                <w:spacing w:val="6"/>
              </w:rPr>
              <w:t>本项目运营期主要工艺流程及产排污环节</w:t>
            </w:r>
          </w:p>
          <w:p w14:paraId="5139E9EF">
            <w:pPr>
              <w:pStyle w:val="6"/>
              <w:spacing w:before="135" w:line="325" w:lineRule="auto"/>
              <w:ind w:left="112" w:right="102" w:firstLine="517"/>
              <w:jc w:val="both"/>
            </w:pPr>
            <w:r>
              <w:rPr>
                <w:spacing w:val="5"/>
              </w:rPr>
              <w:t>本项目为加油站项目，运营期间主要为过往车辆加油。加油站工艺</w:t>
            </w:r>
            <w:r>
              <w:rPr>
                <w:spacing w:val="6"/>
              </w:rPr>
              <w:t>成熟，主要包括成品油进站卸油、储油和给过往车辆</w:t>
            </w:r>
            <w:r>
              <w:rPr>
                <w:spacing w:val="5"/>
              </w:rPr>
              <w:t>加油等过程。首先</w:t>
            </w:r>
            <w:r>
              <w:rPr>
                <w:spacing w:val="6"/>
              </w:rPr>
              <w:t>由油罐车将油料卸载至站内的油罐，采用加油机计量将油</w:t>
            </w:r>
            <w:r>
              <w:rPr>
                <w:spacing w:val="5"/>
              </w:rPr>
              <w:t>料加入车辆油</w:t>
            </w:r>
            <w:r>
              <w:rPr>
                <w:spacing w:val="9"/>
              </w:rPr>
              <w:t>箱。储油罐用于储存油料，从而保证加油站不会出现脱销现象。</w:t>
            </w:r>
          </w:p>
          <w:p w14:paraId="788DED85">
            <w:pPr>
              <w:pStyle w:val="6"/>
              <w:spacing w:line="225" w:lineRule="auto"/>
              <w:ind w:left="629"/>
            </w:pPr>
            <w:r>
              <w:rPr>
                <w:spacing w:val="4"/>
              </w:rPr>
              <w:t>本项目主要工艺及产污环节流程图分别见下图</w:t>
            </w:r>
            <w:r>
              <w:rPr>
                <w:spacing w:val="-36"/>
              </w:rPr>
              <w:t xml:space="preserve"> </w:t>
            </w:r>
            <w:r>
              <w:rPr>
                <w:rFonts w:ascii="Times New Roman" w:hAnsi="Times New Roman" w:eastAsia="Times New Roman" w:cs="Times New Roman"/>
                <w:spacing w:val="4"/>
              </w:rPr>
              <w:t>2.11-</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8"/>
              </w:rPr>
              <w:t xml:space="preserve"> </w:t>
            </w:r>
            <w:r>
              <w:rPr>
                <w:spacing w:val="4"/>
              </w:rPr>
              <w:t>图</w:t>
            </w:r>
            <w:r>
              <w:rPr>
                <w:spacing w:val="-53"/>
              </w:rPr>
              <w:t xml:space="preserve"> </w:t>
            </w:r>
            <w:r>
              <w:rPr>
                <w:rFonts w:ascii="Times New Roman" w:hAnsi="Times New Roman" w:eastAsia="Times New Roman" w:cs="Times New Roman"/>
                <w:spacing w:val="4"/>
              </w:rPr>
              <w:t>2.11-3</w:t>
            </w:r>
            <w:r>
              <w:rPr>
                <w:spacing w:val="4"/>
              </w:rPr>
              <w:t>。</w:t>
            </w:r>
          </w:p>
          <w:p w14:paraId="7F41D72A">
            <w:pPr>
              <w:pStyle w:val="6"/>
              <w:spacing w:before="150" w:line="226" w:lineRule="auto"/>
              <w:ind w:left="121"/>
            </w:pPr>
            <w:r>
              <w:rPr>
                <w:spacing w:val="8"/>
              </w:rPr>
              <w:t>（</w:t>
            </w:r>
            <w:r>
              <w:rPr>
                <w:rFonts w:ascii="Times New Roman" w:hAnsi="Times New Roman" w:eastAsia="Times New Roman" w:cs="Times New Roman"/>
                <w:spacing w:val="8"/>
              </w:rPr>
              <w:t>1</w:t>
            </w:r>
            <w:r>
              <w:rPr>
                <w:spacing w:val="8"/>
              </w:rPr>
              <w:t>）三次油气回收系统运行原理</w:t>
            </w:r>
          </w:p>
          <w:p w14:paraId="4F364DAE">
            <w:pPr>
              <w:spacing w:before="9" w:line="7882" w:lineRule="exact"/>
              <w:ind w:firstLine="651"/>
            </w:pPr>
            <w:r>
              <w:rPr>
                <w:position w:val="-157"/>
              </w:rPr>
              <w:drawing>
                <wp:inline distT="0" distB="0" distL="0" distR="0">
                  <wp:extent cx="4339590" cy="500507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20"/>
                          <a:stretch>
                            <a:fillRect/>
                          </a:stretch>
                        </pic:blipFill>
                        <pic:spPr>
                          <a:xfrm>
                            <a:off x="0" y="0"/>
                            <a:ext cx="4339590" cy="5005323"/>
                          </a:xfrm>
                          <a:prstGeom prst="rect">
                            <a:avLst/>
                          </a:prstGeom>
                        </pic:spPr>
                      </pic:pic>
                    </a:graphicData>
                  </a:graphic>
                </wp:inline>
              </w:drawing>
            </w:r>
          </w:p>
        </w:tc>
      </w:tr>
    </w:tbl>
    <w:p w14:paraId="4385C39B">
      <w:pPr>
        <w:pStyle w:val="2"/>
        <w:rPr>
          <w:sz w:val="21"/>
        </w:rPr>
      </w:pPr>
    </w:p>
    <w:p w14:paraId="52ECC020">
      <w:pPr>
        <w:rPr>
          <w:sz w:val="21"/>
          <w:szCs w:val="21"/>
        </w:rPr>
        <w:sectPr>
          <w:footerReference r:id="rId43" w:type="default"/>
          <w:pgSz w:w="11906" w:h="16839"/>
          <w:pgMar w:top="400" w:right="1451" w:bottom="1009" w:left="1451" w:header="0" w:footer="770" w:gutter="0"/>
          <w:cols w:space="720" w:num="1"/>
        </w:sectPr>
      </w:pPr>
    </w:p>
    <w:p w14:paraId="7F474740">
      <w:pPr>
        <w:spacing w:before="19"/>
      </w:pPr>
    </w:p>
    <w:p w14:paraId="59EF12FD">
      <w:pPr>
        <w:spacing w:before="19"/>
      </w:pPr>
    </w:p>
    <w:p w14:paraId="4E0DCA81">
      <w:pPr>
        <w:spacing w:before="19"/>
      </w:pPr>
    </w:p>
    <w:p w14:paraId="46B72127">
      <w:pPr>
        <w:spacing w:before="18"/>
      </w:pPr>
    </w:p>
    <w:p w14:paraId="3DD7481F">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1E969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47" w:hRule="atLeast"/>
        </w:trPr>
        <w:tc>
          <w:tcPr>
            <w:tcW w:w="831" w:type="dxa"/>
            <w:tcBorders>
              <w:right w:val="single" w:color="000000" w:sz="2" w:space="0"/>
            </w:tcBorders>
            <w:vAlign w:val="top"/>
          </w:tcPr>
          <w:p w14:paraId="47B42BDC">
            <w:pPr>
              <w:rPr>
                <w:rFonts w:ascii="Arial"/>
                <w:sz w:val="21"/>
              </w:rPr>
            </w:pPr>
          </w:p>
        </w:tc>
        <w:tc>
          <w:tcPr>
            <w:tcW w:w="8157" w:type="dxa"/>
            <w:tcBorders>
              <w:left w:val="single" w:color="000000" w:sz="2" w:space="0"/>
            </w:tcBorders>
            <w:vAlign w:val="top"/>
          </w:tcPr>
          <w:p w14:paraId="4D049D27">
            <w:pPr>
              <w:spacing w:line="4454" w:lineRule="exact"/>
              <w:ind w:firstLine="666"/>
            </w:pPr>
            <w:r>
              <w:rPr>
                <w:position w:val="-89"/>
              </w:rPr>
              <w:drawing>
                <wp:inline distT="0" distB="0" distL="0" distR="0">
                  <wp:extent cx="4320540" cy="282829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21"/>
                          <a:stretch>
                            <a:fillRect/>
                          </a:stretch>
                        </pic:blipFill>
                        <pic:spPr>
                          <a:xfrm>
                            <a:off x="0" y="0"/>
                            <a:ext cx="4320540" cy="2828544"/>
                          </a:xfrm>
                          <a:prstGeom prst="rect">
                            <a:avLst/>
                          </a:prstGeom>
                        </pic:spPr>
                      </pic:pic>
                    </a:graphicData>
                  </a:graphic>
                </wp:inline>
              </w:drawing>
            </w:r>
          </w:p>
          <w:p w14:paraId="02650D00">
            <w:pPr>
              <w:pStyle w:val="6"/>
              <w:spacing w:before="157" w:line="219" w:lineRule="auto"/>
              <w:ind w:left="169"/>
              <w:rPr>
                <w:sz w:val="24"/>
                <w:szCs w:val="24"/>
              </w:rPr>
            </w:pPr>
            <w:r>
              <w:rPr>
                <w:spacing w:val="-2"/>
                <w:sz w:val="24"/>
                <w:szCs w:val="24"/>
              </w:rPr>
              <w:t>图</w:t>
            </w:r>
            <w:r>
              <w:rPr>
                <w:spacing w:val="-52"/>
                <w:sz w:val="24"/>
                <w:szCs w:val="24"/>
              </w:rPr>
              <w:t xml:space="preserve"> </w:t>
            </w:r>
            <w:r>
              <w:rPr>
                <w:rFonts w:ascii="Times New Roman" w:hAnsi="Times New Roman" w:eastAsia="Times New Roman" w:cs="Times New Roman"/>
                <w:spacing w:val="-2"/>
                <w:sz w:val="24"/>
                <w:szCs w:val="24"/>
              </w:rPr>
              <w:t>2.11-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 xml:space="preserve">1    </w:t>
            </w:r>
            <w:r>
              <w:rPr>
                <w:spacing w:val="-2"/>
                <w:sz w:val="24"/>
                <w:szCs w:val="24"/>
              </w:rPr>
              <w:t>运营期汽油运作工艺流程及产污环节（一、二及三次油气回收）</w:t>
            </w:r>
          </w:p>
          <w:p w14:paraId="50A6D1D2">
            <w:pPr>
              <w:spacing w:line="255" w:lineRule="auto"/>
              <w:rPr>
                <w:rFonts w:ascii="Arial"/>
                <w:sz w:val="21"/>
              </w:rPr>
            </w:pPr>
          </w:p>
          <w:p w14:paraId="01C4DBAF">
            <w:pPr>
              <w:spacing w:line="256" w:lineRule="auto"/>
              <w:rPr>
                <w:rFonts w:ascii="Arial"/>
                <w:sz w:val="21"/>
              </w:rPr>
            </w:pPr>
          </w:p>
          <w:p w14:paraId="19F517F4">
            <w:pPr>
              <w:pStyle w:val="6"/>
              <w:spacing w:before="81" w:line="325" w:lineRule="auto"/>
              <w:ind w:left="109" w:right="102" w:firstLine="519"/>
              <w:jc w:val="both"/>
            </w:pPr>
            <w:r>
              <w:rPr>
                <w:spacing w:val="15"/>
              </w:rPr>
              <w:t>针对加油站油气回收中三次油气回收系统采</w:t>
            </w:r>
            <w:r>
              <w:rPr>
                <w:spacing w:val="14"/>
              </w:rPr>
              <w:t>用的主要工艺为膜分</w:t>
            </w:r>
            <w:r>
              <w:rPr>
                <w:spacing w:val="9"/>
              </w:rPr>
              <w:t>离</w:t>
            </w:r>
            <w:r>
              <w:rPr>
                <w:rFonts w:ascii="Times New Roman" w:hAnsi="Times New Roman" w:eastAsia="Times New Roman" w:cs="Times New Roman"/>
                <w:spacing w:val="9"/>
              </w:rPr>
              <w:t>+</w:t>
            </w:r>
            <w:r>
              <w:rPr>
                <w:spacing w:val="9"/>
              </w:rPr>
              <w:t>冷凝设备，膜分离法的基本原理是利用特殊方法和材料制成的分离</w:t>
            </w:r>
            <w:r>
              <w:rPr>
                <w:spacing w:val="6"/>
              </w:rPr>
              <w:t>膜对不同气体分子渗透能力不同的特性，选择性地使一些气体分</w:t>
            </w:r>
            <w:r>
              <w:rPr>
                <w:spacing w:val="5"/>
              </w:rPr>
              <w:t>子透过</w:t>
            </w:r>
            <w:r>
              <w:rPr>
                <w:spacing w:val="6"/>
              </w:rPr>
              <w:t>分离膜而阻止另一些气体分子透过，从而实现不同组分的分离。</w:t>
            </w:r>
            <w:r>
              <w:rPr>
                <w:spacing w:val="5"/>
              </w:rPr>
              <w:t>其中油</w:t>
            </w:r>
            <w:r>
              <w:rPr>
                <w:spacing w:val="6"/>
              </w:rPr>
              <w:t>气中烃类组分为透过相，空气为滞留相。透过相穿过膜的过程首</w:t>
            </w:r>
            <w:r>
              <w:rPr>
                <w:spacing w:val="5"/>
              </w:rPr>
              <w:t>先是透</w:t>
            </w:r>
            <w:r>
              <w:rPr>
                <w:spacing w:val="6"/>
              </w:rPr>
              <w:t>过相分子在膜的上游侧吸附溶解附着在膜上，然后在施加在</w:t>
            </w:r>
            <w:r>
              <w:rPr>
                <w:spacing w:val="5"/>
              </w:rPr>
              <w:t>分离膜两侧</w:t>
            </w:r>
            <w:r>
              <w:rPr>
                <w:spacing w:val="6"/>
              </w:rPr>
              <w:t>的压差和浓度梯度推动力作用下渗透过分离膜，最后再从膜的下</w:t>
            </w:r>
            <w:r>
              <w:rPr>
                <w:spacing w:val="5"/>
              </w:rPr>
              <w:t>游侧解吸出来。</w:t>
            </w:r>
          </w:p>
          <w:p w14:paraId="4BB2E164">
            <w:pPr>
              <w:pStyle w:val="6"/>
              <w:spacing w:before="10" w:line="324" w:lineRule="auto"/>
              <w:ind w:left="109" w:right="102" w:firstLine="520"/>
              <w:jc w:val="both"/>
            </w:pPr>
            <w:r>
              <w:rPr>
                <w:spacing w:val="5"/>
              </w:rPr>
              <w:t>其工艺过程为：三次油气回收系统检测到油罐内压力达到设定启动</w:t>
            </w:r>
            <w:r>
              <w:rPr>
                <w:spacing w:val="13"/>
              </w:rPr>
              <w:t>压力（如</w:t>
            </w:r>
            <w:r>
              <w:rPr>
                <w:rFonts w:ascii="Times New Roman" w:hAnsi="Times New Roman" w:eastAsia="Times New Roman" w:cs="Times New Roman"/>
                <w:spacing w:val="13"/>
              </w:rPr>
              <w:t>+150</w:t>
            </w:r>
            <w:r>
              <w:rPr>
                <w:rFonts w:ascii="Times New Roman" w:hAnsi="Times New Roman" w:eastAsia="Times New Roman" w:cs="Times New Roman"/>
              </w:rPr>
              <w:t>Pa</w:t>
            </w:r>
            <w:r>
              <w:rPr>
                <w:spacing w:val="13"/>
              </w:rPr>
              <w:t>）时，系统开始工作；油罐内的挥发油气经专用压缩</w:t>
            </w:r>
            <w:r>
              <w:rPr>
                <w:spacing w:val="6"/>
              </w:rPr>
              <w:t>机升压、散热器降温液化处理后进入油气分离器，混合油气中的</w:t>
            </w:r>
            <w:r>
              <w:rPr>
                <w:spacing w:val="5"/>
              </w:rPr>
              <w:t>未被液</w:t>
            </w:r>
            <w:r>
              <w:rPr>
                <w:spacing w:val="6"/>
              </w:rPr>
              <w:t>化部分的油气进入膜分离器分离。膜分离器的滞留侧为清洁尾气</w:t>
            </w:r>
            <w:r>
              <w:rPr>
                <w:spacing w:val="5"/>
              </w:rPr>
              <w:t>经压控</w:t>
            </w:r>
            <w:r>
              <w:rPr>
                <w:spacing w:val="6"/>
              </w:rPr>
              <w:t>阀后排入大气，膜分离器透过侧为提浓油气经真空泵返回系统；</w:t>
            </w:r>
            <w:r>
              <w:rPr>
                <w:spacing w:val="5"/>
              </w:rPr>
              <w:t>随着系</w:t>
            </w:r>
            <w:r>
              <w:rPr>
                <w:spacing w:val="22"/>
              </w:rPr>
              <w:t>统的运行，油罐内压力降低，</w:t>
            </w:r>
            <w:r>
              <w:rPr>
                <w:spacing w:val="-75"/>
              </w:rPr>
              <w:t xml:space="preserve"> </w:t>
            </w:r>
            <w:r>
              <w:rPr>
                <w:spacing w:val="22"/>
              </w:rPr>
              <w:t>当油罐内压力降到设置停</w:t>
            </w:r>
            <w:r>
              <w:rPr>
                <w:spacing w:val="21"/>
              </w:rPr>
              <w:t>止压力（如</w:t>
            </w:r>
            <w:r>
              <w:rPr>
                <w:rFonts w:ascii="Times New Roman" w:hAnsi="Times New Roman" w:eastAsia="Times New Roman" w:cs="Times New Roman"/>
                <w:spacing w:val="6"/>
              </w:rPr>
              <w:t>-</w:t>
            </w:r>
            <w:r>
              <w:rPr>
                <w:rFonts w:ascii="Times New Roman" w:hAnsi="Times New Roman" w:eastAsia="Times New Roman" w:cs="Times New Roman"/>
                <w:spacing w:val="-30"/>
              </w:rPr>
              <w:t xml:space="preserve"> </w:t>
            </w:r>
            <w:r>
              <w:rPr>
                <w:rFonts w:ascii="Times New Roman" w:hAnsi="Times New Roman" w:eastAsia="Times New Roman" w:cs="Times New Roman"/>
                <w:spacing w:val="6"/>
              </w:rPr>
              <w:t>150</w:t>
            </w:r>
            <w:r>
              <w:rPr>
                <w:rFonts w:ascii="Times New Roman" w:hAnsi="Times New Roman" w:eastAsia="Times New Roman" w:cs="Times New Roman"/>
              </w:rPr>
              <w:t>Pa</w:t>
            </w:r>
            <w:r>
              <w:rPr>
                <w:spacing w:val="6"/>
              </w:rPr>
              <w:t>）或系统运行时间达到设置停止时间时，系统会自动停止直至罐</w:t>
            </w:r>
            <w:r>
              <w:rPr>
                <w:spacing w:val="9"/>
              </w:rPr>
              <w:t>内压力再次升高至设置压力时，系统再次启</w:t>
            </w:r>
            <w:r>
              <w:rPr>
                <w:spacing w:val="8"/>
              </w:rPr>
              <w:t>动。</w:t>
            </w:r>
          </w:p>
          <w:p w14:paraId="5ACA4324">
            <w:pPr>
              <w:pStyle w:val="6"/>
              <w:spacing w:before="1" w:line="223" w:lineRule="auto"/>
              <w:ind w:left="640"/>
            </w:pPr>
            <w:r>
              <w:rPr>
                <w:spacing w:val="7"/>
              </w:rPr>
              <w:t>（</w:t>
            </w:r>
            <w:r>
              <w:rPr>
                <w:rFonts w:ascii="Times New Roman" w:hAnsi="Times New Roman" w:eastAsia="Times New Roman" w:cs="Times New Roman"/>
                <w:spacing w:val="7"/>
              </w:rPr>
              <w:t>2</w:t>
            </w:r>
            <w:r>
              <w:rPr>
                <w:spacing w:val="7"/>
              </w:rPr>
              <w:t>）汽油加油工艺流程说明</w:t>
            </w:r>
          </w:p>
        </w:tc>
      </w:tr>
    </w:tbl>
    <w:p w14:paraId="631DEE8A">
      <w:pPr>
        <w:pStyle w:val="2"/>
        <w:rPr>
          <w:sz w:val="21"/>
        </w:rPr>
      </w:pPr>
    </w:p>
    <w:p w14:paraId="3386EEF5">
      <w:pPr>
        <w:rPr>
          <w:sz w:val="21"/>
          <w:szCs w:val="21"/>
        </w:rPr>
        <w:sectPr>
          <w:footerReference r:id="rId44" w:type="default"/>
          <w:pgSz w:w="11906" w:h="16839"/>
          <w:pgMar w:top="400" w:right="1451" w:bottom="1009" w:left="1451" w:header="0" w:footer="770" w:gutter="0"/>
          <w:cols w:space="720" w:num="1"/>
        </w:sectPr>
      </w:pPr>
    </w:p>
    <w:p w14:paraId="12CAA08B">
      <w:pPr>
        <w:spacing w:before="19"/>
      </w:pPr>
    </w:p>
    <w:p w14:paraId="39B858FA">
      <w:pPr>
        <w:spacing w:before="19"/>
      </w:pPr>
    </w:p>
    <w:p w14:paraId="47919036">
      <w:pPr>
        <w:spacing w:before="19"/>
      </w:pPr>
    </w:p>
    <w:p w14:paraId="5D5E8C8F">
      <w:pPr>
        <w:spacing w:before="18"/>
      </w:pPr>
    </w:p>
    <w:p w14:paraId="13F583E8">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6AB7C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2" w:hRule="atLeast"/>
        </w:trPr>
        <w:tc>
          <w:tcPr>
            <w:tcW w:w="831" w:type="dxa"/>
            <w:tcBorders>
              <w:bottom w:val="nil"/>
              <w:right w:val="single" w:color="000000" w:sz="2" w:space="0"/>
            </w:tcBorders>
            <w:vAlign w:val="top"/>
          </w:tcPr>
          <w:p w14:paraId="53DC689D">
            <w:pPr>
              <w:rPr>
                <w:rFonts w:ascii="Arial"/>
                <w:sz w:val="21"/>
              </w:rPr>
            </w:pPr>
          </w:p>
        </w:tc>
        <w:tc>
          <w:tcPr>
            <w:tcW w:w="8157" w:type="dxa"/>
            <w:tcBorders>
              <w:left w:val="single" w:color="000000" w:sz="2" w:space="0"/>
              <w:bottom w:val="nil"/>
            </w:tcBorders>
            <w:vAlign w:val="top"/>
          </w:tcPr>
          <w:p w14:paraId="41CC3A19">
            <w:pPr>
              <w:spacing w:before="182" w:line="2518" w:lineRule="exact"/>
              <w:ind w:firstLine="220"/>
            </w:pPr>
            <w:r>
              <w:drawing>
                <wp:anchor distT="0" distB="0" distL="0" distR="0" simplePos="0" relativeHeight="251665408" behindDoc="0" locked="0" layoutInCell="1" allowOverlap="1">
                  <wp:simplePos x="0" y="0"/>
                  <wp:positionH relativeFrom="rightMargin">
                    <wp:posOffset>-5042535</wp:posOffset>
                  </wp:positionH>
                  <wp:positionV relativeFrom="topMargin">
                    <wp:posOffset>106045</wp:posOffset>
                  </wp:positionV>
                  <wp:extent cx="4941570" cy="161798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22"/>
                          <a:stretch>
                            <a:fillRect/>
                          </a:stretch>
                        </pic:blipFill>
                        <pic:spPr>
                          <a:xfrm>
                            <a:off x="0" y="0"/>
                            <a:ext cx="4941570" cy="1617726"/>
                          </a:xfrm>
                          <a:prstGeom prst="rect">
                            <a:avLst/>
                          </a:prstGeom>
                        </pic:spPr>
                      </pic:pic>
                    </a:graphicData>
                  </a:graphic>
                </wp:anchor>
              </w:drawing>
            </w:r>
            <w:r>
              <w:rPr>
                <w:position w:val="-50"/>
              </w:rPr>
              <w:drawing>
                <wp:inline distT="0" distB="0" distL="0" distR="0">
                  <wp:extent cx="4921885" cy="159829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23"/>
                          <a:stretch>
                            <a:fillRect/>
                          </a:stretch>
                        </pic:blipFill>
                        <pic:spPr>
                          <a:xfrm>
                            <a:off x="0" y="0"/>
                            <a:ext cx="4922519" cy="1598676"/>
                          </a:xfrm>
                          <a:prstGeom prst="rect">
                            <a:avLst/>
                          </a:prstGeom>
                        </pic:spPr>
                      </pic:pic>
                    </a:graphicData>
                  </a:graphic>
                </wp:inline>
              </w:drawing>
            </w:r>
          </w:p>
        </w:tc>
      </w:tr>
      <w:tr w14:paraId="41A3D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84" w:hRule="atLeast"/>
        </w:trPr>
        <w:tc>
          <w:tcPr>
            <w:tcW w:w="831" w:type="dxa"/>
            <w:tcBorders>
              <w:top w:val="nil"/>
              <w:right w:val="single" w:color="000000" w:sz="2" w:space="0"/>
            </w:tcBorders>
            <w:vAlign w:val="top"/>
          </w:tcPr>
          <w:p w14:paraId="3EC4E4F9">
            <w:pPr>
              <w:rPr>
                <w:rFonts w:ascii="Arial"/>
                <w:sz w:val="21"/>
              </w:rPr>
            </w:pPr>
          </w:p>
        </w:tc>
        <w:tc>
          <w:tcPr>
            <w:tcW w:w="8157" w:type="dxa"/>
            <w:tcBorders>
              <w:top w:val="nil"/>
              <w:left w:val="single" w:color="000000" w:sz="2" w:space="0"/>
            </w:tcBorders>
            <w:vAlign w:val="top"/>
          </w:tcPr>
          <w:p w14:paraId="4BC5C7D5">
            <w:pPr>
              <w:pStyle w:val="6"/>
              <w:spacing w:before="151" w:line="325" w:lineRule="auto"/>
              <w:ind w:left="627" w:right="854" w:firstLine="256"/>
            </w:pPr>
            <w:r>
              <w:rPr>
                <w:spacing w:val="6"/>
              </w:rPr>
              <w:t>图</w:t>
            </w:r>
            <w:r>
              <w:rPr>
                <w:spacing w:val="-50"/>
              </w:rPr>
              <w:t xml:space="preserve"> </w:t>
            </w:r>
            <w:r>
              <w:rPr>
                <w:rFonts w:ascii="Times New Roman" w:hAnsi="Times New Roman" w:eastAsia="Times New Roman" w:cs="Times New Roman"/>
                <w:spacing w:val="6"/>
              </w:rPr>
              <w:t xml:space="preserve">2.11-2    </w:t>
            </w:r>
            <w:r>
              <w:rPr>
                <w:spacing w:val="6"/>
              </w:rPr>
              <w:t>运营期油品（汽油）运作工艺流程及产污环节</w:t>
            </w:r>
            <w:r>
              <w:rPr>
                <w:spacing w:val="8"/>
              </w:rPr>
              <w:t>①卸油过程</w:t>
            </w:r>
          </w:p>
          <w:p w14:paraId="4138B2B9">
            <w:pPr>
              <w:pStyle w:val="6"/>
              <w:spacing w:before="11" w:line="324" w:lineRule="auto"/>
              <w:ind w:left="110" w:right="102" w:firstLine="522"/>
              <w:jc w:val="both"/>
            </w:pPr>
            <w:r>
              <w:rPr>
                <w:spacing w:val="5"/>
              </w:rPr>
              <w:t>首先通过油罐车将汽油运至场地内，再通过密闭卸油点把汽油卸至</w:t>
            </w:r>
            <w:r>
              <w:rPr>
                <w:spacing w:val="6"/>
              </w:rPr>
              <w:t>埋地卧式油罐。项目埋地油罐安装卸油油气回收系统（即一次</w:t>
            </w:r>
            <w:r>
              <w:rPr>
                <w:spacing w:val="5"/>
              </w:rPr>
              <w:t>油气回收</w:t>
            </w:r>
            <w:r>
              <w:rPr>
                <w:spacing w:val="6"/>
              </w:rPr>
              <w:t>系统）装置，对汽油进行卸油时产生的油气进行回收。卸油油</w:t>
            </w:r>
            <w:r>
              <w:rPr>
                <w:spacing w:val="5"/>
              </w:rPr>
              <w:t>气回收系</w:t>
            </w:r>
            <w:r>
              <w:rPr>
                <w:spacing w:val="6"/>
              </w:rPr>
              <w:t>统主要工作原理为在油罐车卸油过程中，储油车内压力减小，</w:t>
            </w:r>
            <w:r>
              <w:rPr>
                <w:spacing w:val="5"/>
              </w:rPr>
              <w:t>地下储罐</w:t>
            </w:r>
            <w:r>
              <w:rPr>
                <w:spacing w:val="6"/>
              </w:rPr>
              <w:t>内压力增加，地下储罐与油罐车内的压力差，使卸油过程</w:t>
            </w:r>
            <w:r>
              <w:rPr>
                <w:spacing w:val="5"/>
              </w:rPr>
              <w:t>中挥发的油气</w:t>
            </w:r>
            <w:r>
              <w:rPr>
                <w:spacing w:val="6"/>
              </w:rPr>
              <w:t>通过管线密闭回到油罐车内，运回储油库进行处理，从而</w:t>
            </w:r>
            <w:r>
              <w:rPr>
                <w:spacing w:val="5"/>
              </w:rPr>
              <w:t>达到油气收集</w:t>
            </w:r>
            <w:r>
              <w:rPr>
                <w:spacing w:val="6"/>
              </w:rPr>
              <w:t>的目的。加油站和油罐车均安装卸油回气快速接头，油罐</w:t>
            </w:r>
            <w:r>
              <w:rPr>
                <w:spacing w:val="5"/>
              </w:rPr>
              <w:t>车同时配备带</w:t>
            </w:r>
            <w:r>
              <w:rPr>
                <w:spacing w:val="6"/>
              </w:rPr>
              <w:t>快速接头的软管。卸油过程罐车与埋地油罐内油气气压基</w:t>
            </w:r>
            <w:r>
              <w:rPr>
                <w:spacing w:val="5"/>
              </w:rPr>
              <w:t>本平衡，气液</w:t>
            </w:r>
            <w:r>
              <w:rPr>
                <w:spacing w:val="8"/>
              </w:rPr>
              <w:t>等体积置换，卸油过程管道密闭，卸油油气回收效率可达</w:t>
            </w:r>
            <w:r>
              <w:rPr>
                <w:spacing w:val="-38"/>
              </w:rPr>
              <w:t xml:space="preserve"> </w:t>
            </w:r>
            <w:r>
              <w:rPr>
                <w:rFonts w:ascii="Times New Roman" w:hAnsi="Times New Roman" w:eastAsia="Times New Roman" w:cs="Times New Roman"/>
                <w:spacing w:val="8"/>
              </w:rPr>
              <w:t>95%</w:t>
            </w:r>
            <w:r>
              <w:rPr>
                <w:spacing w:val="8"/>
              </w:rPr>
              <w:t>。</w:t>
            </w:r>
          </w:p>
          <w:p w14:paraId="016DC786">
            <w:pPr>
              <w:pStyle w:val="6"/>
              <w:spacing w:line="325" w:lineRule="auto"/>
              <w:ind w:left="110" w:right="102" w:firstLine="518"/>
              <w:jc w:val="both"/>
            </w:pPr>
            <w:r>
              <w:rPr>
                <w:spacing w:val="6"/>
              </w:rPr>
              <w:t>三次油气回收系统：三次油气回收是指在油</w:t>
            </w:r>
            <w:r>
              <w:rPr>
                <w:spacing w:val="5"/>
              </w:rPr>
              <w:t>品储存过程中，对储油</w:t>
            </w:r>
            <w:r>
              <w:rPr>
                <w:spacing w:val="6"/>
              </w:rPr>
              <w:t>罐内呼出的油气进行处理，二次回收收集到油罐里的油气通过</w:t>
            </w:r>
            <w:r>
              <w:rPr>
                <w:spacing w:val="5"/>
              </w:rPr>
              <w:t>油气回收</w:t>
            </w:r>
            <w:r>
              <w:rPr>
                <w:spacing w:val="6"/>
              </w:rPr>
              <w:t>装置，一部分被压缩冷凝转化为汽油，未转化为汽油的部</w:t>
            </w:r>
            <w:r>
              <w:rPr>
                <w:spacing w:val="5"/>
              </w:rPr>
              <w:t>分通过膜分离</w:t>
            </w:r>
            <w:r>
              <w:rPr>
                <w:spacing w:val="6"/>
              </w:rPr>
              <w:t>元件，将洁净的空气排入大气，高浓度的油气再回到油罐</w:t>
            </w:r>
            <w:r>
              <w:rPr>
                <w:spacing w:val="5"/>
              </w:rPr>
              <w:t>内，储油油气回收效率可达</w:t>
            </w:r>
            <w:r>
              <w:rPr>
                <w:spacing w:val="-45"/>
              </w:rPr>
              <w:t xml:space="preserve"> </w:t>
            </w:r>
            <w:r>
              <w:rPr>
                <w:rFonts w:ascii="Times New Roman" w:hAnsi="Times New Roman" w:eastAsia="Times New Roman" w:cs="Times New Roman"/>
                <w:spacing w:val="5"/>
              </w:rPr>
              <w:t>95%</w:t>
            </w:r>
            <w:r>
              <w:rPr>
                <w:spacing w:val="5"/>
              </w:rPr>
              <w:t>。</w:t>
            </w:r>
          </w:p>
          <w:p w14:paraId="38FDA28D">
            <w:pPr>
              <w:pStyle w:val="6"/>
              <w:spacing w:before="1" w:line="223" w:lineRule="auto"/>
              <w:ind w:left="626"/>
            </w:pPr>
            <w:r>
              <w:rPr>
                <w:spacing w:val="8"/>
              </w:rPr>
              <w:t>②加油过程</w:t>
            </w:r>
          </w:p>
          <w:p w14:paraId="7FFD7F14">
            <w:pPr>
              <w:pStyle w:val="6"/>
              <w:spacing w:before="136" w:line="226" w:lineRule="auto"/>
              <w:ind w:left="628"/>
            </w:pPr>
            <w:r>
              <w:rPr>
                <w:spacing w:val="8"/>
              </w:rPr>
              <w:t>加油包括加油和油气回收两个过程。</w:t>
            </w:r>
          </w:p>
          <w:p w14:paraId="08DB161C">
            <w:pPr>
              <w:pStyle w:val="6"/>
              <w:spacing w:before="133" w:line="325" w:lineRule="auto"/>
              <w:ind w:left="112" w:right="102" w:firstLine="516"/>
            </w:pPr>
            <w:r>
              <w:rPr>
                <w:spacing w:val="6"/>
              </w:rPr>
              <w:t>加油：待加油车辆进入指定场地后，通过潜</w:t>
            </w:r>
            <w:r>
              <w:rPr>
                <w:spacing w:val="5"/>
              </w:rPr>
              <w:t>油泵将油从埋地卧式油</w:t>
            </w:r>
            <w:r>
              <w:rPr>
                <w:spacing w:val="8"/>
              </w:rPr>
              <w:t>罐抽出，通过加油机给车辆油箱加油。</w:t>
            </w:r>
          </w:p>
          <w:p w14:paraId="414D750A">
            <w:pPr>
              <w:pStyle w:val="6"/>
              <w:spacing w:before="3" w:line="299" w:lineRule="auto"/>
              <w:ind w:left="109" w:right="102" w:firstLine="523"/>
              <w:jc w:val="both"/>
            </w:pPr>
            <w:r>
              <w:rPr>
                <w:spacing w:val="5"/>
              </w:rPr>
              <w:t>油气回收：项目设置分散式油气回收系统，在加油枪为汽车加油过</w:t>
            </w:r>
            <w:r>
              <w:rPr>
                <w:spacing w:val="6"/>
              </w:rPr>
              <w:t>程中，通过真空泵产生一定真空度，经过油气回收油枪和同轴皮</w:t>
            </w:r>
            <w:r>
              <w:rPr>
                <w:spacing w:val="5"/>
              </w:rPr>
              <w:t>管、油</w:t>
            </w:r>
            <w:r>
              <w:rPr>
                <w:spacing w:val="6"/>
              </w:rPr>
              <w:t>气回收管等油气回收设备汽车油箱油气进行回收。加油油气回收</w:t>
            </w:r>
            <w:r>
              <w:rPr>
                <w:spacing w:val="5"/>
              </w:rPr>
              <w:t>系统采</w:t>
            </w:r>
            <w:r>
              <w:rPr>
                <w:spacing w:val="6"/>
              </w:rPr>
              <w:t>用分散式油气回收系统，加油机回收的汽油全部回收至油罐内。</w:t>
            </w:r>
            <w:r>
              <w:rPr>
                <w:spacing w:val="5"/>
              </w:rPr>
              <w:t>共设置</w:t>
            </w:r>
          </w:p>
        </w:tc>
      </w:tr>
    </w:tbl>
    <w:p w14:paraId="227FEA54">
      <w:pPr>
        <w:pStyle w:val="2"/>
        <w:rPr>
          <w:sz w:val="21"/>
        </w:rPr>
      </w:pPr>
    </w:p>
    <w:p w14:paraId="7A233981">
      <w:pPr>
        <w:rPr>
          <w:sz w:val="21"/>
          <w:szCs w:val="21"/>
        </w:rPr>
        <w:sectPr>
          <w:footerReference r:id="rId45" w:type="default"/>
          <w:pgSz w:w="11906" w:h="16839"/>
          <w:pgMar w:top="400" w:right="1451" w:bottom="1009" w:left="1451" w:header="0" w:footer="770" w:gutter="0"/>
          <w:cols w:space="720" w:num="1"/>
        </w:sectPr>
      </w:pPr>
    </w:p>
    <w:p w14:paraId="69DCB1B9">
      <w:pPr>
        <w:spacing w:before="19"/>
      </w:pPr>
    </w:p>
    <w:p w14:paraId="2D20DD10">
      <w:pPr>
        <w:spacing w:before="19"/>
      </w:pPr>
    </w:p>
    <w:p w14:paraId="5BF0448A">
      <w:pPr>
        <w:spacing w:before="19"/>
      </w:pPr>
    </w:p>
    <w:p w14:paraId="6686F14B">
      <w:pPr>
        <w:spacing w:before="18"/>
      </w:pPr>
    </w:p>
    <w:p w14:paraId="277D49B7">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7C865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40" w:hRule="atLeast"/>
        </w:trPr>
        <w:tc>
          <w:tcPr>
            <w:tcW w:w="831" w:type="dxa"/>
            <w:tcBorders>
              <w:right w:val="single" w:color="000000" w:sz="2" w:space="0"/>
            </w:tcBorders>
            <w:vAlign w:val="top"/>
          </w:tcPr>
          <w:p w14:paraId="50480510">
            <w:pPr>
              <w:rPr>
                <w:rFonts w:ascii="Arial"/>
                <w:sz w:val="21"/>
              </w:rPr>
            </w:pPr>
          </w:p>
        </w:tc>
        <w:tc>
          <w:tcPr>
            <w:tcW w:w="8157" w:type="dxa"/>
            <w:tcBorders>
              <w:left w:val="single" w:color="000000" w:sz="2" w:space="0"/>
            </w:tcBorders>
            <w:vAlign w:val="top"/>
          </w:tcPr>
          <w:p w14:paraId="481A2780">
            <w:pPr>
              <w:pStyle w:val="6"/>
              <w:spacing w:before="122" w:line="322" w:lineRule="auto"/>
              <w:ind w:left="110" w:right="102"/>
              <w:jc w:val="both"/>
            </w:pPr>
            <w:r>
              <w:rPr>
                <w:rFonts w:ascii="Times New Roman" w:hAnsi="Times New Roman" w:eastAsia="Times New Roman" w:cs="Times New Roman"/>
                <w:spacing w:val="7"/>
              </w:rPr>
              <w:t>3</w:t>
            </w:r>
            <w:r>
              <w:rPr>
                <w:rFonts w:ascii="Times New Roman" w:hAnsi="Times New Roman" w:eastAsia="Times New Roman" w:cs="Times New Roman"/>
                <w:spacing w:val="33"/>
              </w:rPr>
              <w:t xml:space="preserve"> </w:t>
            </w:r>
            <w:r>
              <w:rPr>
                <w:spacing w:val="7"/>
              </w:rPr>
              <w:t>台采用具有油气回收功能自封式税控加油机。加油油气</w:t>
            </w:r>
            <w:r>
              <w:rPr>
                <w:spacing w:val="6"/>
              </w:rPr>
              <w:t>回收系统气液</w:t>
            </w:r>
            <w:r>
              <w:rPr>
                <w:spacing w:val="2"/>
              </w:rPr>
              <w:t>比</w:t>
            </w:r>
            <w:r>
              <w:rPr>
                <w:spacing w:val="-24"/>
              </w:rPr>
              <w:t xml:space="preserve"> </w:t>
            </w:r>
            <w:r>
              <w:rPr>
                <w:rFonts w:ascii="Times New Roman" w:hAnsi="Times New Roman" w:eastAsia="Times New Roman" w:cs="Times New Roman"/>
                <w:spacing w:val="2"/>
              </w:rPr>
              <w:t>1.2</w:t>
            </w:r>
            <w:r>
              <w:rPr>
                <w:rFonts w:ascii="Times New Roman" w:hAnsi="Times New Roman" w:eastAsia="Times New Roman" w:cs="Times New Roman"/>
                <w:spacing w:val="-30"/>
              </w:rPr>
              <w:t xml:space="preserve"> </w:t>
            </w:r>
            <w:r>
              <w:rPr>
                <w:spacing w:val="2"/>
              </w:rPr>
              <w:t>：</w:t>
            </w:r>
            <w:r>
              <w:rPr>
                <w:rFonts w:ascii="Times New Roman" w:hAnsi="Times New Roman" w:eastAsia="Times New Roman" w:cs="Times New Roman"/>
                <w:spacing w:val="2"/>
              </w:rPr>
              <w:t>1</w:t>
            </w:r>
            <w:r>
              <w:rPr>
                <w:rFonts w:ascii="Times New Roman" w:hAnsi="Times New Roman" w:eastAsia="Times New Roman" w:cs="Times New Roman"/>
                <w:spacing w:val="-31"/>
              </w:rPr>
              <w:t xml:space="preserve"> </w:t>
            </w:r>
            <w:r>
              <w:rPr>
                <w:spacing w:val="2"/>
              </w:rPr>
              <w:t>，回收效率为</w:t>
            </w:r>
            <w:r>
              <w:rPr>
                <w:spacing w:val="-48"/>
              </w:rPr>
              <w:t xml:space="preserve"> </w:t>
            </w:r>
            <w:r>
              <w:rPr>
                <w:rFonts w:ascii="Times New Roman" w:hAnsi="Times New Roman" w:eastAsia="Times New Roman" w:cs="Times New Roman"/>
                <w:spacing w:val="2"/>
              </w:rPr>
              <w:t>90%</w:t>
            </w:r>
            <w:r>
              <w:rPr>
                <w:rFonts w:ascii="Times New Roman" w:hAnsi="Times New Roman" w:eastAsia="Times New Roman" w:cs="Times New Roman"/>
                <w:spacing w:val="-26"/>
              </w:rPr>
              <w:t xml:space="preserve"> </w:t>
            </w:r>
            <w:r>
              <w:rPr>
                <w:spacing w:val="2"/>
              </w:rPr>
              <w:t>。即向汽车加入</w:t>
            </w:r>
            <w:r>
              <w:rPr>
                <w:spacing w:val="-30"/>
              </w:rPr>
              <w:t xml:space="preserve"> </w:t>
            </w:r>
            <w:r>
              <w:rPr>
                <w:rFonts w:ascii="Times New Roman" w:hAnsi="Times New Roman" w:eastAsia="Times New Roman" w:cs="Times New Roman"/>
                <w:spacing w:val="2"/>
              </w:rPr>
              <w:t xml:space="preserve">1L </w:t>
            </w:r>
            <w:r>
              <w:rPr>
                <w:spacing w:val="2"/>
              </w:rPr>
              <w:t>液态汽油，油气回收系</w:t>
            </w:r>
            <w:r>
              <w:rPr>
                <w:spacing w:val="7"/>
              </w:rPr>
              <w:t>统将抽入</w:t>
            </w:r>
            <w:r>
              <w:rPr>
                <w:spacing w:val="-24"/>
              </w:rPr>
              <w:t xml:space="preserve"> </w:t>
            </w:r>
            <w:r>
              <w:rPr>
                <w:rFonts w:ascii="Times New Roman" w:hAnsi="Times New Roman" w:eastAsia="Times New Roman" w:cs="Times New Roman"/>
                <w:spacing w:val="7"/>
              </w:rPr>
              <w:t>1.2L</w:t>
            </w:r>
            <w:r>
              <w:rPr>
                <w:rFonts w:ascii="Times New Roman" w:hAnsi="Times New Roman" w:eastAsia="Times New Roman" w:cs="Times New Roman"/>
                <w:spacing w:val="36"/>
              </w:rPr>
              <w:t xml:space="preserve"> </w:t>
            </w:r>
            <w:r>
              <w:rPr>
                <w:spacing w:val="7"/>
              </w:rPr>
              <w:t>的油气（损耗油气的</w:t>
            </w:r>
            <w:r>
              <w:rPr>
                <w:spacing w:val="-47"/>
              </w:rPr>
              <w:t xml:space="preserve"> </w:t>
            </w:r>
            <w:r>
              <w:rPr>
                <w:rFonts w:ascii="Times New Roman" w:hAnsi="Times New Roman" w:eastAsia="Times New Roman" w:cs="Times New Roman"/>
                <w:spacing w:val="7"/>
              </w:rPr>
              <w:t>90%</w:t>
            </w:r>
            <w:r>
              <w:rPr>
                <w:spacing w:val="7"/>
              </w:rPr>
              <w:t>）和空气的混合物。回收系统</w:t>
            </w:r>
            <w:r>
              <w:rPr>
                <w:spacing w:val="6"/>
              </w:rPr>
              <w:t>回收的油气和空气混合物将平衡埋地油罐的气压平衡，多余体</w:t>
            </w:r>
            <w:r>
              <w:rPr>
                <w:spacing w:val="5"/>
              </w:rPr>
              <w:t>积气体则</w:t>
            </w:r>
            <w:r>
              <w:rPr>
                <w:spacing w:val="14"/>
              </w:rPr>
              <w:t>因油罐外温度变化，通过通气立管排入环境，加油油气回收效率可达</w:t>
            </w:r>
            <w:r>
              <w:rPr>
                <w:rFonts w:ascii="Times New Roman" w:hAnsi="Times New Roman" w:eastAsia="Times New Roman" w:cs="Times New Roman"/>
                <w:spacing w:val="1"/>
              </w:rPr>
              <w:t>90%</w:t>
            </w:r>
            <w:r>
              <w:rPr>
                <w:spacing w:val="1"/>
              </w:rPr>
              <w:t>。</w:t>
            </w:r>
          </w:p>
          <w:p w14:paraId="48D94363">
            <w:pPr>
              <w:pStyle w:val="6"/>
              <w:spacing w:before="24" w:line="226" w:lineRule="auto"/>
              <w:ind w:left="640"/>
            </w:pPr>
            <w:r>
              <w:rPr>
                <w:spacing w:val="4"/>
              </w:rPr>
              <w:t>（</w:t>
            </w:r>
            <w:r>
              <w:rPr>
                <w:rFonts w:ascii="Times New Roman" w:hAnsi="Times New Roman" w:eastAsia="Times New Roman" w:cs="Times New Roman"/>
                <w:spacing w:val="4"/>
              </w:rPr>
              <w:t>3</w:t>
            </w:r>
            <w:r>
              <w:rPr>
                <w:spacing w:val="4"/>
              </w:rPr>
              <w:t>）清罐</w:t>
            </w:r>
          </w:p>
          <w:p w14:paraId="6EF004DC">
            <w:pPr>
              <w:spacing w:before="121" w:line="2663" w:lineRule="exact"/>
              <w:ind w:firstLine="135"/>
            </w:pPr>
            <w:r>
              <w:rPr>
                <w:position w:val="-53"/>
              </w:rPr>
              <w:drawing>
                <wp:inline distT="0" distB="0" distL="0" distR="0">
                  <wp:extent cx="4878705" cy="169037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24"/>
                          <a:stretch>
                            <a:fillRect/>
                          </a:stretch>
                        </pic:blipFill>
                        <pic:spPr>
                          <a:xfrm>
                            <a:off x="0" y="0"/>
                            <a:ext cx="4879085" cy="1690878"/>
                          </a:xfrm>
                          <a:prstGeom prst="rect">
                            <a:avLst/>
                          </a:prstGeom>
                        </pic:spPr>
                      </pic:pic>
                    </a:graphicData>
                  </a:graphic>
                </wp:inline>
              </w:drawing>
            </w:r>
          </w:p>
          <w:p w14:paraId="1B3D5438">
            <w:pPr>
              <w:pStyle w:val="6"/>
              <w:spacing w:before="152" w:line="226" w:lineRule="auto"/>
              <w:ind w:left="1535"/>
            </w:pPr>
            <w:r>
              <w:rPr>
                <w:spacing w:val="5"/>
              </w:rPr>
              <w:t>图</w:t>
            </w:r>
            <w:r>
              <w:rPr>
                <w:spacing w:val="-42"/>
              </w:rPr>
              <w:t xml:space="preserve"> </w:t>
            </w:r>
            <w:r>
              <w:rPr>
                <w:rFonts w:ascii="Times New Roman" w:hAnsi="Times New Roman" w:eastAsia="Times New Roman" w:cs="Times New Roman"/>
                <w:spacing w:val="5"/>
              </w:rPr>
              <w:t xml:space="preserve">2.11-3    </w:t>
            </w:r>
            <w:r>
              <w:rPr>
                <w:spacing w:val="5"/>
              </w:rPr>
              <w:t>清罐工艺流程及产排污环节示意图</w:t>
            </w:r>
          </w:p>
          <w:p w14:paraId="0DDC52AE">
            <w:pPr>
              <w:pStyle w:val="6"/>
              <w:spacing w:before="139" w:line="324" w:lineRule="auto"/>
              <w:ind w:left="111" w:right="35" w:firstLine="517"/>
              <w:jc w:val="both"/>
            </w:pPr>
            <w:r>
              <w:rPr>
                <w:spacing w:val="5"/>
              </w:rPr>
              <w:t>加油站大概每</w:t>
            </w:r>
            <w:r>
              <w:rPr>
                <w:spacing w:val="-48"/>
              </w:rPr>
              <w:t xml:space="preserve"> </w:t>
            </w:r>
            <w:r>
              <w:rPr>
                <w:rFonts w:ascii="Times New Roman" w:hAnsi="Times New Roman" w:eastAsia="Times New Roman" w:cs="Times New Roman"/>
                <w:spacing w:val="5"/>
              </w:rPr>
              <w:t xml:space="preserve">5 </w:t>
            </w:r>
            <w:r>
              <w:rPr>
                <w:spacing w:val="5"/>
              </w:rPr>
              <w:t>年需进行一次油罐清洗作业，保证输出油品质量和</w:t>
            </w:r>
            <w:r>
              <w:rPr>
                <w:spacing w:val="6"/>
              </w:rPr>
              <w:t>防止油罐腐蚀。清罐由专业资质公司进行，首先排除罐内存</w:t>
            </w:r>
            <w:r>
              <w:rPr>
                <w:spacing w:val="5"/>
              </w:rPr>
              <w:t>油，然后再</w:t>
            </w:r>
            <w:r>
              <w:rPr>
                <w:spacing w:val="6"/>
              </w:rPr>
              <w:t>用通风排除罐内油气并测定油气浓度到安全范围，接着人员</w:t>
            </w:r>
            <w:r>
              <w:rPr>
                <w:spacing w:val="5"/>
              </w:rPr>
              <w:t>进罐清扫油</w:t>
            </w:r>
            <w:r>
              <w:rPr>
                <w:spacing w:val="3"/>
              </w:rPr>
              <w:t>污、水及其它沉淀物，人工用</w:t>
            </w:r>
            <w:r>
              <w:rPr>
                <w:spacing w:val="-55"/>
              </w:rPr>
              <w:t xml:space="preserve"> </w:t>
            </w:r>
            <w:r>
              <w:rPr>
                <w:rFonts w:ascii="Times New Roman" w:hAnsi="Times New Roman" w:eastAsia="Times New Roman" w:cs="Times New Roman"/>
                <w:spacing w:val="3"/>
              </w:rPr>
              <w:t>290~490</w:t>
            </w:r>
            <w:r>
              <w:rPr>
                <w:rFonts w:ascii="Times New Roman" w:hAnsi="Times New Roman" w:eastAsia="Times New Roman" w:cs="Times New Roman"/>
              </w:rPr>
              <w:t>kpa</w:t>
            </w:r>
            <w:r>
              <w:rPr>
                <w:rFonts w:ascii="Times New Roman" w:hAnsi="Times New Roman" w:eastAsia="Times New Roman" w:cs="Times New Roman"/>
                <w:spacing w:val="25"/>
              </w:rPr>
              <w:t xml:space="preserve"> </w:t>
            </w:r>
            <w:r>
              <w:rPr>
                <w:spacing w:val="3"/>
              </w:rPr>
              <w:t>高压水冲洗罐内油污</w:t>
            </w:r>
            <w:r>
              <w:rPr>
                <w:spacing w:val="2"/>
              </w:rPr>
              <w:t>和浮锈，</w:t>
            </w:r>
            <w:r>
              <w:rPr>
                <w:spacing w:val="6"/>
              </w:rPr>
              <w:t>同时尽快排除冲洗污水并用拖布擦净，然后再通风干燥除湿</w:t>
            </w:r>
            <w:r>
              <w:rPr>
                <w:spacing w:val="5"/>
              </w:rPr>
              <w:t>，人工用铜</w:t>
            </w:r>
            <w:r>
              <w:rPr>
                <w:spacing w:val="8"/>
              </w:rPr>
              <w:t>质工具除去局部锈蚀，最后进行质量检查验收。</w:t>
            </w:r>
          </w:p>
          <w:p w14:paraId="037C314C">
            <w:pPr>
              <w:pStyle w:val="6"/>
              <w:spacing w:before="3" w:line="325" w:lineRule="auto"/>
              <w:ind w:left="111" w:right="102" w:firstLine="517"/>
              <w:jc w:val="both"/>
            </w:pPr>
            <w:r>
              <w:rPr>
                <w:spacing w:val="6"/>
              </w:rPr>
              <w:t>清罐产生的清罐废物用塑料桶盛装，清罐废</w:t>
            </w:r>
            <w:r>
              <w:rPr>
                <w:spacing w:val="5"/>
              </w:rPr>
              <w:t>物转运均采用联单制管</w:t>
            </w:r>
            <w:r>
              <w:rPr>
                <w:spacing w:val="6"/>
              </w:rPr>
              <w:t>理，当日交具有危险废物清运处理资质的单位进行妥善</w:t>
            </w:r>
            <w:r>
              <w:rPr>
                <w:spacing w:val="5"/>
              </w:rPr>
              <w:t>转运处理，不在站内暂存。</w:t>
            </w:r>
          </w:p>
          <w:p w14:paraId="51B849CB">
            <w:pPr>
              <w:pStyle w:val="6"/>
              <w:spacing w:before="1" w:line="225" w:lineRule="auto"/>
              <w:ind w:left="640"/>
            </w:pPr>
            <w:r>
              <w:rPr>
                <w:spacing w:val="6"/>
              </w:rPr>
              <w:t>（</w:t>
            </w:r>
            <w:r>
              <w:rPr>
                <w:rFonts w:ascii="Times New Roman" w:hAnsi="Times New Roman" w:eastAsia="Times New Roman" w:cs="Times New Roman"/>
                <w:spacing w:val="6"/>
              </w:rPr>
              <w:t>4</w:t>
            </w:r>
            <w:r>
              <w:rPr>
                <w:spacing w:val="6"/>
              </w:rPr>
              <w:t>）柴油发电机</w:t>
            </w:r>
          </w:p>
          <w:p w14:paraId="0D160F87">
            <w:pPr>
              <w:pStyle w:val="6"/>
              <w:spacing w:before="134" w:line="291" w:lineRule="auto"/>
              <w:ind w:left="109" w:right="102" w:firstLine="523"/>
            </w:pPr>
            <w:r>
              <w:rPr>
                <w:spacing w:val="12"/>
              </w:rPr>
              <w:t>项目依托现有配电房内设置的</w:t>
            </w:r>
            <w:r>
              <w:rPr>
                <w:spacing w:val="-18"/>
              </w:rPr>
              <w:t xml:space="preserve"> </w:t>
            </w:r>
            <w:r>
              <w:rPr>
                <w:rFonts w:ascii="Times New Roman" w:hAnsi="Times New Roman" w:eastAsia="Times New Roman" w:cs="Times New Roman"/>
                <w:spacing w:val="12"/>
              </w:rPr>
              <w:t>1</w:t>
            </w:r>
            <w:r>
              <w:rPr>
                <w:rFonts w:ascii="Times New Roman" w:hAnsi="Times New Roman" w:eastAsia="Times New Roman" w:cs="Times New Roman"/>
                <w:spacing w:val="42"/>
              </w:rPr>
              <w:t xml:space="preserve"> </w:t>
            </w:r>
            <w:r>
              <w:rPr>
                <w:spacing w:val="12"/>
              </w:rPr>
              <w:t>台</w:t>
            </w:r>
            <w:r>
              <w:rPr>
                <w:spacing w:val="-37"/>
              </w:rPr>
              <w:t xml:space="preserve"> </w:t>
            </w:r>
            <w:r>
              <w:rPr>
                <w:rFonts w:ascii="Times New Roman" w:hAnsi="Times New Roman" w:eastAsia="Times New Roman" w:cs="Times New Roman"/>
                <w:spacing w:val="12"/>
              </w:rPr>
              <w:t>30</w:t>
            </w:r>
            <w:r>
              <w:rPr>
                <w:rFonts w:ascii="Times New Roman" w:hAnsi="Times New Roman" w:eastAsia="Times New Roman" w:cs="Times New Roman"/>
              </w:rPr>
              <w:t>kw</w:t>
            </w:r>
            <w:r>
              <w:rPr>
                <w:rFonts w:ascii="Times New Roman" w:hAnsi="Times New Roman" w:eastAsia="Times New Roman" w:cs="Times New Roman"/>
                <w:spacing w:val="43"/>
              </w:rPr>
              <w:t xml:space="preserve"> </w:t>
            </w:r>
            <w:r>
              <w:rPr>
                <w:spacing w:val="12"/>
              </w:rPr>
              <w:t>的柴油发电机作备用电</w:t>
            </w:r>
            <w:r>
              <w:rPr>
                <w:spacing w:val="6"/>
              </w:rPr>
              <w:t>源。仅停电时应急使用，应急柴油发电机工作时产生的燃油烟气</w:t>
            </w:r>
            <w:r>
              <w:rPr>
                <w:spacing w:val="5"/>
              </w:rPr>
              <w:t>通过专</w:t>
            </w:r>
            <w:r>
              <w:rPr>
                <w:spacing w:val="7"/>
              </w:rPr>
              <w:t>用管道引至站房外排放。</w:t>
            </w:r>
          </w:p>
        </w:tc>
      </w:tr>
    </w:tbl>
    <w:p w14:paraId="7BD8E606">
      <w:pPr>
        <w:pStyle w:val="2"/>
        <w:rPr>
          <w:sz w:val="21"/>
        </w:rPr>
      </w:pPr>
    </w:p>
    <w:p w14:paraId="63FDB08A">
      <w:pPr>
        <w:rPr>
          <w:sz w:val="21"/>
          <w:szCs w:val="21"/>
        </w:rPr>
        <w:sectPr>
          <w:footerReference r:id="rId46" w:type="default"/>
          <w:pgSz w:w="11906" w:h="16839"/>
          <w:pgMar w:top="400" w:right="1451" w:bottom="1009" w:left="1451" w:header="0" w:footer="770" w:gutter="0"/>
          <w:cols w:space="720" w:num="1"/>
        </w:sectPr>
      </w:pPr>
    </w:p>
    <w:p w14:paraId="053B5A7A">
      <w:pPr>
        <w:spacing w:before="19"/>
      </w:pPr>
    </w:p>
    <w:p w14:paraId="04080054">
      <w:pPr>
        <w:spacing w:before="19"/>
      </w:pPr>
    </w:p>
    <w:p w14:paraId="7AFEA49A">
      <w:pPr>
        <w:spacing w:before="19"/>
      </w:pPr>
    </w:p>
    <w:p w14:paraId="6C366D31">
      <w:pPr>
        <w:spacing w:before="18"/>
      </w:pPr>
    </w:p>
    <w:p w14:paraId="6ACF4375">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62489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67" w:hRule="atLeast"/>
        </w:trPr>
        <w:tc>
          <w:tcPr>
            <w:tcW w:w="831" w:type="dxa"/>
            <w:tcBorders>
              <w:right w:val="single" w:color="000000" w:sz="2" w:space="0"/>
            </w:tcBorders>
            <w:vAlign w:val="top"/>
          </w:tcPr>
          <w:p w14:paraId="5D7B04A6">
            <w:pPr>
              <w:spacing w:line="246" w:lineRule="auto"/>
              <w:rPr>
                <w:rFonts w:ascii="Arial"/>
                <w:sz w:val="21"/>
              </w:rPr>
            </w:pPr>
          </w:p>
          <w:p w14:paraId="40724BDC">
            <w:pPr>
              <w:spacing w:line="246" w:lineRule="auto"/>
              <w:rPr>
                <w:rFonts w:ascii="Arial"/>
                <w:sz w:val="21"/>
              </w:rPr>
            </w:pPr>
          </w:p>
          <w:p w14:paraId="0F3A4AB6">
            <w:pPr>
              <w:spacing w:line="246" w:lineRule="auto"/>
              <w:rPr>
                <w:rFonts w:ascii="Arial"/>
                <w:sz w:val="21"/>
              </w:rPr>
            </w:pPr>
          </w:p>
          <w:p w14:paraId="67415F07">
            <w:pPr>
              <w:spacing w:line="246" w:lineRule="auto"/>
              <w:rPr>
                <w:rFonts w:ascii="Arial"/>
                <w:sz w:val="21"/>
              </w:rPr>
            </w:pPr>
          </w:p>
          <w:p w14:paraId="1F1564FF">
            <w:pPr>
              <w:spacing w:line="246" w:lineRule="auto"/>
              <w:rPr>
                <w:rFonts w:ascii="Arial"/>
                <w:sz w:val="21"/>
              </w:rPr>
            </w:pPr>
          </w:p>
          <w:p w14:paraId="013E1854">
            <w:pPr>
              <w:spacing w:line="246" w:lineRule="auto"/>
              <w:rPr>
                <w:rFonts w:ascii="Arial"/>
                <w:sz w:val="21"/>
              </w:rPr>
            </w:pPr>
          </w:p>
          <w:p w14:paraId="56E95B9F">
            <w:pPr>
              <w:spacing w:line="246" w:lineRule="auto"/>
              <w:rPr>
                <w:rFonts w:ascii="Arial"/>
                <w:sz w:val="21"/>
              </w:rPr>
            </w:pPr>
          </w:p>
          <w:p w14:paraId="14D36076">
            <w:pPr>
              <w:spacing w:line="246" w:lineRule="auto"/>
              <w:rPr>
                <w:rFonts w:ascii="Arial"/>
                <w:sz w:val="21"/>
              </w:rPr>
            </w:pPr>
          </w:p>
          <w:p w14:paraId="08F03DF8">
            <w:pPr>
              <w:spacing w:line="246" w:lineRule="auto"/>
              <w:rPr>
                <w:rFonts w:ascii="Arial"/>
                <w:sz w:val="21"/>
              </w:rPr>
            </w:pPr>
          </w:p>
          <w:p w14:paraId="70518BB3">
            <w:pPr>
              <w:spacing w:line="246" w:lineRule="auto"/>
              <w:rPr>
                <w:rFonts w:ascii="Arial"/>
                <w:sz w:val="21"/>
              </w:rPr>
            </w:pPr>
          </w:p>
          <w:p w14:paraId="62FE179F">
            <w:pPr>
              <w:spacing w:line="246" w:lineRule="auto"/>
              <w:rPr>
                <w:rFonts w:ascii="Arial"/>
                <w:sz w:val="21"/>
              </w:rPr>
            </w:pPr>
          </w:p>
          <w:p w14:paraId="249A5099">
            <w:pPr>
              <w:spacing w:line="246" w:lineRule="auto"/>
              <w:rPr>
                <w:rFonts w:ascii="Arial"/>
                <w:sz w:val="21"/>
              </w:rPr>
            </w:pPr>
          </w:p>
          <w:p w14:paraId="513CD1DC">
            <w:pPr>
              <w:spacing w:line="246" w:lineRule="auto"/>
              <w:rPr>
                <w:rFonts w:ascii="Arial"/>
                <w:sz w:val="21"/>
              </w:rPr>
            </w:pPr>
          </w:p>
          <w:p w14:paraId="130C7A25">
            <w:pPr>
              <w:spacing w:line="246" w:lineRule="auto"/>
              <w:rPr>
                <w:rFonts w:ascii="Arial"/>
                <w:sz w:val="21"/>
              </w:rPr>
            </w:pPr>
          </w:p>
          <w:p w14:paraId="0BF9388E">
            <w:pPr>
              <w:spacing w:line="246" w:lineRule="auto"/>
              <w:rPr>
                <w:rFonts w:ascii="Arial"/>
                <w:sz w:val="21"/>
              </w:rPr>
            </w:pPr>
          </w:p>
          <w:p w14:paraId="551ED43E">
            <w:pPr>
              <w:spacing w:line="246" w:lineRule="auto"/>
              <w:rPr>
                <w:rFonts w:ascii="Arial"/>
                <w:sz w:val="21"/>
              </w:rPr>
            </w:pPr>
          </w:p>
          <w:p w14:paraId="48EE6F92">
            <w:pPr>
              <w:spacing w:line="246" w:lineRule="auto"/>
              <w:rPr>
                <w:rFonts w:ascii="Arial"/>
                <w:sz w:val="21"/>
              </w:rPr>
            </w:pPr>
          </w:p>
          <w:p w14:paraId="5DE6099D">
            <w:pPr>
              <w:spacing w:line="246" w:lineRule="auto"/>
              <w:rPr>
                <w:rFonts w:ascii="Arial"/>
                <w:sz w:val="21"/>
              </w:rPr>
            </w:pPr>
          </w:p>
          <w:p w14:paraId="5AA5CBC5">
            <w:pPr>
              <w:spacing w:line="247" w:lineRule="auto"/>
              <w:rPr>
                <w:rFonts w:ascii="Arial"/>
                <w:sz w:val="21"/>
              </w:rPr>
            </w:pPr>
          </w:p>
          <w:p w14:paraId="12BCF614">
            <w:pPr>
              <w:spacing w:line="247" w:lineRule="auto"/>
              <w:rPr>
                <w:rFonts w:ascii="Arial"/>
                <w:sz w:val="21"/>
              </w:rPr>
            </w:pPr>
          </w:p>
          <w:p w14:paraId="2874A7F6">
            <w:pPr>
              <w:spacing w:line="247" w:lineRule="auto"/>
              <w:rPr>
                <w:rFonts w:ascii="Arial"/>
                <w:sz w:val="21"/>
              </w:rPr>
            </w:pPr>
          </w:p>
          <w:p w14:paraId="60A34E48">
            <w:pPr>
              <w:spacing w:line="247" w:lineRule="auto"/>
              <w:rPr>
                <w:rFonts w:ascii="Arial"/>
                <w:sz w:val="21"/>
              </w:rPr>
            </w:pPr>
          </w:p>
          <w:p w14:paraId="2FAC09B3">
            <w:pPr>
              <w:pStyle w:val="6"/>
              <w:spacing w:before="82" w:line="250" w:lineRule="auto"/>
              <w:ind w:left="156" w:right="156" w:firstLine="5"/>
              <w:jc w:val="both"/>
            </w:pPr>
            <w:r>
              <w:rPr>
                <w:spacing w:val="1"/>
              </w:rPr>
              <w:t>与项</w:t>
            </w:r>
            <w:r>
              <w:rPr>
                <w:spacing w:val="4"/>
              </w:rPr>
              <w:t>目有关的原有环境污染问题</w:t>
            </w:r>
          </w:p>
        </w:tc>
        <w:tc>
          <w:tcPr>
            <w:tcW w:w="8157" w:type="dxa"/>
            <w:tcBorders>
              <w:left w:val="single" w:color="000000" w:sz="2" w:space="0"/>
            </w:tcBorders>
            <w:vAlign w:val="top"/>
          </w:tcPr>
          <w:p w14:paraId="46637E73">
            <w:pPr>
              <w:pStyle w:val="6"/>
              <w:spacing w:before="150" w:line="225" w:lineRule="auto"/>
              <w:ind w:left="106"/>
            </w:pPr>
            <w:r>
              <w:rPr>
                <w:rFonts w:ascii="Times New Roman" w:hAnsi="Times New Roman" w:eastAsia="Times New Roman" w:cs="Times New Roman"/>
                <w:b/>
                <w:bCs/>
                <w:spacing w:val="7"/>
              </w:rPr>
              <w:t xml:space="preserve">2.12 </w:t>
            </w:r>
            <w:r>
              <w:rPr>
                <w:b/>
                <w:bCs/>
                <w:spacing w:val="7"/>
              </w:rPr>
              <w:t>与本项目有关的原有污染情况及主要环境问题</w:t>
            </w:r>
          </w:p>
          <w:p w14:paraId="7D0A3942">
            <w:pPr>
              <w:pStyle w:val="6"/>
              <w:spacing w:before="155" w:line="226" w:lineRule="auto"/>
              <w:ind w:left="106"/>
            </w:pPr>
            <w:r>
              <w:rPr>
                <w:rFonts w:ascii="Times New Roman" w:hAnsi="Times New Roman" w:eastAsia="Times New Roman" w:cs="Times New Roman"/>
                <w:b/>
                <w:bCs/>
                <w:spacing w:val="6"/>
              </w:rPr>
              <w:t xml:space="preserve">2.12.1 </w:t>
            </w:r>
            <w:r>
              <w:rPr>
                <w:b/>
                <w:bCs/>
                <w:spacing w:val="6"/>
              </w:rPr>
              <w:t>现有工程环保手续办理情况</w:t>
            </w:r>
          </w:p>
          <w:p w14:paraId="2A72B888">
            <w:pPr>
              <w:pStyle w:val="6"/>
              <w:spacing w:before="151" w:line="227" w:lineRule="auto"/>
              <w:ind w:left="640"/>
            </w:pPr>
            <w:r>
              <w:rPr>
                <w:spacing w:val="8"/>
              </w:rPr>
              <w:t>（</w:t>
            </w:r>
            <w:r>
              <w:rPr>
                <w:rFonts w:ascii="Times New Roman" w:hAnsi="Times New Roman" w:eastAsia="Times New Roman" w:cs="Times New Roman"/>
                <w:spacing w:val="8"/>
              </w:rPr>
              <w:t>1</w:t>
            </w:r>
            <w:r>
              <w:rPr>
                <w:spacing w:val="8"/>
              </w:rPr>
              <w:t>）安全、环保手续履行情况</w:t>
            </w:r>
          </w:p>
          <w:p w14:paraId="67CEB312">
            <w:pPr>
              <w:pStyle w:val="6"/>
              <w:spacing w:before="155" w:line="339" w:lineRule="auto"/>
              <w:ind w:left="111" w:right="102" w:firstLine="548"/>
            </w:pPr>
            <w:r>
              <w:rPr>
                <w:spacing w:val="4"/>
              </w:rPr>
              <w:t>由于九中路加油站（原田坝加油站）成立时间较早，运行至今未履</w:t>
            </w:r>
            <w:r>
              <w:rPr>
                <w:spacing w:val="8"/>
              </w:rPr>
              <w:t>行相关环评手续，期间企业于</w:t>
            </w:r>
            <w:r>
              <w:rPr>
                <w:spacing w:val="-52"/>
              </w:rPr>
              <w:t xml:space="preserve"> </w:t>
            </w:r>
            <w:r>
              <w:rPr>
                <w:rFonts w:ascii="Times New Roman" w:hAnsi="Times New Roman" w:eastAsia="Times New Roman" w:cs="Times New Roman"/>
                <w:spacing w:val="8"/>
              </w:rPr>
              <w:t xml:space="preserve">2020 </w:t>
            </w:r>
            <w:r>
              <w:rPr>
                <w:spacing w:val="8"/>
              </w:rPr>
              <w:t>年</w:t>
            </w:r>
            <w:r>
              <w:rPr>
                <w:spacing w:val="-47"/>
              </w:rPr>
              <w:t xml:space="preserve"> </w:t>
            </w:r>
            <w:r>
              <w:rPr>
                <w:rFonts w:ascii="Times New Roman" w:hAnsi="Times New Roman" w:eastAsia="Times New Roman" w:cs="Times New Roman"/>
                <w:spacing w:val="8"/>
              </w:rPr>
              <w:t>6</w:t>
            </w:r>
            <w:r>
              <w:rPr>
                <w:rFonts w:ascii="Times New Roman" w:hAnsi="Times New Roman" w:eastAsia="Times New Roman" w:cs="Times New Roman"/>
                <w:spacing w:val="19"/>
              </w:rPr>
              <w:t xml:space="preserve"> </w:t>
            </w:r>
            <w:r>
              <w:rPr>
                <w:spacing w:val="8"/>
              </w:rPr>
              <w:t>月，取得了排污许可（</w:t>
            </w:r>
            <w:r>
              <w:rPr>
                <w:spacing w:val="7"/>
              </w:rPr>
              <w:t>许可证</w:t>
            </w:r>
            <w:r>
              <w:rPr>
                <w:spacing w:val="8"/>
              </w:rPr>
              <w:t>编号：</w:t>
            </w:r>
            <w:r>
              <w:rPr>
                <w:rFonts w:ascii="Times New Roman" w:hAnsi="Times New Roman" w:eastAsia="Times New Roman" w:cs="Times New Roman"/>
                <w:spacing w:val="8"/>
              </w:rPr>
              <w:t>915000000542997817001Q</w:t>
            </w:r>
            <w:r>
              <w:rPr>
                <w:spacing w:val="4"/>
              </w:rPr>
              <w:t>）</w:t>
            </w:r>
            <w:r>
              <w:rPr>
                <w:spacing w:val="-72"/>
              </w:rPr>
              <w:t xml:space="preserve"> </w:t>
            </w:r>
            <w:r>
              <w:rPr>
                <w:spacing w:val="4"/>
              </w:rPr>
              <w:t>，</w:t>
            </w:r>
            <w:r>
              <w:rPr>
                <w:spacing w:val="8"/>
              </w:rPr>
              <w:t>并定期开展了安全现状评估。</w:t>
            </w:r>
            <w:r>
              <w:rPr>
                <w:rFonts w:hint="eastAsia"/>
                <w:spacing w:val="8"/>
                <w:lang w:eastAsia="zh-CN"/>
              </w:rPr>
              <w:t>截至目前</w:t>
            </w:r>
            <w:r>
              <w:rPr>
                <w:spacing w:val="3"/>
              </w:rPr>
              <w:t>，建设单位于</w:t>
            </w:r>
            <w:r>
              <w:rPr>
                <w:spacing w:val="-37"/>
              </w:rPr>
              <w:t xml:space="preserve"> </w:t>
            </w:r>
            <w:r>
              <w:rPr>
                <w:rFonts w:ascii="Times New Roman" w:hAnsi="Times New Roman" w:eastAsia="Times New Roman" w:cs="Times New Roman"/>
                <w:spacing w:val="3"/>
              </w:rPr>
              <w:t xml:space="preserve">2025 </w:t>
            </w:r>
            <w:r>
              <w:rPr>
                <w:spacing w:val="3"/>
              </w:rPr>
              <w:t>年</w:t>
            </w:r>
            <w:r>
              <w:rPr>
                <w:spacing w:val="-28"/>
              </w:rPr>
              <w:t xml:space="preserve"> </w:t>
            </w:r>
            <w:r>
              <w:rPr>
                <w:rFonts w:ascii="Times New Roman" w:hAnsi="Times New Roman" w:eastAsia="Times New Roman" w:cs="Times New Roman"/>
                <w:spacing w:val="3"/>
              </w:rPr>
              <w:t>12</w:t>
            </w:r>
            <w:r>
              <w:rPr>
                <w:rFonts w:ascii="Times New Roman" w:hAnsi="Times New Roman" w:eastAsia="Times New Roman" w:cs="Times New Roman"/>
                <w:spacing w:val="19"/>
              </w:rPr>
              <w:t xml:space="preserve"> </w:t>
            </w:r>
            <w:r>
              <w:rPr>
                <w:spacing w:val="3"/>
              </w:rPr>
              <w:t>月报批了《重庆壳牌能源有限公司九中</w:t>
            </w:r>
            <w:r>
              <w:rPr>
                <w:spacing w:val="7"/>
              </w:rPr>
              <w:t>路加油站安全现状评价报告》。</w:t>
            </w:r>
          </w:p>
          <w:p w14:paraId="76CC304B">
            <w:pPr>
              <w:pStyle w:val="6"/>
              <w:spacing w:before="2" w:line="225" w:lineRule="auto"/>
              <w:ind w:left="640"/>
            </w:pPr>
            <w:r>
              <w:rPr>
                <w:spacing w:val="8"/>
              </w:rPr>
              <w:t>（</w:t>
            </w:r>
            <w:r>
              <w:rPr>
                <w:rFonts w:ascii="Times New Roman" w:hAnsi="Times New Roman" w:eastAsia="Times New Roman" w:cs="Times New Roman"/>
                <w:spacing w:val="8"/>
              </w:rPr>
              <w:t>2</w:t>
            </w:r>
            <w:r>
              <w:rPr>
                <w:spacing w:val="8"/>
              </w:rPr>
              <w:t>）突发环境实际风险评估及应急预案修订情况</w:t>
            </w:r>
          </w:p>
          <w:p w14:paraId="6746D7E7">
            <w:pPr>
              <w:pStyle w:val="6"/>
              <w:spacing w:before="154" w:line="340" w:lineRule="auto"/>
              <w:ind w:left="96" w:right="35" w:firstLine="534"/>
            </w:pPr>
            <w:r>
              <w:rPr>
                <w:spacing w:val="8"/>
              </w:rPr>
              <w:t>现有工程于</w:t>
            </w:r>
            <w:r>
              <w:rPr>
                <w:spacing w:val="-52"/>
              </w:rPr>
              <w:t xml:space="preserve"> </w:t>
            </w:r>
            <w:r>
              <w:rPr>
                <w:rFonts w:ascii="Times New Roman" w:hAnsi="Times New Roman" w:eastAsia="Times New Roman" w:cs="Times New Roman"/>
                <w:spacing w:val="8"/>
              </w:rPr>
              <w:t xml:space="preserve">2023 </w:t>
            </w:r>
            <w:r>
              <w:rPr>
                <w:spacing w:val="8"/>
              </w:rPr>
              <w:t>年</w:t>
            </w:r>
            <w:r>
              <w:rPr>
                <w:spacing w:val="-49"/>
              </w:rPr>
              <w:t xml:space="preserve"> </w:t>
            </w:r>
            <w:r>
              <w:rPr>
                <w:rFonts w:ascii="Times New Roman" w:hAnsi="Times New Roman" w:eastAsia="Times New Roman" w:cs="Times New Roman"/>
                <w:spacing w:val="8"/>
              </w:rPr>
              <w:t>7</w:t>
            </w:r>
            <w:r>
              <w:rPr>
                <w:rFonts w:ascii="Times New Roman" w:hAnsi="Times New Roman" w:eastAsia="Times New Roman" w:cs="Times New Roman"/>
                <w:spacing w:val="19"/>
                <w:w w:val="101"/>
              </w:rPr>
              <w:t xml:space="preserve"> </w:t>
            </w:r>
            <w:r>
              <w:rPr>
                <w:spacing w:val="8"/>
              </w:rPr>
              <w:t>月对企业突发环境实际风险</w:t>
            </w:r>
            <w:r>
              <w:rPr>
                <w:spacing w:val="7"/>
              </w:rPr>
              <w:t>评估及应急预案</w:t>
            </w:r>
            <w:r>
              <w:rPr>
                <w:spacing w:val="6"/>
              </w:rPr>
              <w:t>进行了修订，目前在</w:t>
            </w:r>
            <w:r>
              <w:rPr>
                <w:spacing w:val="-47"/>
              </w:rPr>
              <w:t xml:space="preserve"> </w:t>
            </w:r>
            <w:r>
              <w:rPr>
                <w:rFonts w:ascii="Times New Roman" w:hAnsi="Times New Roman" w:eastAsia="Times New Roman" w:cs="Times New Roman"/>
                <w:spacing w:val="6"/>
              </w:rPr>
              <w:t xml:space="preserve">3 </w:t>
            </w:r>
            <w:r>
              <w:rPr>
                <w:spacing w:val="6"/>
              </w:rPr>
              <w:t>年有效期限内，修订</w:t>
            </w:r>
            <w:r>
              <w:rPr>
                <w:spacing w:val="5"/>
              </w:rPr>
              <w:t>后取得突发环境事件风险评</w:t>
            </w:r>
            <w:r>
              <w:rPr>
                <w:spacing w:val="-6"/>
              </w:rPr>
              <w:t>估 和</w:t>
            </w:r>
            <w:r>
              <w:rPr>
                <w:spacing w:val="-28"/>
              </w:rPr>
              <w:t xml:space="preserve"> </w:t>
            </w:r>
            <w:r>
              <w:rPr>
                <w:spacing w:val="-6"/>
              </w:rPr>
              <w:t>应 急</w:t>
            </w:r>
            <w:r>
              <w:rPr>
                <w:spacing w:val="-24"/>
              </w:rPr>
              <w:t xml:space="preserve"> </w:t>
            </w:r>
            <w:r>
              <w:rPr>
                <w:spacing w:val="-6"/>
              </w:rPr>
              <w:t>预</w:t>
            </w:r>
            <w:r>
              <w:rPr>
                <w:spacing w:val="-21"/>
              </w:rPr>
              <w:t xml:space="preserve"> </w:t>
            </w:r>
            <w:r>
              <w:rPr>
                <w:spacing w:val="-6"/>
              </w:rPr>
              <w:t>案</w:t>
            </w:r>
            <w:r>
              <w:rPr>
                <w:spacing w:val="-23"/>
              </w:rPr>
              <w:t xml:space="preserve"> </w:t>
            </w:r>
            <w:r>
              <w:rPr>
                <w:spacing w:val="-6"/>
              </w:rPr>
              <w:t>备</w:t>
            </w:r>
            <w:r>
              <w:rPr>
                <w:spacing w:val="-22"/>
              </w:rPr>
              <w:t xml:space="preserve"> </w:t>
            </w:r>
            <w:r>
              <w:rPr>
                <w:spacing w:val="-6"/>
              </w:rPr>
              <w:t>案 回</w:t>
            </w:r>
            <w:r>
              <w:rPr>
                <w:spacing w:val="-23"/>
              </w:rPr>
              <w:t xml:space="preserve"> </w:t>
            </w:r>
            <w:r>
              <w:rPr>
                <w:spacing w:val="-6"/>
              </w:rPr>
              <w:t>执 ， 评</w:t>
            </w:r>
            <w:r>
              <w:rPr>
                <w:spacing w:val="-26"/>
              </w:rPr>
              <w:t xml:space="preserve"> </w:t>
            </w:r>
            <w:r>
              <w:rPr>
                <w:spacing w:val="-6"/>
              </w:rPr>
              <w:t>估</w:t>
            </w:r>
            <w:r>
              <w:rPr>
                <w:spacing w:val="-24"/>
              </w:rPr>
              <w:t xml:space="preserve"> </w:t>
            </w:r>
            <w:r>
              <w:rPr>
                <w:spacing w:val="-6"/>
              </w:rPr>
              <w:t>及</w:t>
            </w:r>
            <w:r>
              <w:rPr>
                <w:spacing w:val="-22"/>
              </w:rPr>
              <w:t xml:space="preserve"> </w:t>
            </w:r>
            <w:r>
              <w:rPr>
                <w:spacing w:val="-6"/>
              </w:rPr>
              <w:t>预</w:t>
            </w:r>
            <w:r>
              <w:rPr>
                <w:spacing w:val="-24"/>
              </w:rPr>
              <w:t xml:space="preserve"> </w:t>
            </w:r>
            <w:r>
              <w:rPr>
                <w:spacing w:val="-6"/>
              </w:rPr>
              <w:t>案</w:t>
            </w:r>
            <w:r>
              <w:rPr>
                <w:spacing w:val="-20"/>
              </w:rPr>
              <w:t xml:space="preserve"> </w:t>
            </w:r>
            <w:r>
              <w:rPr>
                <w:spacing w:val="-6"/>
              </w:rPr>
              <w:t>备</w:t>
            </w:r>
            <w:r>
              <w:rPr>
                <w:spacing w:val="-24"/>
              </w:rPr>
              <w:t xml:space="preserve"> </w:t>
            </w:r>
            <w:r>
              <w:rPr>
                <w:spacing w:val="-6"/>
              </w:rPr>
              <w:t>案</w:t>
            </w:r>
            <w:r>
              <w:rPr>
                <w:spacing w:val="-21"/>
              </w:rPr>
              <w:t xml:space="preserve"> </w:t>
            </w:r>
            <w:r>
              <w:rPr>
                <w:spacing w:val="-6"/>
              </w:rPr>
              <w:t>编</w:t>
            </w:r>
            <w:r>
              <w:rPr>
                <w:spacing w:val="-20"/>
              </w:rPr>
              <w:t xml:space="preserve"> </w:t>
            </w:r>
            <w:r>
              <w:rPr>
                <w:spacing w:val="-6"/>
              </w:rPr>
              <w:t>号</w:t>
            </w:r>
            <w:r>
              <w:rPr>
                <w:spacing w:val="-20"/>
              </w:rPr>
              <w:t xml:space="preserve"> </w:t>
            </w:r>
            <w:r>
              <w:rPr>
                <w:spacing w:val="-7"/>
              </w:rPr>
              <w:t>分</w:t>
            </w:r>
            <w:r>
              <w:rPr>
                <w:spacing w:val="-23"/>
              </w:rPr>
              <w:t xml:space="preserve"> </w:t>
            </w:r>
            <w:r>
              <w:rPr>
                <w:spacing w:val="-7"/>
              </w:rPr>
              <w:t>别</w:t>
            </w:r>
            <w:r>
              <w:rPr>
                <w:spacing w:val="-21"/>
              </w:rPr>
              <w:t xml:space="preserve"> </w:t>
            </w:r>
            <w:r>
              <w:rPr>
                <w:spacing w:val="-7"/>
              </w:rPr>
              <w:t>为</w:t>
            </w:r>
            <w:r>
              <w:rPr>
                <w:spacing w:val="4"/>
              </w:rPr>
              <w:t>“</w:t>
            </w:r>
            <w:r>
              <w:rPr>
                <w:rFonts w:ascii="Times New Roman" w:hAnsi="Times New Roman" w:eastAsia="Times New Roman" w:cs="Times New Roman"/>
                <w:spacing w:val="4"/>
              </w:rPr>
              <w:t>5001072023070006</w:t>
            </w:r>
            <w:r>
              <w:rPr>
                <w:rFonts w:ascii="Times New Roman" w:hAnsi="Times New Roman" w:eastAsia="Times New Roman" w:cs="Times New Roman"/>
                <w:spacing w:val="-26"/>
              </w:rPr>
              <w:t xml:space="preserve"> </w:t>
            </w:r>
            <w:r>
              <w:rPr>
                <w:spacing w:val="4"/>
              </w:rPr>
              <w:t>”和“</w:t>
            </w:r>
            <w:r>
              <w:rPr>
                <w:rFonts w:ascii="Times New Roman" w:hAnsi="Times New Roman" w:eastAsia="Times New Roman" w:cs="Times New Roman"/>
                <w:spacing w:val="3"/>
              </w:rPr>
              <w:t>500107-2023-024-L</w:t>
            </w:r>
            <w:r>
              <w:rPr>
                <w:rFonts w:ascii="Times New Roman" w:hAnsi="Times New Roman" w:eastAsia="Times New Roman" w:cs="Times New Roman"/>
                <w:spacing w:val="-27"/>
              </w:rPr>
              <w:t xml:space="preserve"> </w:t>
            </w:r>
            <w:r>
              <w:rPr>
                <w:spacing w:val="3"/>
              </w:rPr>
              <w:t>”。现有工程投运至今，</w:t>
            </w:r>
            <w:r>
              <w:rPr>
                <w:spacing w:val="9"/>
              </w:rPr>
              <w:t>每月开展应急演练并形成影音、文字等台账记录备查。</w:t>
            </w:r>
          </w:p>
          <w:p w14:paraId="78BD6C18">
            <w:pPr>
              <w:pStyle w:val="6"/>
              <w:spacing w:before="1" w:line="226" w:lineRule="auto"/>
              <w:ind w:left="106"/>
            </w:pPr>
            <w:r>
              <w:rPr>
                <w:rFonts w:ascii="Times New Roman" w:hAnsi="Times New Roman" w:eastAsia="Times New Roman" w:cs="Times New Roman"/>
                <w:b/>
                <w:bCs/>
                <w:spacing w:val="7"/>
              </w:rPr>
              <w:t xml:space="preserve">2.12.2 </w:t>
            </w:r>
            <w:r>
              <w:rPr>
                <w:b/>
                <w:bCs/>
                <w:spacing w:val="7"/>
              </w:rPr>
              <w:t>现有工程主要污染防治设施及污染物</w:t>
            </w:r>
            <w:r>
              <w:rPr>
                <w:b/>
                <w:bCs/>
                <w:spacing w:val="6"/>
              </w:rPr>
              <w:t>排放情况</w:t>
            </w:r>
          </w:p>
          <w:p w14:paraId="656C6169">
            <w:pPr>
              <w:pStyle w:val="6"/>
              <w:spacing w:before="153" w:line="227" w:lineRule="auto"/>
              <w:ind w:left="640"/>
            </w:pPr>
            <w:r>
              <w:rPr>
                <w:spacing w:val="4"/>
              </w:rPr>
              <w:t>（</w:t>
            </w:r>
            <w:r>
              <w:rPr>
                <w:rFonts w:ascii="Times New Roman" w:hAnsi="Times New Roman" w:eastAsia="Times New Roman" w:cs="Times New Roman"/>
                <w:spacing w:val="4"/>
              </w:rPr>
              <w:t>1</w:t>
            </w:r>
            <w:r>
              <w:rPr>
                <w:spacing w:val="4"/>
              </w:rPr>
              <w:t>）废气</w:t>
            </w:r>
          </w:p>
          <w:p w14:paraId="1A660BFA">
            <w:pPr>
              <w:pStyle w:val="6"/>
              <w:spacing w:before="155" w:line="339" w:lineRule="auto"/>
              <w:ind w:left="114" w:right="102" w:firstLine="514"/>
            </w:pPr>
            <w:r>
              <w:rPr>
                <w:spacing w:val="8"/>
              </w:rPr>
              <w:t>加油站内已于</w:t>
            </w:r>
            <w:r>
              <w:rPr>
                <w:spacing w:val="-52"/>
              </w:rPr>
              <w:t xml:space="preserve"> </w:t>
            </w:r>
            <w:r>
              <w:rPr>
                <w:rFonts w:ascii="Times New Roman" w:hAnsi="Times New Roman" w:eastAsia="Times New Roman" w:cs="Times New Roman"/>
                <w:spacing w:val="8"/>
              </w:rPr>
              <w:t xml:space="preserve">2023 </w:t>
            </w:r>
            <w:r>
              <w:rPr>
                <w:spacing w:val="8"/>
              </w:rPr>
              <w:t>年</w:t>
            </w:r>
            <w:r>
              <w:rPr>
                <w:spacing w:val="-50"/>
              </w:rPr>
              <w:t xml:space="preserve"> </w:t>
            </w:r>
            <w:r>
              <w:rPr>
                <w:rFonts w:ascii="Times New Roman" w:hAnsi="Times New Roman" w:eastAsia="Times New Roman" w:cs="Times New Roman"/>
                <w:spacing w:val="8"/>
              </w:rPr>
              <w:t>7</w:t>
            </w:r>
            <w:r>
              <w:rPr>
                <w:rFonts w:ascii="Times New Roman" w:hAnsi="Times New Roman" w:eastAsia="Times New Roman" w:cs="Times New Roman"/>
                <w:spacing w:val="21"/>
              </w:rPr>
              <w:t xml:space="preserve"> </w:t>
            </w:r>
            <w:r>
              <w:rPr>
                <w:spacing w:val="8"/>
              </w:rPr>
              <w:t>月设置三级油气回收系统，包括卸</w:t>
            </w:r>
            <w:r>
              <w:rPr>
                <w:spacing w:val="7"/>
              </w:rPr>
              <w:t>油区一</w:t>
            </w:r>
            <w:r>
              <w:rPr>
                <w:spacing w:val="14"/>
              </w:rPr>
              <w:t>次油气回收系统、加油区二次油气回收系统及储油区三次油气回收系</w:t>
            </w:r>
            <w:r>
              <w:rPr>
                <w:spacing w:val="8"/>
              </w:rPr>
              <w:t>统。根据《排污许可证》</w:t>
            </w:r>
            <w:r>
              <w:rPr>
                <w:spacing w:val="-83"/>
              </w:rPr>
              <w:t xml:space="preserve"> </w:t>
            </w:r>
            <w:r>
              <w:rPr>
                <w:spacing w:val="8"/>
              </w:rPr>
              <w:t>（证书编号：</w:t>
            </w:r>
            <w:r>
              <w:rPr>
                <w:rFonts w:ascii="Times New Roman" w:hAnsi="Times New Roman" w:eastAsia="Times New Roman" w:cs="Times New Roman"/>
                <w:spacing w:val="8"/>
              </w:rPr>
              <w:t>915000000542997817001Q</w:t>
            </w:r>
            <w:r>
              <w:rPr>
                <w:spacing w:val="8"/>
              </w:rPr>
              <w:t>）下</w:t>
            </w:r>
            <w:r>
              <w:rPr>
                <w:spacing w:val="3"/>
              </w:rPr>
              <w:t>发要求：</w:t>
            </w:r>
          </w:p>
          <w:p w14:paraId="63DAF3C5">
            <w:pPr>
              <w:pStyle w:val="6"/>
              <w:spacing w:before="2" w:line="340" w:lineRule="auto"/>
              <w:ind w:left="111" w:right="102" w:firstLine="516"/>
            </w:pPr>
            <w:r>
              <w:rPr>
                <w:spacing w:val="10"/>
              </w:rPr>
              <w:t>①三次油气回收装置排气管监测因子非甲烷总，监测频次为</w:t>
            </w:r>
            <w:r>
              <w:rPr>
                <w:spacing w:val="-25"/>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22"/>
              </w:rPr>
              <w:t xml:space="preserve"> </w:t>
            </w:r>
            <w:r>
              <w:rPr>
                <w:spacing w:val="9"/>
              </w:rPr>
              <w:t>次</w:t>
            </w:r>
            <w:r>
              <w:rPr>
                <w:rFonts w:ascii="Times New Roman" w:hAnsi="Times New Roman" w:eastAsia="Times New Roman" w:cs="Times New Roman"/>
                <w:spacing w:val="9"/>
              </w:rPr>
              <w:t>/</w:t>
            </w:r>
            <w:r>
              <w:rPr>
                <w:spacing w:val="7"/>
              </w:rPr>
              <w:t>年；加油站无组织监测因子挥发性有机物，监测频次为</w:t>
            </w:r>
            <w:r>
              <w:rPr>
                <w:spacing w:val="-28"/>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20"/>
              </w:rPr>
              <w:t xml:space="preserve"> </w:t>
            </w:r>
            <w:r>
              <w:rPr>
                <w:spacing w:val="7"/>
              </w:rPr>
              <w:t>次</w:t>
            </w:r>
            <w:r>
              <w:rPr>
                <w:rFonts w:ascii="Times New Roman" w:hAnsi="Times New Roman" w:eastAsia="Times New Roman" w:cs="Times New Roman"/>
                <w:spacing w:val="7"/>
              </w:rPr>
              <w:t>/</w:t>
            </w:r>
            <w:r>
              <w:rPr>
                <w:spacing w:val="7"/>
              </w:rPr>
              <w:t>年。</w:t>
            </w:r>
          </w:p>
          <w:p w14:paraId="3CDD6B0F">
            <w:pPr>
              <w:pStyle w:val="6"/>
              <w:spacing w:before="3" w:line="339" w:lineRule="auto"/>
              <w:ind w:left="110" w:right="102" w:firstLine="516"/>
            </w:pPr>
            <w:r>
              <w:rPr>
                <w:spacing w:val="5"/>
              </w:rPr>
              <w:t>②油气回收系统的气液比、油气回收管线液阻检测值、油气回收系</w:t>
            </w:r>
            <w:r>
              <w:rPr>
                <w:spacing w:val="6"/>
              </w:rPr>
              <w:t>统密闭性压力检测值、在线系统流量传感器检测、油气回收系</w:t>
            </w:r>
            <w:r>
              <w:rPr>
                <w:spacing w:val="5"/>
              </w:rPr>
              <w:t>统密闭点位油气泄漏检测，监测频次为</w:t>
            </w:r>
            <w:r>
              <w:rPr>
                <w:spacing w:val="-22"/>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9"/>
                <w:w w:val="101"/>
              </w:rPr>
              <w:t xml:space="preserve"> </w:t>
            </w:r>
            <w:r>
              <w:rPr>
                <w:spacing w:val="5"/>
              </w:rPr>
              <w:t>次</w:t>
            </w:r>
            <w:r>
              <w:rPr>
                <w:rFonts w:ascii="Times New Roman" w:hAnsi="Times New Roman" w:eastAsia="Times New Roman" w:cs="Times New Roman"/>
                <w:spacing w:val="5"/>
              </w:rPr>
              <w:t>/</w:t>
            </w:r>
            <w:r>
              <w:rPr>
                <w:spacing w:val="5"/>
              </w:rPr>
              <w:t>年。</w:t>
            </w:r>
          </w:p>
          <w:p w14:paraId="4D2196C8">
            <w:pPr>
              <w:pStyle w:val="6"/>
              <w:spacing w:before="5" w:line="314" w:lineRule="auto"/>
              <w:ind w:left="110" w:right="20" w:firstLine="522"/>
              <w:jc w:val="both"/>
            </w:pPr>
            <w:r>
              <w:rPr>
                <w:spacing w:val="4"/>
              </w:rPr>
              <w:t>企业</w:t>
            </w:r>
            <w:r>
              <w:rPr>
                <w:spacing w:val="-60"/>
              </w:rPr>
              <w:t xml:space="preserve"> </w:t>
            </w:r>
            <w:r>
              <w:rPr>
                <w:rFonts w:ascii="Times New Roman" w:hAnsi="Times New Roman" w:eastAsia="Times New Roman" w:cs="Times New Roman"/>
                <w:spacing w:val="4"/>
              </w:rPr>
              <w:t xml:space="preserve">2025 </w:t>
            </w:r>
            <w:r>
              <w:rPr>
                <w:spacing w:val="4"/>
              </w:rPr>
              <w:t>年</w:t>
            </w:r>
            <w:r>
              <w:rPr>
                <w:spacing w:val="-69"/>
              </w:rPr>
              <w:t xml:space="preserve"> </w:t>
            </w:r>
            <w:r>
              <w:rPr>
                <w:rFonts w:ascii="Times New Roman" w:hAnsi="Times New Roman" w:eastAsia="Times New Roman" w:cs="Times New Roman"/>
                <w:spacing w:val="4"/>
              </w:rPr>
              <w:t xml:space="preserve">3 </w:t>
            </w:r>
            <w:r>
              <w:rPr>
                <w:spacing w:val="4"/>
              </w:rPr>
              <w:t>月</w:t>
            </w:r>
            <w:r>
              <w:rPr>
                <w:spacing w:val="-71"/>
              </w:rPr>
              <w:t xml:space="preserve"> </w:t>
            </w:r>
            <w:r>
              <w:rPr>
                <w:rFonts w:ascii="Times New Roman" w:hAnsi="Times New Roman" w:eastAsia="Times New Roman" w:cs="Times New Roman"/>
                <w:spacing w:val="4"/>
              </w:rPr>
              <w:t>24</w:t>
            </w:r>
            <w:r>
              <w:rPr>
                <w:rFonts w:ascii="Times New Roman" w:hAnsi="Times New Roman" w:eastAsia="Times New Roman" w:cs="Times New Roman"/>
                <w:spacing w:val="38"/>
              </w:rPr>
              <w:t xml:space="preserve"> </w:t>
            </w:r>
            <w:r>
              <w:rPr>
                <w:spacing w:val="4"/>
              </w:rPr>
              <w:t>日委托成都思科信息科技有限公司开展油气回</w:t>
            </w:r>
            <w:r>
              <w:rPr>
                <w:spacing w:val="2"/>
              </w:rPr>
              <w:t>收检测，并出具报告“成思检〔</w:t>
            </w:r>
            <w:r>
              <w:rPr>
                <w:rFonts w:ascii="Times New Roman" w:hAnsi="Times New Roman" w:eastAsia="Times New Roman" w:cs="Times New Roman"/>
                <w:spacing w:val="2"/>
              </w:rPr>
              <w:t>2025</w:t>
            </w:r>
            <w:r>
              <w:rPr>
                <w:spacing w:val="2"/>
              </w:rPr>
              <w:t>〕第</w:t>
            </w:r>
            <w:r>
              <w:rPr>
                <w:spacing w:val="-48"/>
              </w:rPr>
              <w:t xml:space="preserve"> </w:t>
            </w:r>
            <w:r>
              <w:rPr>
                <w:rFonts w:ascii="Times New Roman" w:hAnsi="Times New Roman" w:eastAsia="Times New Roman" w:cs="Times New Roman"/>
                <w:spacing w:val="2"/>
              </w:rPr>
              <w:t>0037</w:t>
            </w:r>
            <w:r>
              <w:rPr>
                <w:rFonts w:ascii="Times New Roman" w:hAnsi="Times New Roman" w:eastAsia="Times New Roman" w:cs="Times New Roman"/>
                <w:spacing w:val="18"/>
                <w:w w:val="101"/>
              </w:rPr>
              <w:t xml:space="preserve"> </w:t>
            </w:r>
            <w:r>
              <w:rPr>
                <w:spacing w:val="2"/>
              </w:rPr>
              <w:t>号</w:t>
            </w:r>
            <w:r>
              <w:rPr>
                <w:spacing w:val="-88"/>
              </w:rPr>
              <w:t xml:space="preserve"> </w:t>
            </w:r>
            <w:r>
              <w:rPr>
                <w:spacing w:val="2"/>
              </w:rPr>
              <w:t>”、“成思检〔</w:t>
            </w:r>
            <w:r>
              <w:rPr>
                <w:rFonts w:ascii="Times New Roman" w:hAnsi="Times New Roman" w:eastAsia="Times New Roman" w:cs="Times New Roman"/>
                <w:spacing w:val="2"/>
              </w:rPr>
              <w:t>2</w:t>
            </w:r>
            <w:r>
              <w:rPr>
                <w:rFonts w:ascii="Times New Roman" w:hAnsi="Times New Roman" w:eastAsia="Times New Roman" w:cs="Times New Roman"/>
                <w:spacing w:val="1"/>
              </w:rPr>
              <w:t>025</w:t>
            </w:r>
            <w:r>
              <w:rPr>
                <w:spacing w:val="1"/>
              </w:rPr>
              <w:t>〕第</w:t>
            </w:r>
            <w:r>
              <w:rPr>
                <w:spacing w:val="-50"/>
              </w:rPr>
              <w:t xml:space="preserve"> </w:t>
            </w:r>
            <w:r>
              <w:rPr>
                <w:rFonts w:ascii="Times New Roman" w:hAnsi="Times New Roman" w:eastAsia="Times New Roman" w:cs="Times New Roman"/>
                <w:spacing w:val="1"/>
              </w:rPr>
              <w:t>0038</w:t>
            </w:r>
            <w:r>
              <w:rPr>
                <w:rFonts w:ascii="Times New Roman" w:hAnsi="Times New Roman" w:eastAsia="Times New Roman" w:cs="Times New Roman"/>
                <w:spacing w:val="21"/>
              </w:rPr>
              <w:t xml:space="preserve"> </w:t>
            </w:r>
            <w:r>
              <w:rPr>
                <w:spacing w:val="1"/>
              </w:rPr>
              <w:t>号</w:t>
            </w:r>
            <w:r>
              <w:rPr>
                <w:spacing w:val="-90"/>
              </w:rPr>
              <w:t xml:space="preserve"> </w:t>
            </w:r>
            <w:r>
              <w:rPr>
                <w:spacing w:val="1"/>
              </w:rPr>
              <w:t>”及“成思检〔</w:t>
            </w:r>
            <w:r>
              <w:rPr>
                <w:rFonts w:ascii="Times New Roman" w:hAnsi="Times New Roman" w:eastAsia="Times New Roman" w:cs="Times New Roman"/>
                <w:spacing w:val="1"/>
              </w:rPr>
              <w:t>2025</w:t>
            </w:r>
            <w:r>
              <w:rPr>
                <w:spacing w:val="1"/>
              </w:rPr>
              <w:t>〕第</w:t>
            </w:r>
            <w:r>
              <w:rPr>
                <w:spacing w:val="-49"/>
              </w:rPr>
              <w:t xml:space="preserve"> </w:t>
            </w:r>
            <w:r>
              <w:rPr>
                <w:rFonts w:ascii="Times New Roman" w:hAnsi="Times New Roman" w:eastAsia="Times New Roman" w:cs="Times New Roman"/>
                <w:spacing w:val="1"/>
              </w:rPr>
              <w:t>0039</w:t>
            </w:r>
            <w:r>
              <w:rPr>
                <w:rFonts w:ascii="Times New Roman" w:hAnsi="Times New Roman" w:eastAsia="Times New Roman" w:cs="Times New Roman"/>
                <w:spacing w:val="19"/>
              </w:rPr>
              <w:t xml:space="preserve"> </w:t>
            </w:r>
            <w:r>
              <w:rPr>
                <w:spacing w:val="1"/>
              </w:rPr>
              <w:t>号</w:t>
            </w:r>
            <w:r>
              <w:rPr>
                <w:spacing w:val="-88"/>
              </w:rPr>
              <w:t xml:space="preserve"> </w:t>
            </w:r>
            <w:r>
              <w:rPr>
                <w:spacing w:val="1"/>
              </w:rPr>
              <w:t>”（详见附件</w:t>
            </w:r>
            <w:r>
              <w:rPr>
                <w:spacing w:val="5"/>
              </w:rPr>
              <w:t>），</w:t>
            </w:r>
            <w:r>
              <w:rPr>
                <w:spacing w:val="1"/>
              </w:rPr>
              <w:t>检测结果</w:t>
            </w:r>
            <w:r>
              <w:rPr>
                <w:spacing w:val="4"/>
              </w:rPr>
              <w:t>见下表。</w:t>
            </w:r>
          </w:p>
        </w:tc>
      </w:tr>
    </w:tbl>
    <w:p w14:paraId="2D20C503">
      <w:pPr>
        <w:pStyle w:val="2"/>
        <w:rPr>
          <w:sz w:val="21"/>
        </w:rPr>
      </w:pPr>
    </w:p>
    <w:p w14:paraId="5668A193">
      <w:pPr>
        <w:rPr>
          <w:sz w:val="21"/>
          <w:szCs w:val="21"/>
        </w:rPr>
        <w:sectPr>
          <w:footerReference r:id="rId47" w:type="default"/>
          <w:pgSz w:w="11906" w:h="16839"/>
          <w:pgMar w:top="400" w:right="1451" w:bottom="1009" w:left="1451" w:header="0" w:footer="777" w:gutter="0"/>
          <w:cols w:space="720" w:num="1"/>
        </w:sectPr>
      </w:pPr>
    </w:p>
    <w:p w14:paraId="4E23183F">
      <w:pPr>
        <w:spacing w:before="19"/>
      </w:pPr>
    </w:p>
    <w:p w14:paraId="722947A3">
      <w:pPr>
        <w:spacing w:before="19"/>
      </w:pPr>
    </w:p>
    <w:p w14:paraId="5A39AE3E">
      <w:pPr>
        <w:spacing w:before="19"/>
      </w:pPr>
    </w:p>
    <w:p w14:paraId="496DB093">
      <w:pPr>
        <w:spacing w:before="18"/>
      </w:pPr>
    </w:p>
    <w:p w14:paraId="0B5F4AE6">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113"/>
        <w:gridCol w:w="941"/>
        <w:gridCol w:w="423"/>
        <w:gridCol w:w="615"/>
        <w:gridCol w:w="715"/>
        <w:gridCol w:w="688"/>
        <w:gridCol w:w="577"/>
        <w:gridCol w:w="1102"/>
        <w:gridCol w:w="83"/>
        <w:gridCol w:w="796"/>
        <w:gridCol w:w="599"/>
        <w:gridCol w:w="248"/>
        <w:gridCol w:w="1135"/>
        <w:gridCol w:w="122"/>
      </w:tblGrid>
      <w:tr w14:paraId="1DDCA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831" w:type="dxa"/>
            <w:vMerge w:val="restart"/>
            <w:tcBorders>
              <w:top w:val="single" w:color="000000" w:sz="6" w:space="0"/>
              <w:left w:val="single" w:color="000000" w:sz="6" w:space="0"/>
              <w:bottom w:val="nil"/>
            </w:tcBorders>
            <w:vAlign w:val="top"/>
          </w:tcPr>
          <w:p w14:paraId="2529205F">
            <w:pPr>
              <w:rPr>
                <w:rFonts w:ascii="Arial"/>
                <w:sz w:val="21"/>
              </w:rPr>
            </w:pPr>
          </w:p>
        </w:tc>
        <w:tc>
          <w:tcPr>
            <w:tcW w:w="8157" w:type="dxa"/>
            <w:gridSpan w:val="14"/>
            <w:tcBorders>
              <w:top w:val="single" w:color="000000" w:sz="6" w:space="0"/>
              <w:right w:val="single" w:color="000000" w:sz="6" w:space="0"/>
            </w:tcBorders>
            <w:vAlign w:val="top"/>
          </w:tcPr>
          <w:p w14:paraId="5520D172">
            <w:pPr>
              <w:pStyle w:val="6"/>
              <w:spacing w:before="150" w:line="226" w:lineRule="auto"/>
              <w:ind w:left="627"/>
            </w:pPr>
            <w:r>
              <w:rPr>
                <w:spacing w:val="6"/>
              </w:rPr>
              <w:t>表</w:t>
            </w:r>
            <w:r>
              <w:rPr>
                <w:spacing w:val="-37"/>
              </w:rPr>
              <w:t xml:space="preserve"> </w:t>
            </w:r>
            <w:r>
              <w:rPr>
                <w:rFonts w:ascii="Times New Roman" w:hAnsi="Times New Roman" w:eastAsia="Times New Roman" w:cs="Times New Roman"/>
                <w:spacing w:val="6"/>
              </w:rPr>
              <w:t>2.12-</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 xml:space="preserve">1    </w:t>
            </w:r>
            <w:r>
              <w:rPr>
                <w:spacing w:val="6"/>
              </w:rPr>
              <w:t>油气回收检测（油气处理装置出口）结果一览表</w:t>
            </w:r>
          </w:p>
        </w:tc>
      </w:tr>
      <w:tr w14:paraId="7AB57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31" w:type="dxa"/>
            <w:vMerge w:val="continue"/>
            <w:tcBorders>
              <w:top w:val="nil"/>
              <w:left w:val="single" w:color="000000" w:sz="6" w:space="0"/>
              <w:bottom w:val="nil"/>
            </w:tcBorders>
            <w:vAlign w:val="top"/>
          </w:tcPr>
          <w:p w14:paraId="77DCFDC9">
            <w:pPr>
              <w:rPr>
                <w:rFonts w:ascii="Arial"/>
                <w:sz w:val="21"/>
              </w:rPr>
            </w:pPr>
          </w:p>
        </w:tc>
        <w:tc>
          <w:tcPr>
            <w:tcW w:w="113" w:type="dxa"/>
            <w:tcBorders>
              <w:top w:val="nil"/>
              <w:bottom w:val="nil"/>
            </w:tcBorders>
            <w:vAlign w:val="top"/>
          </w:tcPr>
          <w:p w14:paraId="39B260F4">
            <w:pPr>
              <w:rPr>
                <w:rFonts w:ascii="Arial"/>
                <w:sz w:val="21"/>
              </w:rPr>
            </w:pPr>
          </w:p>
        </w:tc>
        <w:tc>
          <w:tcPr>
            <w:tcW w:w="1364" w:type="dxa"/>
            <w:gridSpan w:val="2"/>
            <w:vAlign w:val="top"/>
          </w:tcPr>
          <w:p w14:paraId="2D18FF8A">
            <w:pPr>
              <w:pStyle w:val="6"/>
              <w:spacing w:before="158" w:line="220" w:lineRule="auto"/>
              <w:ind w:left="250"/>
              <w:rPr>
                <w:sz w:val="22"/>
                <w:szCs w:val="22"/>
              </w:rPr>
            </w:pPr>
            <w:r>
              <w:rPr>
                <w:spacing w:val="-4"/>
                <w:sz w:val="22"/>
                <w:szCs w:val="22"/>
              </w:rPr>
              <w:t>检测项目</w:t>
            </w:r>
          </w:p>
        </w:tc>
        <w:tc>
          <w:tcPr>
            <w:tcW w:w="2018" w:type="dxa"/>
            <w:gridSpan w:val="3"/>
            <w:vAlign w:val="top"/>
          </w:tcPr>
          <w:p w14:paraId="741F388B">
            <w:pPr>
              <w:pStyle w:val="6"/>
              <w:spacing w:before="158" w:line="220" w:lineRule="auto"/>
              <w:ind w:left="580"/>
              <w:rPr>
                <w:sz w:val="22"/>
                <w:szCs w:val="22"/>
              </w:rPr>
            </w:pPr>
            <w:r>
              <w:rPr>
                <w:spacing w:val="-4"/>
                <w:sz w:val="22"/>
                <w:szCs w:val="22"/>
              </w:rPr>
              <w:t>检测点位</w:t>
            </w:r>
          </w:p>
        </w:tc>
        <w:tc>
          <w:tcPr>
            <w:tcW w:w="1762" w:type="dxa"/>
            <w:gridSpan w:val="3"/>
            <w:vAlign w:val="top"/>
          </w:tcPr>
          <w:p w14:paraId="1203650F">
            <w:pPr>
              <w:pStyle w:val="6"/>
              <w:spacing w:before="33" w:line="222" w:lineRule="auto"/>
              <w:ind w:left="684" w:right="135" w:hanging="571"/>
              <w:rPr>
                <w:rFonts w:ascii="Times New Roman" w:hAnsi="Times New Roman" w:eastAsia="Times New Roman" w:cs="Times New Roman"/>
                <w:sz w:val="14"/>
                <w:szCs w:val="14"/>
              </w:rPr>
            </w:pPr>
            <w:r>
              <w:rPr>
                <w:spacing w:val="-5"/>
                <w:sz w:val="22"/>
                <w:szCs w:val="22"/>
              </w:rPr>
              <w:t>检测结果平均值</w:t>
            </w:r>
            <w:r>
              <w:rPr>
                <w:rFonts w:ascii="Times New Roman" w:hAnsi="Times New Roman" w:eastAsia="Times New Roman" w:cs="Times New Roman"/>
                <w:spacing w:val="-3"/>
                <w:position w:val="-1"/>
                <w:sz w:val="22"/>
                <w:szCs w:val="22"/>
              </w:rPr>
              <w:t>g/m</w:t>
            </w:r>
            <w:r>
              <w:rPr>
                <w:rFonts w:ascii="Times New Roman" w:hAnsi="Times New Roman" w:eastAsia="Times New Roman" w:cs="Times New Roman"/>
                <w:spacing w:val="-3"/>
                <w:position w:val="6"/>
                <w:sz w:val="14"/>
                <w:szCs w:val="14"/>
              </w:rPr>
              <w:t>3</w:t>
            </w:r>
          </w:p>
        </w:tc>
        <w:tc>
          <w:tcPr>
            <w:tcW w:w="1395" w:type="dxa"/>
            <w:gridSpan w:val="2"/>
            <w:vAlign w:val="top"/>
          </w:tcPr>
          <w:p w14:paraId="50458F14">
            <w:pPr>
              <w:pStyle w:val="6"/>
              <w:spacing w:before="33" w:line="220" w:lineRule="auto"/>
              <w:ind w:left="276"/>
              <w:rPr>
                <w:sz w:val="22"/>
                <w:szCs w:val="22"/>
              </w:rPr>
            </w:pPr>
            <w:r>
              <w:rPr>
                <w:spacing w:val="-5"/>
                <w:sz w:val="22"/>
                <w:szCs w:val="22"/>
              </w:rPr>
              <w:t>标准限值</w:t>
            </w:r>
          </w:p>
          <w:p w14:paraId="23BB0C90">
            <w:pPr>
              <w:spacing w:before="24" w:line="201" w:lineRule="auto"/>
              <w:ind w:left="502"/>
              <w:rPr>
                <w:rFonts w:ascii="Times New Roman" w:hAnsi="Times New Roman" w:eastAsia="Times New Roman" w:cs="Times New Roman"/>
                <w:sz w:val="14"/>
                <w:szCs w:val="14"/>
              </w:rPr>
            </w:pPr>
            <w:r>
              <w:rPr>
                <w:rFonts w:ascii="Times New Roman" w:hAnsi="Times New Roman" w:eastAsia="Times New Roman" w:cs="Times New Roman"/>
                <w:spacing w:val="-3"/>
                <w:position w:val="-1"/>
                <w:sz w:val="22"/>
                <w:szCs w:val="22"/>
              </w:rPr>
              <w:t>g/m</w:t>
            </w:r>
            <w:r>
              <w:rPr>
                <w:rFonts w:ascii="Times New Roman" w:hAnsi="Times New Roman" w:eastAsia="Times New Roman" w:cs="Times New Roman"/>
                <w:spacing w:val="-3"/>
                <w:position w:val="6"/>
                <w:sz w:val="14"/>
                <w:szCs w:val="14"/>
              </w:rPr>
              <w:t>3</w:t>
            </w:r>
          </w:p>
        </w:tc>
        <w:tc>
          <w:tcPr>
            <w:tcW w:w="1383" w:type="dxa"/>
            <w:gridSpan w:val="2"/>
            <w:vAlign w:val="top"/>
          </w:tcPr>
          <w:p w14:paraId="16A507E4">
            <w:pPr>
              <w:pStyle w:val="6"/>
              <w:spacing w:before="157" w:line="221" w:lineRule="auto"/>
              <w:ind w:left="274"/>
              <w:rPr>
                <w:sz w:val="22"/>
                <w:szCs w:val="22"/>
              </w:rPr>
            </w:pPr>
            <w:r>
              <w:rPr>
                <w:spacing w:val="-5"/>
                <w:sz w:val="22"/>
                <w:szCs w:val="22"/>
              </w:rPr>
              <w:t>是否达标</w:t>
            </w:r>
          </w:p>
        </w:tc>
        <w:tc>
          <w:tcPr>
            <w:tcW w:w="122" w:type="dxa"/>
            <w:tcBorders>
              <w:top w:val="nil"/>
              <w:bottom w:val="nil"/>
              <w:right w:val="single" w:color="000000" w:sz="6" w:space="0"/>
            </w:tcBorders>
            <w:vAlign w:val="top"/>
          </w:tcPr>
          <w:p w14:paraId="556CC297">
            <w:pPr>
              <w:rPr>
                <w:rFonts w:ascii="Arial"/>
                <w:sz w:val="21"/>
              </w:rPr>
            </w:pPr>
          </w:p>
        </w:tc>
      </w:tr>
      <w:tr w14:paraId="56FF0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31" w:type="dxa"/>
            <w:vMerge w:val="continue"/>
            <w:tcBorders>
              <w:top w:val="nil"/>
              <w:left w:val="single" w:color="000000" w:sz="6" w:space="0"/>
              <w:bottom w:val="nil"/>
            </w:tcBorders>
            <w:vAlign w:val="top"/>
          </w:tcPr>
          <w:p w14:paraId="0CBD0B33">
            <w:pPr>
              <w:rPr>
                <w:rFonts w:ascii="Arial"/>
                <w:sz w:val="21"/>
              </w:rPr>
            </w:pPr>
          </w:p>
        </w:tc>
        <w:tc>
          <w:tcPr>
            <w:tcW w:w="113" w:type="dxa"/>
            <w:tcBorders>
              <w:top w:val="nil"/>
              <w:bottom w:val="nil"/>
            </w:tcBorders>
            <w:vAlign w:val="top"/>
          </w:tcPr>
          <w:p w14:paraId="5091D005">
            <w:pPr>
              <w:rPr>
                <w:rFonts w:ascii="Arial"/>
                <w:sz w:val="21"/>
              </w:rPr>
            </w:pPr>
          </w:p>
        </w:tc>
        <w:tc>
          <w:tcPr>
            <w:tcW w:w="1364" w:type="dxa"/>
            <w:gridSpan w:val="2"/>
            <w:vAlign w:val="top"/>
          </w:tcPr>
          <w:p w14:paraId="6E8845E9">
            <w:pPr>
              <w:pStyle w:val="6"/>
              <w:spacing w:before="74" w:line="221" w:lineRule="auto"/>
              <w:ind w:left="145"/>
              <w:rPr>
                <w:sz w:val="22"/>
                <w:szCs w:val="22"/>
              </w:rPr>
            </w:pPr>
            <w:r>
              <w:rPr>
                <w:spacing w:val="-5"/>
                <w:sz w:val="22"/>
                <w:szCs w:val="22"/>
              </w:rPr>
              <w:t>非甲烷总烃</w:t>
            </w:r>
          </w:p>
        </w:tc>
        <w:tc>
          <w:tcPr>
            <w:tcW w:w="2018" w:type="dxa"/>
            <w:gridSpan w:val="3"/>
            <w:vAlign w:val="top"/>
          </w:tcPr>
          <w:p w14:paraId="4D25A83D">
            <w:pPr>
              <w:pStyle w:val="6"/>
              <w:spacing w:before="74" w:line="221" w:lineRule="auto"/>
              <w:ind w:left="152"/>
              <w:rPr>
                <w:sz w:val="22"/>
                <w:szCs w:val="22"/>
              </w:rPr>
            </w:pPr>
            <w:r>
              <w:rPr>
                <w:spacing w:val="-5"/>
                <w:sz w:val="22"/>
                <w:szCs w:val="22"/>
              </w:rPr>
              <w:t>油气处理装置出口</w:t>
            </w:r>
          </w:p>
        </w:tc>
        <w:tc>
          <w:tcPr>
            <w:tcW w:w="1762" w:type="dxa"/>
            <w:gridSpan w:val="3"/>
            <w:vAlign w:val="top"/>
          </w:tcPr>
          <w:p w14:paraId="4EC30E65">
            <w:pPr>
              <w:spacing w:before="112" w:line="189" w:lineRule="auto"/>
              <w:ind w:left="70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6.03</w:t>
            </w:r>
          </w:p>
        </w:tc>
        <w:tc>
          <w:tcPr>
            <w:tcW w:w="1395" w:type="dxa"/>
            <w:gridSpan w:val="2"/>
            <w:vAlign w:val="top"/>
          </w:tcPr>
          <w:p w14:paraId="07AABC9A">
            <w:pPr>
              <w:spacing w:before="112" w:line="189" w:lineRule="auto"/>
              <w:ind w:left="59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25</w:t>
            </w:r>
          </w:p>
        </w:tc>
        <w:tc>
          <w:tcPr>
            <w:tcW w:w="1383" w:type="dxa"/>
            <w:gridSpan w:val="2"/>
            <w:vAlign w:val="top"/>
          </w:tcPr>
          <w:p w14:paraId="7AD99978">
            <w:pPr>
              <w:pStyle w:val="6"/>
              <w:spacing w:before="74" w:line="221" w:lineRule="auto"/>
              <w:ind w:left="485"/>
              <w:rPr>
                <w:sz w:val="22"/>
                <w:szCs w:val="22"/>
              </w:rPr>
            </w:pPr>
            <w:r>
              <w:rPr>
                <w:spacing w:val="-4"/>
                <w:sz w:val="22"/>
                <w:szCs w:val="22"/>
              </w:rPr>
              <w:t>达标</w:t>
            </w:r>
          </w:p>
        </w:tc>
        <w:tc>
          <w:tcPr>
            <w:tcW w:w="122" w:type="dxa"/>
            <w:tcBorders>
              <w:top w:val="nil"/>
              <w:bottom w:val="nil"/>
              <w:right w:val="single" w:color="000000" w:sz="6" w:space="0"/>
            </w:tcBorders>
            <w:vAlign w:val="top"/>
          </w:tcPr>
          <w:p w14:paraId="121D7D30">
            <w:pPr>
              <w:rPr>
                <w:rFonts w:ascii="Arial"/>
                <w:sz w:val="21"/>
              </w:rPr>
            </w:pPr>
          </w:p>
        </w:tc>
      </w:tr>
      <w:tr w14:paraId="2C0C8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831" w:type="dxa"/>
            <w:vMerge w:val="continue"/>
            <w:tcBorders>
              <w:top w:val="nil"/>
              <w:left w:val="single" w:color="000000" w:sz="6" w:space="0"/>
              <w:bottom w:val="nil"/>
            </w:tcBorders>
            <w:vAlign w:val="top"/>
          </w:tcPr>
          <w:p w14:paraId="5975EA58">
            <w:pPr>
              <w:rPr>
                <w:rFonts w:ascii="Arial"/>
                <w:sz w:val="21"/>
              </w:rPr>
            </w:pPr>
          </w:p>
        </w:tc>
        <w:tc>
          <w:tcPr>
            <w:tcW w:w="8157" w:type="dxa"/>
            <w:gridSpan w:val="14"/>
            <w:tcBorders>
              <w:right w:val="single" w:color="000000" w:sz="6" w:space="0"/>
            </w:tcBorders>
            <w:vAlign w:val="top"/>
          </w:tcPr>
          <w:p w14:paraId="5234ED28">
            <w:pPr>
              <w:spacing w:line="261" w:lineRule="auto"/>
              <w:rPr>
                <w:rFonts w:ascii="Arial"/>
                <w:sz w:val="21"/>
              </w:rPr>
            </w:pPr>
          </w:p>
          <w:p w14:paraId="684F5F99">
            <w:pPr>
              <w:spacing w:line="262" w:lineRule="auto"/>
              <w:rPr>
                <w:rFonts w:ascii="Arial"/>
                <w:sz w:val="21"/>
              </w:rPr>
            </w:pPr>
          </w:p>
          <w:p w14:paraId="6B59EE52">
            <w:pPr>
              <w:pStyle w:val="6"/>
              <w:spacing w:before="81" w:line="226" w:lineRule="auto"/>
              <w:ind w:left="2022"/>
            </w:pPr>
            <w:r>
              <w:rPr>
                <w:spacing w:val="6"/>
              </w:rPr>
              <w:t>表</w:t>
            </w:r>
            <w:r>
              <w:rPr>
                <w:spacing w:val="-50"/>
              </w:rPr>
              <w:t xml:space="preserve"> </w:t>
            </w:r>
            <w:r>
              <w:rPr>
                <w:rFonts w:ascii="Times New Roman" w:hAnsi="Times New Roman" w:eastAsia="Times New Roman" w:cs="Times New Roman"/>
                <w:spacing w:val="6"/>
              </w:rPr>
              <w:t xml:space="preserve">2.12-2    </w:t>
            </w:r>
            <w:r>
              <w:rPr>
                <w:spacing w:val="6"/>
              </w:rPr>
              <w:t>油气回收检测结果一览表</w:t>
            </w:r>
          </w:p>
        </w:tc>
      </w:tr>
      <w:tr w14:paraId="5F3D6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831" w:type="dxa"/>
            <w:vMerge w:val="continue"/>
            <w:tcBorders>
              <w:top w:val="nil"/>
              <w:left w:val="single" w:color="000000" w:sz="6" w:space="0"/>
              <w:bottom w:val="nil"/>
            </w:tcBorders>
            <w:vAlign w:val="top"/>
          </w:tcPr>
          <w:p w14:paraId="3A65CF6F">
            <w:pPr>
              <w:rPr>
                <w:rFonts w:ascii="Arial"/>
                <w:sz w:val="21"/>
              </w:rPr>
            </w:pPr>
          </w:p>
        </w:tc>
        <w:tc>
          <w:tcPr>
            <w:tcW w:w="113" w:type="dxa"/>
            <w:tcBorders>
              <w:top w:val="nil"/>
              <w:bottom w:val="nil"/>
            </w:tcBorders>
            <w:vAlign w:val="top"/>
          </w:tcPr>
          <w:p w14:paraId="198B5844">
            <w:pPr>
              <w:rPr>
                <w:rFonts w:ascii="Arial"/>
                <w:sz w:val="21"/>
              </w:rPr>
            </w:pPr>
          </w:p>
        </w:tc>
        <w:tc>
          <w:tcPr>
            <w:tcW w:w="7922" w:type="dxa"/>
            <w:gridSpan w:val="12"/>
            <w:vAlign w:val="top"/>
          </w:tcPr>
          <w:p w14:paraId="66AD5C02">
            <w:pPr>
              <w:pStyle w:val="6"/>
              <w:spacing w:before="76" w:line="220" w:lineRule="auto"/>
              <w:ind w:left="2996"/>
              <w:rPr>
                <w:sz w:val="22"/>
                <w:szCs w:val="22"/>
              </w:rPr>
            </w:pPr>
            <w:r>
              <w:rPr>
                <w:spacing w:val="-4"/>
                <w:sz w:val="22"/>
                <w:szCs w:val="22"/>
              </w:rPr>
              <w:t>检测项目及检测结果</w:t>
            </w:r>
          </w:p>
        </w:tc>
        <w:tc>
          <w:tcPr>
            <w:tcW w:w="122" w:type="dxa"/>
            <w:tcBorders>
              <w:top w:val="nil"/>
              <w:bottom w:val="nil"/>
              <w:right w:val="single" w:color="000000" w:sz="6" w:space="0"/>
            </w:tcBorders>
            <w:vAlign w:val="top"/>
          </w:tcPr>
          <w:p w14:paraId="2AF05CC2">
            <w:pPr>
              <w:rPr>
                <w:rFonts w:ascii="Arial"/>
                <w:sz w:val="21"/>
              </w:rPr>
            </w:pPr>
          </w:p>
        </w:tc>
      </w:tr>
      <w:tr w14:paraId="2DC38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831" w:type="dxa"/>
            <w:vMerge w:val="continue"/>
            <w:tcBorders>
              <w:top w:val="nil"/>
              <w:left w:val="single" w:color="000000" w:sz="6" w:space="0"/>
              <w:bottom w:val="nil"/>
            </w:tcBorders>
            <w:vAlign w:val="top"/>
          </w:tcPr>
          <w:p w14:paraId="06294D8F">
            <w:pPr>
              <w:rPr>
                <w:rFonts w:ascii="Arial"/>
                <w:sz w:val="21"/>
              </w:rPr>
            </w:pPr>
          </w:p>
        </w:tc>
        <w:tc>
          <w:tcPr>
            <w:tcW w:w="113" w:type="dxa"/>
            <w:tcBorders>
              <w:top w:val="nil"/>
              <w:bottom w:val="nil"/>
            </w:tcBorders>
            <w:vAlign w:val="top"/>
          </w:tcPr>
          <w:p w14:paraId="2970DC02">
            <w:pPr>
              <w:rPr>
                <w:rFonts w:ascii="Arial"/>
                <w:sz w:val="21"/>
              </w:rPr>
            </w:pPr>
          </w:p>
        </w:tc>
        <w:tc>
          <w:tcPr>
            <w:tcW w:w="1979" w:type="dxa"/>
            <w:gridSpan w:val="3"/>
            <w:vMerge w:val="restart"/>
            <w:tcBorders>
              <w:bottom w:val="nil"/>
            </w:tcBorders>
            <w:vAlign w:val="top"/>
          </w:tcPr>
          <w:p w14:paraId="0BCFA4AF">
            <w:pPr>
              <w:spacing w:line="295" w:lineRule="auto"/>
              <w:rPr>
                <w:rFonts w:ascii="Arial"/>
                <w:sz w:val="21"/>
              </w:rPr>
            </w:pPr>
          </w:p>
          <w:p w14:paraId="53C66110">
            <w:pPr>
              <w:pStyle w:val="6"/>
              <w:spacing w:before="71" w:line="219" w:lineRule="auto"/>
              <w:ind w:left="452"/>
              <w:rPr>
                <w:sz w:val="22"/>
                <w:szCs w:val="22"/>
              </w:rPr>
            </w:pPr>
            <w:r>
              <w:rPr>
                <w:spacing w:val="-4"/>
                <w:sz w:val="22"/>
                <w:szCs w:val="22"/>
              </w:rPr>
              <w:t>加油机编号</w:t>
            </w:r>
          </w:p>
        </w:tc>
        <w:tc>
          <w:tcPr>
            <w:tcW w:w="5943" w:type="dxa"/>
            <w:gridSpan w:val="9"/>
            <w:vAlign w:val="top"/>
          </w:tcPr>
          <w:p w14:paraId="6FF3ACC6">
            <w:pPr>
              <w:pStyle w:val="6"/>
              <w:spacing w:before="77" w:line="220" w:lineRule="auto"/>
              <w:ind w:left="2103"/>
              <w:rPr>
                <w:sz w:val="22"/>
                <w:szCs w:val="22"/>
              </w:rPr>
            </w:pPr>
            <w:r>
              <w:rPr>
                <w:b/>
                <w:bCs/>
                <w:spacing w:val="-6"/>
                <w:sz w:val="22"/>
                <w:szCs w:val="22"/>
              </w:rPr>
              <w:t>液阻压力值（</w:t>
            </w:r>
            <w:r>
              <w:rPr>
                <w:rFonts w:ascii="Times New Roman" w:hAnsi="Times New Roman" w:eastAsia="Times New Roman" w:cs="Times New Roman"/>
                <w:b/>
                <w:bCs/>
                <w:spacing w:val="-6"/>
                <w:sz w:val="22"/>
                <w:szCs w:val="22"/>
              </w:rPr>
              <w:t>Pa</w:t>
            </w:r>
            <w:r>
              <w:rPr>
                <w:b/>
                <w:bCs/>
                <w:spacing w:val="-6"/>
                <w:sz w:val="22"/>
                <w:szCs w:val="22"/>
              </w:rPr>
              <w:t>）</w:t>
            </w:r>
          </w:p>
        </w:tc>
        <w:tc>
          <w:tcPr>
            <w:tcW w:w="122" w:type="dxa"/>
            <w:tcBorders>
              <w:top w:val="nil"/>
              <w:bottom w:val="nil"/>
              <w:right w:val="single" w:color="000000" w:sz="6" w:space="0"/>
            </w:tcBorders>
            <w:vAlign w:val="top"/>
          </w:tcPr>
          <w:p w14:paraId="6F4CB5D9">
            <w:pPr>
              <w:rPr>
                <w:rFonts w:ascii="Arial"/>
                <w:sz w:val="21"/>
              </w:rPr>
            </w:pPr>
          </w:p>
        </w:tc>
      </w:tr>
      <w:tr w14:paraId="00ED0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vMerge w:val="continue"/>
            <w:tcBorders>
              <w:top w:val="nil"/>
              <w:left w:val="single" w:color="000000" w:sz="6" w:space="0"/>
              <w:bottom w:val="nil"/>
            </w:tcBorders>
            <w:vAlign w:val="top"/>
          </w:tcPr>
          <w:p w14:paraId="6A6B84F7">
            <w:pPr>
              <w:rPr>
                <w:rFonts w:ascii="Arial"/>
                <w:sz w:val="21"/>
              </w:rPr>
            </w:pPr>
          </w:p>
        </w:tc>
        <w:tc>
          <w:tcPr>
            <w:tcW w:w="113" w:type="dxa"/>
            <w:tcBorders>
              <w:top w:val="nil"/>
              <w:bottom w:val="nil"/>
            </w:tcBorders>
            <w:vAlign w:val="top"/>
          </w:tcPr>
          <w:p w14:paraId="2E6C6CA3">
            <w:pPr>
              <w:rPr>
                <w:rFonts w:ascii="Arial"/>
                <w:sz w:val="21"/>
              </w:rPr>
            </w:pPr>
          </w:p>
        </w:tc>
        <w:tc>
          <w:tcPr>
            <w:tcW w:w="1979" w:type="dxa"/>
            <w:gridSpan w:val="3"/>
            <w:vMerge w:val="continue"/>
            <w:tcBorders>
              <w:top w:val="nil"/>
            </w:tcBorders>
            <w:vAlign w:val="top"/>
          </w:tcPr>
          <w:p w14:paraId="0253CD6B">
            <w:pPr>
              <w:rPr>
                <w:rFonts w:ascii="Arial"/>
                <w:sz w:val="21"/>
              </w:rPr>
            </w:pPr>
          </w:p>
        </w:tc>
        <w:tc>
          <w:tcPr>
            <w:tcW w:w="1980" w:type="dxa"/>
            <w:gridSpan w:val="3"/>
            <w:vAlign w:val="top"/>
          </w:tcPr>
          <w:p w14:paraId="0FF5C6A3">
            <w:pPr>
              <w:pStyle w:val="6"/>
              <w:spacing w:before="39" w:line="221" w:lineRule="auto"/>
              <w:ind w:left="506" w:right="476" w:firstLine="55"/>
              <w:rPr>
                <w:sz w:val="22"/>
                <w:szCs w:val="22"/>
              </w:rPr>
            </w:pPr>
            <w:r>
              <w:rPr>
                <w:spacing w:val="-5"/>
                <w:sz w:val="22"/>
                <w:szCs w:val="22"/>
              </w:rPr>
              <w:t>氮气流量</w:t>
            </w:r>
            <w:r>
              <w:rPr>
                <w:rFonts w:ascii="Times New Roman" w:hAnsi="Times New Roman" w:eastAsia="Times New Roman" w:cs="Times New Roman"/>
                <w:spacing w:val="-7"/>
                <w:sz w:val="22"/>
                <w:szCs w:val="22"/>
              </w:rPr>
              <w:t>18L/min</w:t>
            </w:r>
            <w:r>
              <w:rPr>
                <w:rFonts w:ascii="Times New Roman" w:hAnsi="Times New Roman" w:eastAsia="Times New Roman" w:cs="Times New Roman"/>
                <w:spacing w:val="14"/>
                <w:sz w:val="22"/>
                <w:szCs w:val="22"/>
              </w:rPr>
              <w:t xml:space="preserve"> </w:t>
            </w:r>
            <w:r>
              <w:rPr>
                <w:spacing w:val="-7"/>
                <w:sz w:val="22"/>
                <w:szCs w:val="22"/>
              </w:rPr>
              <w:t>时</w:t>
            </w:r>
          </w:p>
        </w:tc>
        <w:tc>
          <w:tcPr>
            <w:tcW w:w="1981" w:type="dxa"/>
            <w:gridSpan w:val="3"/>
            <w:vAlign w:val="top"/>
          </w:tcPr>
          <w:p w14:paraId="17774A5F">
            <w:pPr>
              <w:pStyle w:val="6"/>
              <w:spacing w:before="39" w:line="221" w:lineRule="auto"/>
              <w:ind w:left="518" w:right="504" w:firstLine="47"/>
              <w:rPr>
                <w:sz w:val="22"/>
                <w:szCs w:val="22"/>
              </w:rPr>
            </w:pPr>
            <w:r>
              <w:rPr>
                <w:spacing w:val="-5"/>
                <w:sz w:val="22"/>
                <w:szCs w:val="22"/>
              </w:rPr>
              <w:t>氮气流量</w:t>
            </w:r>
            <w:r>
              <w:rPr>
                <w:rFonts w:ascii="Times New Roman" w:hAnsi="Times New Roman" w:eastAsia="Times New Roman" w:cs="Times New Roman"/>
                <w:spacing w:val="-5"/>
                <w:sz w:val="22"/>
                <w:szCs w:val="22"/>
              </w:rPr>
              <w:t>28Lmin</w:t>
            </w:r>
            <w:r>
              <w:rPr>
                <w:rFonts w:ascii="Times New Roman" w:hAnsi="Times New Roman" w:eastAsia="Times New Roman" w:cs="Times New Roman"/>
                <w:spacing w:val="15"/>
                <w:sz w:val="22"/>
                <w:szCs w:val="22"/>
              </w:rPr>
              <w:t xml:space="preserve"> </w:t>
            </w:r>
            <w:r>
              <w:rPr>
                <w:spacing w:val="-5"/>
                <w:sz w:val="22"/>
                <w:szCs w:val="22"/>
              </w:rPr>
              <w:t>时</w:t>
            </w:r>
          </w:p>
        </w:tc>
        <w:tc>
          <w:tcPr>
            <w:tcW w:w="1982" w:type="dxa"/>
            <w:gridSpan w:val="3"/>
            <w:vAlign w:val="top"/>
          </w:tcPr>
          <w:p w14:paraId="7EB32A0F">
            <w:pPr>
              <w:pStyle w:val="6"/>
              <w:spacing w:before="39" w:line="221" w:lineRule="auto"/>
              <w:ind w:left="495" w:right="472" w:firstLine="74"/>
              <w:rPr>
                <w:sz w:val="22"/>
                <w:szCs w:val="22"/>
              </w:rPr>
            </w:pPr>
            <w:r>
              <w:rPr>
                <w:spacing w:val="-5"/>
                <w:sz w:val="22"/>
                <w:szCs w:val="22"/>
              </w:rPr>
              <w:t>氮气流量</w:t>
            </w:r>
            <w:r>
              <w:rPr>
                <w:rFonts w:ascii="Times New Roman" w:hAnsi="Times New Roman" w:eastAsia="Times New Roman" w:cs="Times New Roman"/>
                <w:spacing w:val="-5"/>
                <w:sz w:val="22"/>
                <w:szCs w:val="22"/>
              </w:rPr>
              <w:t>38L/min</w:t>
            </w:r>
            <w:r>
              <w:rPr>
                <w:rFonts w:ascii="Times New Roman" w:hAnsi="Times New Roman" w:eastAsia="Times New Roman" w:cs="Times New Roman"/>
                <w:spacing w:val="14"/>
                <w:w w:val="101"/>
                <w:sz w:val="22"/>
                <w:szCs w:val="22"/>
              </w:rPr>
              <w:t xml:space="preserve"> </w:t>
            </w:r>
            <w:r>
              <w:rPr>
                <w:spacing w:val="-5"/>
                <w:sz w:val="22"/>
                <w:szCs w:val="22"/>
              </w:rPr>
              <w:t>时</w:t>
            </w:r>
          </w:p>
        </w:tc>
        <w:tc>
          <w:tcPr>
            <w:tcW w:w="122" w:type="dxa"/>
            <w:tcBorders>
              <w:top w:val="nil"/>
              <w:bottom w:val="nil"/>
              <w:right w:val="single" w:color="000000" w:sz="6" w:space="0"/>
            </w:tcBorders>
            <w:vAlign w:val="top"/>
          </w:tcPr>
          <w:p w14:paraId="03AC9B9F">
            <w:pPr>
              <w:rPr>
                <w:rFonts w:ascii="Arial"/>
                <w:sz w:val="21"/>
              </w:rPr>
            </w:pPr>
          </w:p>
        </w:tc>
      </w:tr>
      <w:tr w14:paraId="7CC07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31" w:type="dxa"/>
            <w:vMerge w:val="continue"/>
            <w:tcBorders>
              <w:top w:val="nil"/>
              <w:left w:val="single" w:color="000000" w:sz="6" w:space="0"/>
              <w:bottom w:val="nil"/>
            </w:tcBorders>
            <w:vAlign w:val="top"/>
          </w:tcPr>
          <w:p w14:paraId="44E042C2">
            <w:pPr>
              <w:rPr>
                <w:rFonts w:ascii="Arial"/>
                <w:sz w:val="21"/>
              </w:rPr>
            </w:pPr>
          </w:p>
        </w:tc>
        <w:tc>
          <w:tcPr>
            <w:tcW w:w="113" w:type="dxa"/>
            <w:tcBorders>
              <w:top w:val="nil"/>
              <w:bottom w:val="nil"/>
            </w:tcBorders>
            <w:vAlign w:val="top"/>
          </w:tcPr>
          <w:p w14:paraId="5EBFEDED">
            <w:pPr>
              <w:rPr>
                <w:rFonts w:ascii="Arial"/>
                <w:sz w:val="21"/>
              </w:rPr>
            </w:pPr>
          </w:p>
        </w:tc>
        <w:tc>
          <w:tcPr>
            <w:tcW w:w="1979" w:type="dxa"/>
            <w:gridSpan w:val="3"/>
            <w:vAlign w:val="top"/>
          </w:tcPr>
          <w:p w14:paraId="2109DD30">
            <w:pPr>
              <w:spacing w:before="114" w:line="189" w:lineRule="auto"/>
              <w:ind w:left="841"/>
              <w:rPr>
                <w:rFonts w:ascii="Times New Roman" w:hAnsi="Times New Roman" w:eastAsia="Times New Roman" w:cs="Times New Roman"/>
                <w:sz w:val="22"/>
                <w:szCs w:val="22"/>
              </w:rPr>
            </w:pPr>
            <w:r>
              <w:rPr>
                <w:rFonts w:ascii="Times New Roman" w:hAnsi="Times New Roman" w:eastAsia="Times New Roman" w:cs="Times New Roman"/>
                <w:spacing w:val="-10"/>
                <w:sz w:val="22"/>
                <w:szCs w:val="22"/>
              </w:rPr>
              <w:t>1~3</w:t>
            </w:r>
          </w:p>
        </w:tc>
        <w:tc>
          <w:tcPr>
            <w:tcW w:w="1980" w:type="dxa"/>
            <w:gridSpan w:val="3"/>
            <w:vAlign w:val="top"/>
          </w:tcPr>
          <w:p w14:paraId="3A670B38">
            <w:pPr>
              <w:spacing w:before="114" w:line="189" w:lineRule="auto"/>
              <w:ind w:left="760"/>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16-20</w:t>
            </w:r>
          </w:p>
        </w:tc>
        <w:tc>
          <w:tcPr>
            <w:tcW w:w="1981" w:type="dxa"/>
            <w:gridSpan w:val="3"/>
            <w:vAlign w:val="top"/>
          </w:tcPr>
          <w:p w14:paraId="1327D00B">
            <w:pPr>
              <w:spacing w:before="114" w:line="189" w:lineRule="auto"/>
              <w:ind w:left="74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21-26</w:t>
            </w:r>
          </w:p>
        </w:tc>
        <w:tc>
          <w:tcPr>
            <w:tcW w:w="1982" w:type="dxa"/>
            <w:gridSpan w:val="3"/>
            <w:vAlign w:val="top"/>
          </w:tcPr>
          <w:p w14:paraId="08001BE3">
            <w:pPr>
              <w:spacing w:before="114" w:line="189" w:lineRule="auto"/>
              <w:ind w:left="74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28-38</w:t>
            </w:r>
          </w:p>
        </w:tc>
        <w:tc>
          <w:tcPr>
            <w:tcW w:w="122" w:type="dxa"/>
            <w:tcBorders>
              <w:top w:val="nil"/>
              <w:bottom w:val="nil"/>
              <w:right w:val="single" w:color="000000" w:sz="6" w:space="0"/>
            </w:tcBorders>
            <w:vAlign w:val="top"/>
          </w:tcPr>
          <w:p w14:paraId="0A628ECD">
            <w:pPr>
              <w:rPr>
                <w:rFonts w:ascii="Arial"/>
                <w:sz w:val="21"/>
              </w:rPr>
            </w:pPr>
          </w:p>
        </w:tc>
      </w:tr>
      <w:tr w14:paraId="40701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831" w:type="dxa"/>
            <w:vMerge w:val="continue"/>
            <w:tcBorders>
              <w:top w:val="nil"/>
              <w:left w:val="single" w:color="000000" w:sz="6" w:space="0"/>
              <w:bottom w:val="nil"/>
            </w:tcBorders>
            <w:vAlign w:val="top"/>
          </w:tcPr>
          <w:p w14:paraId="2AEE42AF">
            <w:pPr>
              <w:rPr>
                <w:rFonts w:ascii="Arial"/>
                <w:sz w:val="21"/>
              </w:rPr>
            </w:pPr>
          </w:p>
        </w:tc>
        <w:tc>
          <w:tcPr>
            <w:tcW w:w="113" w:type="dxa"/>
            <w:tcBorders>
              <w:top w:val="nil"/>
              <w:bottom w:val="nil"/>
            </w:tcBorders>
            <w:vAlign w:val="top"/>
          </w:tcPr>
          <w:p w14:paraId="1E3C85C1">
            <w:pPr>
              <w:rPr>
                <w:rFonts w:ascii="Arial"/>
                <w:sz w:val="21"/>
              </w:rPr>
            </w:pPr>
          </w:p>
        </w:tc>
        <w:tc>
          <w:tcPr>
            <w:tcW w:w="1979" w:type="dxa"/>
            <w:gridSpan w:val="3"/>
            <w:vAlign w:val="top"/>
          </w:tcPr>
          <w:p w14:paraId="36374ABA">
            <w:pPr>
              <w:pStyle w:val="6"/>
              <w:spacing w:before="76" w:line="220" w:lineRule="auto"/>
              <w:ind w:left="668"/>
              <w:rPr>
                <w:sz w:val="22"/>
                <w:szCs w:val="22"/>
              </w:rPr>
            </w:pPr>
            <w:r>
              <w:rPr>
                <w:spacing w:val="-5"/>
                <w:sz w:val="22"/>
                <w:szCs w:val="22"/>
              </w:rPr>
              <w:t>标准值</w:t>
            </w:r>
          </w:p>
        </w:tc>
        <w:tc>
          <w:tcPr>
            <w:tcW w:w="1980" w:type="dxa"/>
            <w:gridSpan w:val="3"/>
            <w:vAlign w:val="top"/>
          </w:tcPr>
          <w:p w14:paraId="35CE8E7B">
            <w:pPr>
              <w:spacing w:before="114" w:line="189" w:lineRule="auto"/>
              <w:ind w:left="8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w:t>
            </w:r>
          </w:p>
        </w:tc>
        <w:tc>
          <w:tcPr>
            <w:tcW w:w="1981" w:type="dxa"/>
            <w:gridSpan w:val="3"/>
            <w:vAlign w:val="top"/>
          </w:tcPr>
          <w:p w14:paraId="52B25929">
            <w:pPr>
              <w:spacing w:before="114" w:line="189" w:lineRule="auto"/>
              <w:ind w:left="89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90</w:t>
            </w:r>
          </w:p>
        </w:tc>
        <w:tc>
          <w:tcPr>
            <w:tcW w:w="1982" w:type="dxa"/>
            <w:gridSpan w:val="3"/>
            <w:vAlign w:val="top"/>
          </w:tcPr>
          <w:p w14:paraId="454FD3D1">
            <w:pPr>
              <w:spacing w:before="114" w:line="189" w:lineRule="auto"/>
              <w:ind w:left="858"/>
              <w:rPr>
                <w:rFonts w:ascii="Times New Roman" w:hAnsi="Times New Roman" w:eastAsia="Times New Roman" w:cs="Times New Roman"/>
                <w:sz w:val="22"/>
                <w:szCs w:val="22"/>
              </w:rPr>
            </w:pPr>
            <w:r>
              <w:rPr>
                <w:rFonts w:ascii="Times New Roman" w:hAnsi="Times New Roman" w:eastAsia="Times New Roman" w:cs="Times New Roman"/>
                <w:spacing w:val="-10"/>
                <w:sz w:val="22"/>
                <w:szCs w:val="22"/>
              </w:rPr>
              <w:t>155</w:t>
            </w:r>
          </w:p>
        </w:tc>
        <w:tc>
          <w:tcPr>
            <w:tcW w:w="122" w:type="dxa"/>
            <w:tcBorders>
              <w:top w:val="nil"/>
              <w:bottom w:val="nil"/>
              <w:right w:val="single" w:color="000000" w:sz="6" w:space="0"/>
            </w:tcBorders>
            <w:vAlign w:val="top"/>
          </w:tcPr>
          <w:p w14:paraId="7840DC53">
            <w:pPr>
              <w:rPr>
                <w:rFonts w:ascii="Arial"/>
                <w:sz w:val="21"/>
              </w:rPr>
            </w:pPr>
          </w:p>
        </w:tc>
      </w:tr>
      <w:tr w14:paraId="62F66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31" w:type="dxa"/>
            <w:vMerge w:val="continue"/>
            <w:tcBorders>
              <w:top w:val="nil"/>
              <w:left w:val="single" w:color="000000" w:sz="6" w:space="0"/>
              <w:bottom w:val="nil"/>
            </w:tcBorders>
            <w:vAlign w:val="top"/>
          </w:tcPr>
          <w:p w14:paraId="17A74FA8">
            <w:pPr>
              <w:rPr>
                <w:rFonts w:ascii="Arial"/>
                <w:sz w:val="21"/>
              </w:rPr>
            </w:pPr>
          </w:p>
        </w:tc>
        <w:tc>
          <w:tcPr>
            <w:tcW w:w="113" w:type="dxa"/>
            <w:tcBorders>
              <w:top w:val="nil"/>
              <w:bottom w:val="nil"/>
            </w:tcBorders>
            <w:vAlign w:val="top"/>
          </w:tcPr>
          <w:p w14:paraId="3778519B">
            <w:pPr>
              <w:rPr>
                <w:rFonts w:ascii="Arial"/>
                <w:sz w:val="21"/>
              </w:rPr>
            </w:pPr>
          </w:p>
        </w:tc>
        <w:tc>
          <w:tcPr>
            <w:tcW w:w="1979" w:type="dxa"/>
            <w:gridSpan w:val="3"/>
            <w:vAlign w:val="top"/>
          </w:tcPr>
          <w:p w14:paraId="45F2156B">
            <w:pPr>
              <w:spacing w:before="111" w:line="193" w:lineRule="auto"/>
              <w:ind w:left="95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5943" w:type="dxa"/>
            <w:gridSpan w:val="9"/>
            <w:vAlign w:val="top"/>
          </w:tcPr>
          <w:p w14:paraId="73C490C3">
            <w:pPr>
              <w:pStyle w:val="6"/>
              <w:spacing w:before="77" w:line="222" w:lineRule="auto"/>
              <w:ind w:left="2321"/>
              <w:rPr>
                <w:sz w:val="22"/>
                <w:szCs w:val="22"/>
              </w:rPr>
            </w:pPr>
            <w:r>
              <w:rPr>
                <w:b/>
                <w:bCs/>
                <w:spacing w:val="-5"/>
                <w:sz w:val="22"/>
                <w:szCs w:val="22"/>
              </w:rPr>
              <w:t>密闭性（</w:t>
            </w:r>
            <w:r>
              <w:rPr>
                <w:rFonts w:ascii="Times New Roman" w:hAnsi="Times New Roman" w:eastAsia="Times New Roman" w:cs="Times New Roman"/>
                <w:b/>
                <w:bCs/>
                <w:spacing w:val="-5"/>
                <w:sz w:val="22"/>
                <w:szCs w:val="22"/>
              </w:rPr>
              <w:t>Pa</w:t>
            </w:r>
            <w:r>
              <w:rPr>
                <w:b/>
                <w:bCs/>
                <w:spacing w:val="-5"/>
                <w:sz w:val="22"/>
                <w:szCs w:val="22"/>
              </w:rPr>
              <w:t>）</w:t>
            </w:r>
          </w:p>
        </w:tc>
        <w:tc>
          <w:tcPr>
            <w:tcW w:w="122" w:type="dxa"/>
            <w:tcBorders>
              <w:top w:val="nil"/>
              <w:bottom w:val="nil"/>
              <w:right w:val="single" w:color="000000" w:sz="6" w:space="0"/>
            </w:tcBorders>
            <w:vAlign w:val="top"/>
          </w:tcPr>
          <w:p w14:paraId="0648D54C">
            <w:pPr>
              <w:rPr>
                <w:rFonts w:ascii="Arial"/>
                <w:sz w:val="21"/>
              </w:rPr>
            </w:pPr>
          </w:p>
        </w:tc>
      </w:tr>
      <w:tr w14:paraId="515CA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831" w:type="dxa"/>
            <w:vMerge w:val="continue"/>
            <w:tcBorders>
              <w:top w:val="nil"/>
              <w:left w:val="single" w:color="000000" w:sz="6" w:space="0"/>
              <w:bottom w:val="nil"/>
            </w:tcBorders>
            <w:vAlign w:val="top"/>
          </w:tcPr>
          <w:p w14:paraId="6ED29F64">
            <w:pPr>
              <w:rPr>
                <w:rFonts w:ascii="Arial"/>
                <w:sz w:val="21"/>
              </w:rPr>
            </w:pPr>
          </w:p>
        </w:tc>
        <w:tc>
          <w:tcPr>
            <w:tcW w:w="113" w:type="dxa"/>
            <w:tcBorders>
              <w:top w:val="nil"/>
              <w:bottom w:val="nil"/>
            </w:tcBorders>
            <w:vAlign w:val="top"/>
          </w:tcPr>
          <w:p w14:paraId="717C0029">
            <w:pPr>
              <w:rPr>
                <w:rFonts w:ascii="Arial"/>
                <w:sz w:val="21"/>
              </w:rPr>
            </w:pPr>
          </w:p>
        </w:tc>
        <w:tc>
          <w:tcPr>
            <w:tcW w:w="1979" w:type="dxa"/>
            <w:gridSpan w:val="3"/>
            <w:vAlign w:val="top"/>
          </w:tcPr>
          <w:p w14:paraId="6CD4EC15">
            <w:pPr>
              <w:pStyle w:val="6"/>
              <w:spacing w:before="78" w:line="220" w:lineRule="auto"/>
              <w:ind w:left="668"/>
              <w:rPr>
                <w:sz w:val="22"/>
                <w:szCs w:val="22"/>
              </w:rPr>
            </w:pPr>
            <w:r>
              <w:rPr>
                <w:spacing w:val="-4"/>
                <w:sz w:val="22"/>
                <w:szCs w:val="22"/>
              </w:rPr>
              <w:t>检测值</w:t>
            </w:r>
          </w:p>
        </w:tc>
        <w:tc>
          <w:tcPr>
            <w:tcW w:w="5943" w:type="dxa"/>
            <w:gridSpan w:val="9"/>
            <w:vAlign w:val="top"/>
          </w:tcPr>
          <w:p w14:paraId="1A2E4B0A">
            <w:pPr>
              <w:spacing w:before="116" w:line="189" w:lineRule="auto"/>
              <w:ind w:left="281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498</w:t>
            </w:r>
          </w:p>
        </w:tc>
        <w:tc>
          <w:tcPr>
            <w:tcW w:w="122" w:type="dxa"/>
            <w:tcBorders>
              <w:top w:val="nil"/>
              <w:bottom w:val="nil"/>
              <w:right w:val="single" w:color="000000" w:sz="6" w:space="0"/>
            </w:tcBorders>
            <w:vAlign w:val="top"/>
          </w:tcPr>
          <w:p w14:paraId="3CFB62D9">
            <w:pPr>
              <w:rPr>
                <w:rFonts w:ascii="Arial"/>
                <w:sz w:val="21"/>
              </w:rPr>
            </w:pPr>
          </w:p>
        </w:tc>
      </w:tr>
      <w:tr w14:paraId="1B9C0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31" w:type="dxa"/>
            <w:vMerge w:val="continue"/>
            <w:tcBorders>
              <w:top w:val="nil"/>
              <w:left w:val="single" w:color="000000" w:sz="6" w:space="0"/>
              <w:bottom w:val="nil"/>
            </w:tcBorders>
            <w:vAlign w:val="top"/>
          </w:tcPr>
          <w:p w14:paraId="7F643AA2">
            <w:pPr>
              <w:rPr>
                <w:rFonts w:ascii="Arial"/>
                <w:sz w:val="21"/>
              </w:rPr>
            </w:pPr>
          </w:p>
        </w:tc>
        <w:tc>
          <w:tcPr>
            <w:tcW w:w="113" w:type="dxa"/>
            <w:tcBorders>
              <w:top w:val="nil"/>
              <w:bottom w:val="nil"/>
            </w:tcBorders>
            <w:vAlign w:val="top"/>
          </w:tcPr>
          <w:p w14:paraId="7D9B4A9F">
            <w:pPr>
              <w:rPr>
                <w:rFonts w:ascii="Arial"/>
                <w:sz w:val="21"/>
              </w:rPr>
            </w:pPr>
          </w:p>
        </w:tc>
        <w:tc>
          <w:tcPr>
            <w:tcW w:w="1979" w:type="dxa"/>
            <w:gridSpan w:val="3"/>
            <w:vAlign w:val="top"/>
          </w:tcPr>
          <w:p w14:paraId="74342C25">
            <w:pPr>
              <w:pStyle w:val="6"/>
              <w:spacing w:before="79" w:line="220" w:lineRule="auto"/>
              <w:ind w:left="668"/>
              <w:rPr>
                <w:sz w:val="22"/>
                <w:szCs w:val="22"/>
              </w:rPr>
            </w:pPr>
            <w:r>
              <w:rPr>
                <w:spacing w:val="-5"/>
                <w:sz w:val="22"/>
                <w:szCs w:val="22"/>
              </w:rPr>
              <w:t>标准值</w:t>
            </w:r>
          </w:p>
        </w:tc>
        <w:tc>
          <w:tcPr>
            <w:tcW w:w="5943" w:type="dxa"/>
            <w:gridSpan w:val="9"/>
            <w:vAlign w:val="top"/>
          </w:tcPr>
          <w:p w14:paraId="204C38E8">
            <w:pPr>
              <w:pStyle w:val="6"/>
              <w:spacing w:before="79" w:line="213" w:lineRule="auto"/>
              <w:ind w:left="1062"/>
              <w:rPr>
                <w:rFonts w:ascii="Times New Roman" w:hAnsi="Times New Roman" w:eastAsia="Times New Roman" w:cs="Times New Roman"/>
                <w:sz w:val="22"/>
                <w:szCs w:val="22"/>
              </w:rPr>
            </w:pPr>
            <w:r>
              <w:rPr>
                <w:spacing w:val="-4"/>
                <w:sz w:val="22"/>
                <w:szCs w:val="22"/>
              </w:rPr>
              <w:t>最小剩余压力值</w:t>
            </w:r>
            <w:r>
              <w:rPr>
                <w:spacing w:val="-42"/>
                <w:sz w:val="22"/>
                <w:szCs w:val="22"/>
              </w:rPr>
              <w:t xml:space="preserve"> </w:t>
            </w:r>
            <w:r>
              <w:rPr>
                <w:rFonts w:ascii="Times New Roman" w:hAnsi="Times New Roman" w:eastAsia="Times New Roman" w:cs="Times New Roman"/>
                <w:spacing w:val="-4"/>
                <w:sz w:val="22"/>
                <w:szCs w:val="22"/>
              </w:rPr>
              <w:t>462(</w:t>
            </w:r>
            <w:r>
              <w:rPr>
                <w:spacing w:val="-4"/>
                <w:sz w:val="22"/>
                <w:szCs w:val="22"/>
              </w:rPr>
              <w:t>油气总空间</w:t>
            </w:r>
            <w:r>
              <w:rPr>
                <w:spacing w:val="-56"/>
                <w:sz w:val="22"/>
                <w:szCs w:val="22"/>
              </w:rPr>
              <w:t xml:space="preserve"> </w:t>
            </w:r>
            <w:r>
              <w:rPr>
                <w:rFonts w:ascii="Times New Roman" w:hAnsi="Times New Roman" w:eastAsia="Times New Roman" w:cs="Times New Roman"/>
                <w:spacing w:val="-4"/>
                <w:sz w:val="22"/>
                <w:szCs w:val="22"/>
              </w:rPr>
              <w:t>26981L)</w:t>
            </w:r>
          </w:p>
        </w:tc>
        <w:tc>
          <w:tcPr>
            <w:tcW w:w="122" w:type="dxa"/>
            <w:tcBorders>
              <w:top w:val="nil"/>
              <w:bottom w:val="nil"/>
              <w:right w:val="single" w:color="000000" w:sz="6" w:space="0"/>
            </w:tcBorders>
            <w:vAlign w:val="top"/>
          </w:tcPr>
          <w:p w14:paraId="162880A9">
            <w:pPr>
              <w:rPr>
                <w:rFonts w:ascii="Arial"/>
                <w:sz w:val="21"/>
              </w:rPr>
            </w:pPr>
          </w:p>
        </w:tc>
      </w:tr>
      <w:tr w14:paraId="5A589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31" w:type="dxa"/>
            <w:vMerge w:val="continue"/>
            <w:tcBorders>
              <w:top w:val="nil"/>
              <w:left w:val="single" w:color="000000" w:sz="6" w:space="0"/>
              <w:bottom w:val="nil"/>
            </w:tcBorders>
            <w:vAlign w:val="top"/>
          </w:tcPr>
          <w:p w14:paraId="08416A55">
            <w:pPr>
              <w:rPr>
                <w:rFonts w:ascii="Arial"/>
                <w:sz w:val="21"/>
              </w:rPr>
            </w:pPr>
          </w:p>
        </w:tc>
        <w:tc>
          <w:tcPr>
            <w:tcW w:w="113" w:type="dxa"/>
            <w:tcBorders>
              <w:top w:val="nil"/>
              <w:bottom w:val="nil"/>
            </w:tcBorders>
            <w:vAlign w:val="top"/>
          </w:tcPr>
          <w:p w14:paraId="1BE54BEE">
            <w:pPr>
              <w:rPr>
                <w:rFonts w:ascii="Arial"/>
                <w:sz w:val="21"/>
              </w:rPr>
            </w:pPr>
          </w:p>
        </w:tc>
        <w:tc>
          <w:tcPr>
            <w:tcW w:w="1979" w:type="dxa"/>
            <w:gridSpan w:val="3"/>
            <w:vAlign w:val="top"/>
          </w:tcPr>
          <w:p w14:paraId="04637442">
            <w:pPr>
              <w:pStyle w:val="6"/>
              <w:spacing w:before="79" w:line="220" w:lineRule="auto"/>
              <w:ind w:left="452"/>
              <w:rPr>
                <w:sz w:val="22"/>
                <w:szCs w:val="22"/>
              </w:rPr>
            </w:pPr>
            <w:r>
              <w:rPr>
                <w:spacing w:val="-4"/>
                <w:sz w:val="22"/>
                <w:szCs w:val="22"/>
              </w:rPr>
              <w:t>加油枪编号</w:t>
            </w:r>
          </w:p>
        </w:tc>
        <w:tc>
          <w:tcPr>
            <w:tcW w:w="5943" w:type="dxa"/>
            <w:gridSpan w:val="9"/>
            <w:vAlign w:val="top"/>
          </w:tcPr>
          <w:p w14:paraId="6E864A20">
            <w:pPr>
              <w:pStyle w:val="6"/>
              <w:spacing w:before="79" w:line="221" w:lineRule="auto"/>
              <w:ind w:left="2654"/>
              <w:rPr>
                <w:sz w:val="22"/>
                <w:szCs w:val="22"/>
              </w:rPr>
            </w:pPr>
            <w:r>
              <w:rPr>
                <w:b/>
                <w:bCs/>
                <w:spacing w:val="-7"/>
                <w:sz w:val="22"/>
                <w:szCs w:val="22"/>
              </w:rPr>
              <w:t>气液比</w:t>
            </w:r>
          </w:p>
        </w:tc>
        <w:tc>
          <w:tcPr>
            <w:tcW w:w="122" w:type="dxa"/>
            <w:tcBorders>
              <w:top w:val="nil"/>
              <w:bottom w:val="nil"/>
              <w:right w:val="single" w:color="000000" w:sz="6" w:space="0"/>
            </w:tcBorders>
            <w:vAlign w:val="top"/>
          </w:tcPr>
          <w:p w14:paraId="3ECBD77C">
            <w:pPr>
              <w:rPr>
                <w:rFonts w:ascii="Arial"/>
                <w:sz w:val="21"/>
              </w:rPr>
            </w:pPr>
          </w:p>
        </w:tc>
      </w:tr>
      <w:tr w14:paraId="14474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31" w:type="dxa"/>
            <w:vMerge w:val="continue"/>
            <w:tcBorders>
              <w:top w:val="nil"/>
              <w:left w:val="single" w:color="000000" w:sz="6" w:space="0"/>
              <w:bottom w:val="nil"/>
            </w:tcBorders>
            <w:vAlign w:val="top"/>
          </w:tcPr>
          <w:p w14:paraId="50EE6223">
            <w:pPr>
              <w:rPr>
                <w:rFonts w:ascii="Arial"/>
                <w:sz w:val="21"/>
              </w:rPr>
            </w:pPr>
          </w:p>
        </w:tc>
        <w:tc>
          <w:tcPr>
            <w:tcW w:w="113" w:type="dxa"/>
            <w:tcBorders>
              <w:top w:val="nil"/>
              <w:bottom w:val="nil"/>
            </w:tcBorders>
            <w:vAlign w:val="top"/>
          </w:tcPr>
          <w:p w14:paraId="4E48CFB9">
            <w:pPr>
              <w:rPr>
                <w:rFonts w:ascii="Arial"/>
                <w:sz w:val="21"/>
              </w:rPr>
            </w:pPr>
          </w:p>
        </w:tc>
        <w:tc>
          <w:tcPr>
            <w:tcW w:w="1979" w:type="dxa"/>
            <w:gridSpan w:val="3"/>
            <w:vAlign w:val="top"/>
          </w:tcPr>
          <w:p w14:paraId="028633BD">
            <w:pPr>
              <w:spacing w:before="117" w:line="189" w:lineRule="auto"/>
              <w:ind w:left="788"/>
              <w:rPr>
                <w:rFonts w:ascii="Times New Roman" w:hAnsi="Times New Roman" w:eastAsia="Times New Roman" w:cs="Times New Roman"/>
                <w:sz w:val="22"/>
                <w:szCs w:val="22"/>
              </w:rPr>
            </w:pPr>
            <w:r>
              <w:rPr>
                <w:rFonts w:ascii="Times New Roman" w:hAnsi="Times New Roman" w:eastAsia="Times New Roman" w:cs="Times New Roman"/>
                <w:spacing w:val="-14"/>
                <w:sz w:val="22"/>
                <w:szCs w:val="22"/>
              </w:rPr>
              <w:t>1~</w:t>
            </w:r>
            <w:r>
              <w:rPr>
                <w:rFonts w:ascii="Times New Roman" w:hAnsi="Times New Roman" w:eastAsia="Times New Roman" w:cs="Times New Roman"/>
                <w:spacing w:val="-29"/>
                <w:sz w:val="22"/>
                <w:szCs w:val="22"/>
              </w:rPr>
              <w:t xml:space="preserve"> </w:t>
            </w:r>
            <w:r>
              <w:rPr>
                <w:rFonts w:ascii="Times New Roman" w:hAnsi="Times New Roman" w:eastAsia="Times New Roman" w:cs="Times New Roman"/>
                <w:spacing w:val="-14"/>
                <w:sz w:val="22"/>
                <w:szCs w:val="22"/>
              </w:rPr>
              <w:t>18</w:t>
            </w:r>
          </w:p>
        </w:tc>
        <w:tc>
          <w:tcPr>
            <w:tcW w:w="5943" w:type="dxa"/>
            <w:gridSpan w:val="9"/>
            <w:vAlign w:val="top"/>
          </w:tcPr>
          <w:p w14:paraId="6E40C987">
            <w:pPr>
              <w:spacing w:before="117" w:line="189" w:lineRule="auto"/>
              <w:ind w:left="2560"/>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1.03~</w:t>
            </w:r>
            <w:r>
              <w:rPr>
                <w:rFonts w:ascii="Times New Roman" w:hAnsi="Times New Roman" w:eastAsia="Times New Roman" w:cs="Times New Roman"/>
                <w:spacing w:val="-30"/>
                <w:sz w:val="22"/>
                <w:szCs w:val="22"/>
              </w:rPr>
              <w:t xml:space="preserve"> </w:t>
            </w:r>
            <w:r>
              <w:rPr>
                <w:rFonts w:ascii="Times New Roman" w:hAnsi="Times New Roman" w:eastAsia="Times New Roman" w:cs="Times New Roman"/>
                <w:spacing w:val="-7"/>
                <w:sz w:val="22"/>
                <w:szCs w:val="22"/>
              </w:rPr>
              <w:t>1.20</w:t>
            </w:r>
          </w:p>
        </w:tc>
        <w:tc>
          <w:tcPr>
            <w:tcW w:w="122" w:type="dxa"/>
            <w:tcBorders>
              <w:top w:val="nil"/>
              <w:bottom w:val="nil"/>
              <w:right w:val="single" w:color="000000" w:sz="6" w:space="0"/>
            </w:tcBorders>
            <w:vAlign w:val="top"/>
          </w:tcPr>
          <w:p w14:paraId="67B9A6D5">
            <w:pPr>
              <w:rPr>
                <w:rFonts w:ascii="Arial"/>
                <w:sz w:val="21"/>
              </w:rPr>
            </w:pPr>
          </w:p>
        </w:tc>
      </w:tr>
      <w:tr w14:paraId="09E36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831" w:type="dxa"/>
            <w:vMerge w:val="continue"/>
            <w:tcBorders>
              <w:top w:val="nil"/>
              <w:left w:val="single" w:color="000000" w:sz="6" w:space="0"/>
              <w:bottom w:val="nil"/>
            </w:tcBorders>
            <w:vAlign w:val="top"/>
          </w:tcPr>
          <w:p w14:paraId="653C3991">
            <w:pPr>
              <w:rPr>
                <w:rFonts w:ascii="Arial"/>
                <w:sz w:val="21"/>
              </w:rPr>
            </w:pPr>
          </w:p>
        </w:tc>
        <w:tc>
          <w:tcPr>
            <w:tcW w:w="113" w:type="dxa"/>
            <w:tcBorders>
              <w:top w:val="nil"/>
              <w:bottom w:val="nil"/>
            </w:tcBorders>
            <w:vAlign w:val="top"/>
          </w:tcPr>
          <w:p w14:paraId="33366EFC">
            <w:pPr>
              <w:rPr>
                <w:rFonts w:ascii="Arial"/>
                <w:sz w:val="21"/>
              </w:rPr>
            </w:pPr>
          </w:p>
        </w:tc>
        <w:tc>
          <w:tcPr>
            <w:tcW w:w="1979" w:type="dxa"/>
            <w:gridSpan w:val="3"/>
            <w:vAlign w:val="top"/>
          </w:tcPr>
          <w:p w14:paraId="3AE4A2DD">
            <w:pPr>
              <w:pStyle w:val="6"/>
              <w:spacing w:before="79" w:line="220" w:lineRule="auto"/>
              <w:ind w:left="668"/>
              <w:rPr>
                <w:sz w:val="22"/>
                <w:szCs w:val="22"/>
              </w:rPr>
            </w:pPr>
            <w:r>
              <w:rPr>
                <w:spacing w:val="-5"/>
                <w:sz w:val="22"/>
                <w:szCs w:val="22"/>
              </w:rPr>
              <w:t>标准值</w:t>
            </w:r>
          </w:p>
        </w:tc>
        <w:tc>
          <w:tcPr>
            <w:tcW w:w="5943" w:type="dxa"/>
            <w:gridSpan w:val="9"/>
            <w:vAlign w:val="top"/>
          </w:tcPr>
          <w:p w14:paraId="378A13F0">
            <w:pPr>
              <w:pStyle w:val="6"/>
              <w:spacing w:before="79" w:line="221" w:lineRule="auto"/>
              <w:ind w:left="218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1.0</w:t>
            </w:r>
            <w:r>
              <w:rPr>
                <w:spacing w:val="-5"/>
                <w:sz w:val="22"/>
                <w:szCs w:val="22"/>
              </w:rPr>
              <w:t>≤气液比≤</w:t>
            </w:r>
            <w:r>
              <w:rPr>
                <w:rFonts w:ascii="Times New Roman" w:hAnsi="Times New Roman" w:eastAsia="Times New Roman" w:cs="Times New Roman"/>
                <w:spacing w:val="-5"/>
                <w:sz w:val="22"/>
                <w:szCs w:val="22"/>
              </w:rPr>
              <w:t>1.2</w:t>
            </w:r>
          </w:p>
        </w:tc>
        <w:tc>
          <w:tcPr>
            <w:tcW w:w="122" w:type="dxa"/>
            <w:tcBorders>
              <w:top w:val="nil"/>
              <w:bottom w:val="nil"/>
              <w:right w:val="single" w:color="000000" w:sz="6" w:space="0"/>
            </w:tcBorders>
            <w:vAlign w:val="top"/>
          </w:tcPr>
          <w:p w14:paraId="57B1C48B">
            <w:pPr>
              <w:rPr>
                <w:rFonts w:ascii="Arial"/>
                <w:sz w:val="21"/>
              </w:rPr>
            </w:pPr>
          </w:p>
        </w:tc>
      </w:tr>
      <w:tr w14:paraId="0F5F6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31" w:type="dxa"/>
            <w:vMerge w:val="continue"/>
            <w:tcBorders>
              <w:top w:val="nil"/>
              <w:left w:val="single" w:color="000000" w:sz="6" w:space="0"/>
              <w:bottom w:val="nil"/>
            </w:tcBorders>
            <w:vAlign w:val="top"/>
          </w:tcPr>
          <w:p w14:paraId="1D0F90CD">
            <w:pPr>
              <w:rPr>
                <w:rFonts w:ascii="Arial"/>
                <w:sz w:val="21"/>
              </w:rPr>
            </w:pPr>
          </w:p>
        </w:tc>
        <w:tc>
          <w:tcPr>
            <w:tcW w:w="113" w:type="dxa"/>
            <w:tcBorders>
              <w:top w:val="nil"/>
              <w:bottom w:val="nil"/>
            </w:tcBorders>
            <w:vAlign w:val="top"/>
          </w:tcPr>
          <w:p w14:paraId="4361CD86">
            <w:pPr>
              <w:rPr>
                <w:rFonts w:ascii="Arial"/>
                <w:sz w:val="21"/>
              </w:rPr>
            </w:pPr>
          </w:p>
        </w:tc>
        <w:tc>
          <w:tcPr>
            <w:tcW w:w="1979" w:type="dxa"/>
            <w:gridSpan w:val="3"/>
            <w:vAlign w:val="top"/>
          </w:tcPr>
          <w:p w14:paraId="462CAC5E">
            <w:pPr>
              <w:spacing w:before="114" w:line="193" w:lineRule="auto"/>
              <w:ind w:left="95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5943" w:type="dxa"/>
            <w:gridSpan w:val="9"/>
            <w:vAlign w:val="top"/>
          </w:tcPr>
          <w:p w14:paraId="4ABE4436">
            <w:pPr>
              <w:pStyle w:val="6"/>
              <w:spacing w:before="80" w:line="221" w:lineRule="auto"/>
              <w:ind w:left="2038"/>
              <w:rPr>
                <w:rFonts w:ascii="Times New Roman" w:hAnsi="Times New Roman" w:eastAsia="Times New Roman" w:cs="Times New Roman"/>
                <w:sz w:val="22"/>
                <w:szCs w:val="22"/>
              </w:rPr>
            </w:pPr>
            <w:r>
              <w:rPr>
                <w:b/>
                <w:bCs/>
                <w:spacing w:val="-9"/>
                <w:sz w:val="22"/>
                <w:szCs w:val="22"/>
              </w:rPr>
              <w:t>泄漏浓度</w:t>
            </w:r>
            <w:r>
              <w:rPr>
                <w:spacing w:val="-48"/>
                <w:sz w:val="22"/>
                <w:szCs w:val="22"/>
              </w:rPr>
              <w:t xml:space="preserve"> </w:t>
            </w:r>
            <w:r>
              <w:rPr>
                <w:b/>
                <w:bCs/>
                <w:spacing w:val="-9"/>
                <w:sz w:val="22"/>
                <w:szCs w:val="22"/>
              </w:rPr>
              <w:t>μ</w:t>
            </w:r>
            <w:r>
              <w:rPr>
                <w:rFonts w:ascii="Times New Roman" w:hAnsi="Times New Roman" w:eastAsia="Times New Roman" w:cs="Times New Roman"/>
                <w:b/>
                <w:bCs/>
                <w:spacing w:val="-9"/>
                <w:sz w:val="22"/>
                <w:szCs w:val="22"/>
              </w:rPr>
              <w:t>mol/mo1</w:t>
            </w:r>
          </w:p>
        </w:tc>
        <w:tc>
          <w:tcPr>
            <w:tcW w:w="122" w:type="dxa"/>
            <w:tcBorders>
              <w:top w:val="nil"/>
              <w:bottom w:val="nil"/>
              <w:right w:val="single" w:color="000000" w:sz="6" w:space="0"/>
            </w:tcBorders>
            <w:vAlign w:val="top"/>
          </w:tcPr>
          <w:p w14:paraId="7043077B">
            <w:pPr>
              <w:rPr>
                <w:rFonts w:ascii="Arial"/>
                <w:sz w:val="21"/>
              </w:rPr>
            </w:pPr>
          </w:p>
        </w:tc>
      </w:tr>
      <w:tr w14:paraId="33B65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831" w:type="dxa"/>
            <w:vMerge w:val="continue"/>
            <w:tcBorders>
              <w:top w:val="nil"/>
              <w:left w:val="single" w:color="000000" w:sz="6" w:space="0"/>
              <w:bottom w:val="nil"/>
            </w:tcBorders>
            <w:vAlign w:val="top"/>
          </w:tcPr>
          <w:p w14:paraId="72DD2E49">
            <w:pPr>
              <w:rPr>
                <w:rFonts w:ascii="Arial"/>
                <w:sz w:val="21"/>
              </w:rPr>
            </w:pPr>
          </w:p>
        </w:tc>
        <w:tc>
          <w:tcPr>
            <w:tcW w:w="113" w:type="dxa"/>
            <w:tcBorders>
              <w:top w:val="nil"/>
              <w:bottom w:val="nil"/>
            </w:tcBorders>
            <w:vAlign w:val="top"/>
          </w:tcPr>
          <w:p w14:paraId="1219B72E">
            <w:pPr>
              <w:rPr>
                <w:rFonts w:ascii="Arial"/>
                <w:sz w:val="21"/>
              </w:rPr>
            </w:pPr>
          </w:p>
        </w:tc>
        <w:tc>
          <w:tcPr>
            <w:tcW w:w="1979" w:type="dxa"/>
            <w:gridSpan w:val="3"/>
            <w:vAlign w:val="top"/>
          </w:tcPr>
          <w:p w14:paraId="70878AC4">
            <w:pPr>
              <w:pStyle w:val="6"/>
              <w:spacing w:before="80" w:line="222" w:lineRule="auto"/>
              <w:ind w:left="560"/>
              <w:rPr>
                <w:sz w:val="22"/>
                <w:szCs w:val="22"/>
              </w:rPr>
            </w:pPr>
            <w:r>
              <w:rPr>
                <w:spacing w:val="-5"/>
                <w:sz w:val="22"/>
                <w:szCs w:val="22"/>
              </w:rPr>
              <w:t>密闭点位</w:t>
            </w:r>
          </w:p>
        </w:tc>
        <w:tc>
          <w:tcPr>
            <w:tcW w:w="1980" w:type="dxa"/>
            <w:gridSpan w:val="3"/>
            <w:vAlign w:val="top"/>
          </w:tcPr>
          <w:p w14:paraId="09DB22E9">
            <w:pPr>
              <w:pStyle w:val="6"/>
              <w:spacing w:before="81" w:line="219" w:lineRule="auto"/>
              <w:ind w:left="501"/>
              <w:rPr>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11"/>
                <w:sz w:val="22"/>
                <w:szCs w:val="22"/>
              </w:rPr>
              <w:t xml:space="preserve"> </w:t>
            </w:r>
            <w:r>
              <w:rPr>
                <w:spacing w:val="-10"/>
                <w:sz w:val="22"/>
                <w:szCs w:val="22"/>
              </w:rPr>
              <w:t>号加油机</w:t>
            </w:r>
          </w:p>
        </w:tc>
        <w:tc>
          <w:tcPr>
            <w:tcW w:w="1981" w:type="dxa"/>
            <w:gridSpan w:val="3"/>
            <w:vAlign w:val="top"/>
          </w:tcPr>
          <w:p w14:paraId="4649EEBC">
            <w:pPr>
              <w:pStyle w:val="6"/>
              <w:spacing w:before="81" w:line="219" w:lineRule="auto"/>
              <w:ind w:left="482"/>
              <w:rPr>
                <w:sz w:val="22"/>
                <w:szCs w:val="22"/>
              </w:rPr>
            </w:pPr>
            <w:r>
              <w:rPr>
                <w:rFonts w:ascii="Times New Roman" w:hAnsi="Times New Roman" w:eastAsia="Times New Roman" w:cs="Times New Roman"/>
                <w:spacing w:val="-6"/>
                <w:sz w:val="22"/>
                <w:szCs w:val="22"/>
              </w:rPr>
              <w:t>2</w:t>
            </w:r>
            <w:r>
              <w:rPr>
                <w:rFonts w:ascii="Times New Roman" w:hAnsi="Times New Roman" w:eastAsia="Times New Roman" w:cs="Times New Roman"/>
                <w:spacing w:val="15"/>
                <w:w w:val="101"/>
                <w:sz w:val="22"/>
                <w:szCs w:val="22"/>
              </w:rPr>
              <w:t xml:space="preserve"> </w:t>
            </w:r>
            <w:r>
              <w:rPr>
                <w:spacing w:val="-6"/>
                <w:sz w:val="22"/>
                <w:szCs w:val="22"/>
              </w:rPr>
              <w:t>号加油机</w:t>
            </w:r>
          </w:p>
        </w:tc>
        <w:tc>
          <w:tcPr>
            <w:tcW w:w="1982" w:type="dxa"/>
            <w:gridSpan w:val="3"/>
            <w:vAlign w:val="top"/>
          </w:tcPr>
          <w:p w14:paraId="7E9CDE05">
            <w:pPr>
              <w:pStyle w:val="6"/>
              <w:spacing w:before="81" w:line="219" w:lineRule="auto"/>
              <w:ind w:left="490"/>
              <w:rPr>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9"/>
                <w:sz w:val="22"/>
                <w:szCs w:val="22"/>
              </w:rPr>
              <w:t xml:space="preserve"> </w:t>
            </w:r>
            <w:r>
              <w:rPr>
                <w:spacing w:val="-6"/>
                <w:sz w:val="22"/>
                <w:szCs w:val="22"/>
              </w:rPr>
              <w:t>号加油机</w:t>
            </w:r>
          </w:p>
        </w:tc>
        <w:tc>
          <w:tcPr>
            <w:tcW w:w="122" w:type="dxa"/>
            <w:tcBorders>
              <w:top w:val="nil"/>
              <w:bottom w:val="nil"/>
              <w:right w:val="single" w:color="000000" w:sz="6" w:space="0"/>
            </w:tcBorders>
            <w:vAlign w:val="top"/>
          </w:tcPr>
          <w:p w14:paraId="1EC25C3D">
            <w:pPr>
              <w:rPr>
                <w:rFonts w:ascii="Arial"/>
                <w:sz w:val="21"/>
              </w:rPr>
            </w:pPr>
          </w:p>
        </w:tc>
      </w:tr>
      <w:tr w14:paraId="751B2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31" w:type="dxa"/>
            <w:vMerge w:val="continue"/>
            <w:tcBorders>
              <w:top w:val="nil"/>
              <w:left w:val="single" w:color="000000" w:sz="6" w:space="0"/>
              <w:bottom w:val="nil"/>
            </w:tcBorders>
            <w:vAlign w:val="top"/>
          </w:tcPr>
          <w:p w14:paraId="0CC8196C">
            <w:pPr>
              <w:rPr>
                <w:rFonts w:ascii="Arial"/>
                <w:sz w:val="21"/>
              </w:rPr>
            </w:pPr>
          </w:p>
        </w:tc>
        <w:tc>
          <w:tcPr>
            <w:tcW w:w="113" w:type="dxa"/>
            <w:tcBorders>
              <w:top w:val="nil"/>
              <w:bottom w:val="nil"/>
            </w:tcBorders>
            <w:vAlign w:val="top"/>
          </w:tcPr>
          <w:p w14:paraId="1D15907F">
            <w:pPr>
              <w:rPr>
                <w:rFonts w:ascii="Arial"/>
                <w:sz w:val="21"/>
              </w:rPr>
            </w:pPr>
          </w:p>
        </w:tc>
        <w:tc>
          <w:tcPr>
            <w:tcW w:w="1979" w:type="dxa"/>
            <w:gridSpan w:val="3"/>
            <w:vAlign w:val="top"/>
          </w:tcPr>
          <w:p w14:paraId="6458182B">
            <w:pPr>
              <w:pStyle w:val="6"/>
              <w:spacing w:before="80" w:line="220" w:lineRule="auto"/>
              <w:ind w:left="668"/>
              <w:rPr>
                <w:sz w:val="22"/>
                <w:szCs w:val="22"/>
              </w:rPr>
            </w:pPr>
            <w:r>
              <w:rPr>
                <w:spacing w:val="-4"/>
                <w:sz w:val="22"/>
                <w:szCs w:val="22"/>
              </w:rPr>
              <w:t>检测值</w:t>
            </w:r>
          </w:p>
        </w:tc>
        <w:tc>
          <w:tcPr>
            <w:tcW w:w="1980" w:type="dxa"/>
            <w:gridSpan w:val="3"/>
            <w:vAlign w:val="top"/>
          </w:tcPr>
          <w:p w14:paraId="7B48E226">
            <w:pPr>
              <w:spacing w:before="118" w:line="189" w:lineRule="auto"/>
              <w:ind w:left="80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41.2</w:t>
            </w:r>
          </w:p>
        </w:tc>
        <w:tc>
          <w:tcPr>
            <w:tcW w:w="1981" w:type="dxa"/>
            <w:gridSpan w:val="3"/>
            <w:vAlign w:val="top"/>
          </w:tcPr>
          <w:p w14:paraId="48E58976">
            <w:pPr>
              <w:spacing w:before="118" w:line="189" w:lineRule="auto"/>
              <w:ind w:left="8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27.3</w:t>
            </w:r>
          </w:p>
        </w:tc>
        <w:tc>
          <w:tcPr>
            <w:tcW w:w="1982" w:type="dxa"/>
            <w:gridSpan w:val="3"/>
            <w:vAlign w:val="top"/>
          </w:tcPr>
          <w:p w14:paraId="66456C2E">
            <w:pPr>
              <w:spacing w:before="118" w:line="189" w:lineRule="auto"/>
              <w:ind w:left="81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36.5</w:t>
            </w:r>
          </w:p>
        </w:tc>
        <w:tc>
          <w:tcPr>
            <w:tcW w:w="122" w:type="dxa"/>
            <w:tcBorders>
              <w:top w:val="nil"/>
              <w:bottom w:val="nil"/>
              <w:right w:val="single" w:color="000000" w:sz="6" w:space="0"/>
            </w:tcBorders>
            <w:vAlign w:val="top"/>
          </w:tcPr>
          <w:p w14:paraId="556A3846">
            <w:pPr>
              <w:rPr>
                <w:rFonts w:ascii="Arial"/>
                <w:sz w:val="21"/>
              </w:rPr>
            </w:pPr>
          </w:p>
        </w:tc>
      </w:tr>
      <w:tr w14:paraId="735AB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831" w:type="dxa"/>
            <w:vMerge w:val="continue"/>
            <w:tcBorders>
              <w:top w:val="nil"/>
              <w:left w:val="single" w:color="000000" w:sz="6" w:space="0"/>
              <w:bottom w:val="nil"/>
            </w:tcBorders>
            <w:vAlign w:val="top"/>
          </w:tcPr>
          <w:p w14:paraId="27328004">
            <w:pPr>
              <w:rPr>
                <w:rFonts w:ascii="Arial"/>
                <w:sz w:val="21"/>
              </w:rPr>
            </w:pPr>
          </w:p>
        </w:tc>
        <w:tc>
          <w:tcPr>
            <w:tcW w:w="113" w:type="dxa"/>
            <w:tcBorders>
              <w:top w:val="nil"/>
              <w:bottom w:val="nil"/>
            </w:tcBorders>
            <w:vAlign w:val="top"/>
          </w:tcPr>
          <w:p w14:paraId="706144D2">
            <w:pPr>
              <w:rPr>
                <w:rFonts w:ascii="Arial"/>
                <w:sz w:val="21"/>
              </w:rPr>
            </w:pPr>
          </w:p>
        </w:tc>
        <w:tc>
          <w:tcPr>
            <w:tcW w:w="1979" w:type="dxa"/>
            <w:gridSpan w:val="3"/>
            <w:vAlign w:val="top"/>
          </w:tcPr>
          <w:p w14:paraId="2220A574">
            <w:pPr>
              <w:pStyle w:val="6"/>
              <w:spacing w:before="79" w:line="222" w:lineRule="auto"/>
              <w:ind w:left="560"/>
              <w:rPr>
                <w:sz w:val="22"/>
                <w:szCs w:val="22"/>
              </w:rPr>
            </w:pPr>
            <w:r>
              <w:rPr>
                <w:spacing w:val="-5"/>
                <w:sz w:val="22"/>
                <w:szCs w:val="22"/>
              </w:rPr>
              <w:t>密闭点位</w:t>
            </w:r>
          </w:p>
        </w:tc>
        <w:tc>
          <w:tcPr>
            <w:tcW w:w="1980" w:type="dxa"/>
            <w:gridSpan w:val="3"/>
            <w:vAlign w:val="top"/>
          </w:tcPr>
          <w:p w14:paraId="043B10C4">
            <w:pPr>
              <w:pStyle w:val="6"/>
              <w:spacing w:before="80" w:line="220" w:lineRule="auto"/>
              <w:ind w:left="350"/>
              <w:rPr>
                <w:sz w:val="22"/>
                <w:szCs w:val="22"/>
              </w:rPr>
            </w:pPr>
            <w:r>
              <w:rPr>
                <w:spacing w:val="-5"/>
                <w:sz w:val="22"/>
                <w:szCs w:val="22"/>
              </w:rPr>
              <w:t>一次油气回收</w:t>
            </w:r>
          </w:p>
        </w:tc>
        <w:tc>
          <w:tcPr>
            <w:tcW w:w="1981" w:type="dxa"/>
            <w:gridSpan w:val="3"/>
            <w:vAlign w:val="top"/>
          </w:tcPr>
          <w:p w14:paraId="334A8E9A">
            <w:pPr>
              <w:pStyle w:val="6"/>
              <w:spacing w:before="80" w:line="220" w:lineRule="auto"/>
              <w:ind w:left="352"/>
              <w:rPr>
                <w:sz w:val="22"/>
                <w:szCs w:val="22"/>
              </w:rPr>
            </w:pPr>
            <w:r>
              <w:rPr>
                <w:spacing w:val="-4"/>
                <w:sz w:val="22"/>
                <w:szCs w:val="22"/>
              </w:rPr>
              <w:t>三次油气回收</w:t>
            </w:r>
          </w:p>
        </w:tc>
        <w:tc>
          <w:tcPr>
            <w:tcW w:w="1982" w:type="dxa"/>
            <w:gridSpan w:val="3"/>
            <w:vAlign w:val="top"/>
          </w:tcPr>
          <w:p w14:paraId="7F24548A">
            <w:pPr>
              <w:pStyle w:val="6"/>
              <w:spacing w:before="79" w:line="222" w:lineRule="auto"/>
              <w:ind w:left="517"/>
              <w:rPr>
                <w:sz w:val="22"/>
                <w:szCs w:val="22"/>
              </w:rPr>
            </w:pPr>
            <w:r>
              <w:rPr>
                <w:rFonts w:ascii="Times New Roman" w:hAnsi="Times New Roman" w:eastAsia="Times New Roman" w:cs="Times New Roman"/>
                <w:spacing w:val="-3"/>
                <w:sz w:val="22"/>
                <w:szCs w:val="22"/>
              </w:rPr>
              <w:t>92#</w:t>
            </w:r>
            <w:r>
              <w:rPr>
                <w:spacing w:val="-3"/>
                <w:sz w:val="22"/>
                <w:szCs w:val="22"/>
              </w:rPr>
              <w:t>卸油口</w:t>
            </w:r>
          </w:p>
        </w:tc>
        <w:tc>
          <w:tcPr>
            <w:tcW w:w="122" w:type="dxa"/>
            <w:tcBorders>
              <w:top w:val="nil"/>
              <w:bottom w:val="nil"/>
              <w:right w:val="single" w:color="000000" w:sz="6" w:space="0"/>
            </w:tcBorders>
            <w:vAlign w:val="top"/>
          </w:tcPr>
          <w:p w14:paraId="25EE4DF7">
            <w:pPr>
              <w:rPr>
                <w:rFonts w:ascii="Arial"/>
                <w:sz w:val="21"/>
              </w:rPr>
            </w:pPr>
          </w:p>
        </w:tc>
      </w:tr>
      <w:tr w14:paraId="0367A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31" w:type="dxa"/>
            <w:vMerge w:val="continue"/>
            <w:tcBorders>
              <w:top w:val="nil"/>
              <w:left w:val="single" w:color="000000" w:sz="6" w:space="0"/>
              <w:bottom w:val="nil"/>
            </w:tcBorders>
            <w:vAlign w:val="top"/>
          </w:tcPr>
          <w:p w14:paraId="3B8B22E9">
            <w:pPr>
              <w:rPr>
                <w:rFonts w:ascii="Arial"/>
                <w:sz w:val="21"/>
              </w:rPr>
            </w:pPr>
          </w:p>
        </w:tc>
        <w:tc>
          <w:tcPr>
            <w:tcW w:w="113" w:type="dxa"/>
            <w:tcBorders>
              <w:top w:val="nil"/>
              <w:bottom w:val="nil"/>
            </w:tcBorders>
            <w:vAlign w:val="top"/>
          </w:tcPr>
          <w:p w14:paraId="1B25786B">
            <w:pPr>
              <w:rPr>
                <w:rFonts w:ascii="Arial"/>
                <w:sz w:val="21"/>
              </w:rPr>
            </w:pPr>
          </w:p>
        </w:tc>
        <w:tc>
          <w:tcPr>
            <w:tcW w:w="1979" w:type="dxa"/>
            <w:gridSpan w:val="3"/>
            <w:vAlign w:val="top"/>
          </w:tcPr>
          <w:p w14:paraId="1A05D355">
            <w:pPr>
              <w:pStyle w:val="6"/>
              <w:spacing w:before="81" w:line="220" w:lineRule="auto"/>
              <w:ind w:left="668"/>
              <w:rPr>
                <w:sz w:val="22"/>
                <w:szCs w:val="22"/>
              </w:rPr>
            </w:pPr>
            <w:r>
              <w:rPr>
                <w:spacing w:val="-4"/>
                <w:sz w:val="22"/>
                <w:szCs w:val="22"/>
              </w:rPr>
              <w:t>检测值</w:t>
            </w:r>
          </w:p>
        </w:tc>
        <w:tc>
          <w:tcPr>
            <w:tcW w:w="1980" w:type="dxa"/>
            <w:gridSpan w:val="3"/>
            <w:vAlign w:val="top"/>
          </w:tcPr>
          <w:p w14:paraId="59869EEF">
            <w:pPr>
              <w:spacing w:before="119" w:line="189" w:lineRule="auto"/>
              <w:ind w:left="81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59.7</w:t>
            </w:r>
          </w:p>
        </w:tc>
        <w:tc>
          <w:tcPr>
            <w:tcW w:w="1981" w:type="dxa"/>
            <w:gridSpan w:val="3"/>
            <w:vAlign w:val="top"/>
          </w:tcPr>
          <w:p w14:paraId="4C494E2B">
            <w:pPr>
              <w:spacing w:before="119" w:line="189" w:lineRule="auto"/>
              <w:ind w:left="827"/>
              <w:rPr>
                <w:rFonts w:ascii="Times New Roman" w:hAnsi="Times New Roman" w:eastAsia="Times New Roman" w:cs="Times New Roman"/>
                <w:sz w:val="22"/>
                <w:szCs w:val="22"/>
              </w:rPr>
            </w:pPr>
            <w:r>
              <w:rPr>
                <w:rFonts w:ascii="Times New Roman" w:hAnsi="Times New Roman" w:eastAsia="Times New Roman" w:cs="Times New Roman"/>
                <w:spacing w:val="-8"/>
                <w:sz w:val="22"/>
                <w:szCs w:val="22"/>
              </w:rPr>
              <w:t>18.2</w:t>
            </w:r>
          </w:p>
        </w:tc>
        <w:tc>
          <w:tcPr>
            <w:tcW w:w="1982" w:type="dxa"/>
            <w:gridSpan w:val="3"/>
            <w:vAlign w:val="top"/>
          </w:tcPr>
          <w:p w14:paraId="3617C2A4">
            <w:pPr>
              <w:spacing w:before="119" w:line="189" w:lineRule="auto"/>
              <w:ind w:left="81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74.2</w:t>
            </w:r>
          </w:p>
        </w:tc>
        <w:tc>
          <w:tcPr>
            <w:tcW w:w="122" w:type="dxa"/>
            <w:tcBorders>
              <w:top w:val="nil"/>
              <w:bottom w:val="nil"/>
              <w:right w:val="single" w:color="000000" w:sz="6" w:space="0"/>
            </w:tcBorders>
            <w:vAlign w:val="top"/>
          </w:tcPr>
          <w:p w14:paraId="08CA6E52">
            <w:pPr>
              <w:rPr>
                <w:rFonts w:ascii="Arial"/>
                <w:sz w:val="21"/>
              </w:rPr>
            </w:pPr>
          </w:p>
        </w:tc>
      </w:tr>
      <w:tr w14:paraId="5A006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31" w:type="dxa"/>
            <w:vMerge w:val="continue"/>
            <w:tcBorders>
              <w:top w:val="nil"/>
              <w:left w:val="single" w:color="000000" w:sz="6" w:space="0"/>
              <w:bottom w:val="nil"/>
            </w:tcBorders>
            <w:vAlign w:val="top"/>
          </w:tcPr>
          <w:p w14:paraId="1EEC3E8B">
            <w:pPr>
              <w:rPr>
                <w:rFonts w:ascii="Arial"/>
                <w:sz w:val="21"/>
              </w:rPr>
            </w:pPr>
          </w:p>
        </w:tc>
        <w:tc>
          <w:tcPr>
            <w:tcW w:w="113" w:type="dxa"/>
            <w:tcBorders>
              <w:top w:val="nil"/>
              <w:bottom w:val="nil"/>
            </w:tcBorders>
            <w:vAlign w:val="top"/>
          </w:tcPr>
          <w:p w14:paraId="3240BA52">
            <w:pPr>
              <w:rPr>
                <w:rFonts w:ascii="Arial"/>
                <w:sz w:val="21"/>
              </w:rPr>
            </w:pPr>
          </w:p>
        </w:tc>
        <w:tc>
          <w:tcPr>
            <w:tcW w:w="1979" w:type="dxa"/>
            <w:gridSpan w:val="3"/>
            <w:vAlign w:val="top"/>
          </w:tcPr>
          <w:p w14:paraId="7EE38B0F">
            <w:pPr>
              <w:pStyle w:val="6"/>
              <w:spacing w:before="81" w:line="222" w:lineRule="auto"/>
              <w:ind w:left="560"/>
              <w:rPr>
                <w:sz w:val="22"/>
                <w:szCs w:val="22"/>
              </w:rPr>
            </w:pPr>
            <w:r>
              <w:rPr>
                <w:spacing w:val="-5"/>
                <w:sz w:val="22"/>
                <w:szCs w:val="22"/>
              </w:rPr>
              <w:t>密闭点位</w:t>
            </w:r>
          </w:p>
        </w:tc>
        <w:tc>
          <w:tcPr>
            <w:tcW w:w="1980" w:type="dxa"/>
            <w:gridSpan w:val="3"/>
            <w:vAlign w:val="top"/>
          </w:tcPr>
          <w:p w14:paraId="2A093D3B">
            <w:pPr>
              <w:pStyle w:val="6"/>
              <w:spacing w:before="81" w:line="222" w:lineRule="auto"/>
              <w:ind w:left="510"/>
              <w:rPr>
                <w:sz w:val="22"/>
                <w:szCs w:val="22"/>
              </w:rPr>
            </w:pPr>
            <w:r>
              <w:rPr>
                <w:rFonts w:ascii="Times New Roman" w:hAnsi="Times New Roman" w:eastAsia="Times New Roman" w:cs="Times New Roman"/>
                <w:spacing w:val="-3"/>
                <w:sz w:val="22"/>
                <w:szCs w:val="22"/>
              </w:rPr>
              <w:t>95#</w:t>
            </w:r>
            <w:r>
              <w:rPr>
                <w:spacing w:val="-3"/>
                <w:sz w:val="22"/>
                <w:szCs w:val="22"/>
              </w:rPr>
              <w:t>卸油口</w:t>
            </w:r>
          </w:p>
        </w:tc>
        <w:tc>
          <w:tcPr>
            <w:tcW w:w="1981" w:type="dxa"/>
            <w:gridSpan w:val="3"/>
            <w:vAlign w:val="top"/>
          </w:tcPr>
          <w:p w14:paraId="01E3A9C3">
            <w:pPr>
              <w:pStyle w:val="6"/>
              <w:spacing w:before="81" w:line="220" w:lineRule="auto"/>
              <w:ind w:left="405"/>
              <w:rPr>
                <w:sz w:val="22"/>
                <w:szCs w:val="22"/>
              </w:rPr>
            </w:pPr>
            <w:r>
              <w:rPr>
                <w:rFonts w:ascii="Times New Roman" w:hAnsi="Times New Roman" w:eastAsia="Times New Roman" w:cs="Times New Roman"/>
                <w:spacing w:val="-4"/>
                <w:sz w:val="22"/>
                <w:szCs w:val="22"/>
              </w:rPr>
              <w:t>92#</w:t>
            </w:r>
            <w:r>
              <w:rPr>
                <w:spacing w:val="-4"/>
                <w:sz w:val="22"/>
                <w:szCs w:val="22"/>
              </w:rPr>
              <w:t>油罐人井</w:t>
            </w:r>
          </w:p>
        </w:tc>
        <w:tc>
          <w:tcPr>
            <w:tcW w:w="1982" w:type="dxa"/>
            <w:gridSpan w:val="3"/>
            <w:vAlign w:val="top"/>
          </w:tcPr>
          <w:p w14:paraId="7739274A">
            <w:pPr>
              <w:pStyle w:val="6"/>
              <w:spacing w:before="81" w:line="220" w:lineRule="auto"/>
              <w:ind w:left="409"/>
              <w:rPr>
                <w:sz w:val="22"/>
                <w:szCs w:val="22"/>
              </w:rPr>
            </w:pPr>
            <w:r>
              <w:rPr>
                <w:rFonts w:ascii="Times New Roman" w:hAnsi="Times New Roman" w:eastAsia="Times New Roman" w:cs="Times New Roman"/>
                <w:spacing w:val="-4"/>
                <w:sz w:val="22"/>
                <w:szCs w:val="22"/>
              </w:rPr>
              <w:t>95#</w:t>
            </w:r>
            <w:r>
              <w:rPr>
                <w:spacing w:val="-4"/>
                <w:sz w:val="22"/>
                <w:szCs w:val="22"/>
              </w:rPr>
              <w:t>油罐人井</w:t>
            </w:r>
          </w:p>
        </w:tc>
        <w:tc>
          <w:tcPr>
            <w:tcW w:w="122" w:type="dxa"/>
            <w:tcBorders>
              <w:top w:val="nil"/>
              <w:bottom w:val="nil"/>
              <w:right w:val="single" w:color="000000" w:sz="6" w:space="0"/>
            </w:tcBorders>
            <w:vAlign w:val="top"/>
          </w:tcPr>
          <w:p w14:paraId="4DCAC2EB">
            <w:pPr>
              <w:rPr>
                <w:rFonts w:ascii="Arial"/>
                <w:sz w:val="21"/>
              </w:rPr>
            </w:pPr>
          </w:p>
        </w:tc>
      </w:tr>
      <w:tr w14:paraId="67660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831" w:type="dxa"/>
            <w:vMerge w:val="continue"/>
            <w:tcBorders>
              <w:top w:val="nil"/>
              <w:left w:val="single" w:color="000000" w:sz="6" w:space="0"/>
              <w:bottom w:val="nil"/>
            </w:tcBorders>
            <w:vAlign w:val="top"/>
          </w:tcPr>
          <w:p w14:paraId="05A98E70">
            <w:pPr>
              <w:rPr>
                <w:rFonts w:ascii="Arial"/>
                <w:sz w:val="21"/>
              </w:rPr>
            </w:pPr>
          </w:p>
        </w:tc>
        <w:tc>
          <w:tcPr>
            <w:tcW w:w="113" w:type="dxa"/>
            <w:tcBorders>
              <w:top w:val="nil"/>
              <w:bottom w:val="nil"/>
            </w:tcBorders>
            <w:vAlign w:val="top"/>
          </w:tcPr>
          <w:p w14:paraId="5CB3E09D">
            <w:pPr>
              <w:rPr>
                <w:rFonts w:ascii="Arial"/>
                <w:sz w:val="21"/>
              </w:rPr>
            </w:pPr>
          </w:p>
        </w:tc>
        <w:tc>
          <w:tcPr>
            <w:tcW w:w="1979" w:type="dxa"/>
            <w:gridSpan w:val="3"/>
            <w:vAlign w:val="top"/>
          </w:tcPr>
          <w:p w14:paraId="51EAE3AA">
            <w:pPr>
              <w:pStyle w:val="6"/>
              <w:spacing w:before="81" w:line="220" w:lineRule="auto"/>
              <w:ind w:left="668"/>
              <w:rPr>
                <w:sz w:val="22"/>
                <w:szCs w:val="22"/>
              </w:rPr>
            </w:pPr>
            <w:r>
              <w:rPr>
                <w:spacing w:val="-4"/>
                <w:sz w:val="22"/>
                <w:szCs w:val="22"/>
              </w:rPr>
              <w:t>检测值</w:t>
            </w:r>
          </w:p>
        </w:tc>
        <w:tc>
          <w:tcPr>
            <w:tcW w:w="1980" w:type="dxa"/>
            <w:gridSpan w:val="3"/>
            <w:vAlign w:val="top"/>
          </w:tcPr>
          <w:p w14:paraId="132F6665">
            <w:pPr>
              <w:spacing w:before="119" w:line="189" w:lineRule="auto"/>
              <w:ind w:left="80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21.5</w:t>
            </w:r>
          </w:p>
        </w:tc>
        <w:tc>
          <w:tcPr>
            <w:tcW w:w="1981" w:type="dxa"/>
            <w:gridSpan w:val="3"/>
            <w:vAlign w:val="top"/>
          </w:tcPr>
          <w:p w14:paraId="47AD4E38">
            <w:pPr>
              <w:spacing w:before="119" w:line="189" w:lineRule="auto"/>
              <w:ind w:left="81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37.0</w:t>
            </w:r>
          </w:p>
        </w:tc>
        <w:tc>
          <w:tcPr>
            <w:tcW w:w="1982" w:type="dxa"/>
            <w:gridSpan w:val="3"/>
            <w:vAlign w:val="top"/>
          </w:tcPr>
          <w:p w14:paraId="4F5EF4E7">
            <w:pPr>
              <w:spacing w:before="119" w:line="189" w:lineRule="auto"/>
              <w:ind w:left="81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23.1</w:t>
            </w:r>
          </w:p>
        </w:tc>
        <w:tc>
          <w:tcPr>
            <w:tcW w:w="122" w:type="dxa"/>
            <w:tcBorders>
              <w:top w:val="nil"/>
              <w:bottom w:val="nil"/>
              <w:right w:val="single" w:color="000000" w:sz="6" w:space="0"/>
            </w:tcBorders>
            <w:vAlign w:val="top"/>
          </w:tcPr>
          <w:p w14:paraId="184239A2">
            <w:pPr>
              <w:rPr>
                <w:rFonts w:ascii="Arial"/>
                <w:sz w:val="21"/>
              </w:rPr>
            </w:pPr>
          </w:p>
        </w:tc>
      </w:tr>
      <w:tr w14:paraId="45FD8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31" w:type="dxa"/>
            <w:vMerge w:val="continue"/>
            <w:tcBorders>
              <w:top w:val="nil"/>
              <w:left w:val="single" w:color="000000" w:sz="6" w:space="0"/>
              <w:bottom w:val="nil"/>
            </w:tcBorders>
            <w:vAlign w:val="top"/>
          </w:tcPr>
          <w:p w14:paraId="640EC3B6">
            <w:pPr>
              <w:rPr>
                <w:rFonts w:ascii="Arial"/>
                <w:sz w:val="21"/>
              </w:rPr>
            </w:pPr>
          </w:p>
        </w:tc>
        <w:tc>
          <w:tcPr>
            <w:tcW w:w="113" w:type="dxa"/>
            <w:tcBorders>
              <w:top w:val="nil"/>
              <w:bottom w:val="nil"/>
            </w:tcBorders>
            <w:vAlign w:val="top"/>
          </w:tcPr>
          <w:p w14:paraId="44BDA381">
            <w:pPr>
              <w:rPr>
                <w:rFonts w:ascii="Arial"/>
                <w:sz w:val="21"/>
              </w:rPr>
            </w:pPr>
          </w:p>
        </w:tc>
        <w:tc>
          <w:tcPr>
            <w:tcW w:w="1979" w:type="dxa"/>
            <w:gridSpan w:val="3"/>
            <w:vAlign w:val="top"/>
          </w:tcPr>
          <w:p w14:paraId="0FDED2A3">
            <w:pPr>
              <w:pStyle w:val="6"/>
              <w:spacing w:before="83" w:line="220" w:lineRule="auto"/>
              <w:ind w:left="668"/>
              <w:rPr>
                <w:sz w:val="22"/>
                <w:szCs w:val="22"/>
              </w:rPr>
            </w:pPr>
            <w:r>
              <w:rPr>
                <w:spacing w:val="-5"/>
                <w:sz w:val="22"/>
                <w:szCs w:val="22"/>
              </w:rPr>
              <w:t>标准值</w:t>
            </w:r>
          </w:p>
        </w:tc>
        <w:tc>
          <w:tcPr>
            <w:tcW w:w="5943" w:type="dxa"/>
            <w:gridSpan w:val="9"/>
            <w:vAlign w:val="top"/>
          </w:tcPr>
          <w:p w14:paraId="38F8E1FF">
            <w:pPr>
              <w:spacing w:before="121" w:line="189" w:lineRule="auto"/>
              <w:ind w:left="281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500</w:t>
            </w:r>
          </w:p>
        </w:tc>
        <w:tc>
          <w:tcPr>
            <w:tcW w:w="122" w:type="dxa"/>
            <w:tcBorders>
              <w:top w:val="nil"/>
              <w:bottom w:val="nil"/>
              <w:right w:val="single" w:color="000000" w:sz="6" w:space="0"/>
            </w:tcBorders>
            <w:vAlign w:val="top"/>
          </w:tcPr>
          <w:p w14:paraId="4CEFBF42">
            <w:pPr>
              <w:rPr>
                <w:rFonts w:ascii="Arial"/>
                <w:sz w:val="21"/>
              </w:rPr>
            </w:pPr>
          </w:p>
        </w:tc>
      </w:tr>
      <w:tr w14:paraId="152C2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831" w:type="dxa"/>
            <w:vMerge w:val="continue"/>
            <w:tcBorders>
              <w:top w:val="nil"/>
              <w:left w:val="single" w:color="000000" w:sz="6" w:space="0"/>
              <w:bottom w:val="nil"/>
            </w:tcBorders>
            <w:vAlign w:val="top"/>
          </w:tcPr>
          <w:p w14:paraId="6B3308F4">
            <w:pPr>
              <w:rPr>
                <w:rFonts w:ascii="Arial"/>
                <w:sz w:val="21"/>
              </w:rPr>
            </w:pPr>
          </w:p>
        </w:tc>
        <w:tc>
          <w:tcPr>
            <w:tcW w:w="8157" w:type="dxa"/>
            <w:gridSpan w:val="14"/>
            <w:tcBorders>
              <w:right w:val="single" w:color="000000" w:sz="6" w:space="0"/>
            </w:tcBorders>
            <w:vAlign w:val="top"/>
          </w:tcPr>
          <w:p w14:paraId="2D503565">
            <w:pPr>
              <w:spacing w:line="265" w:lineRule="auto"/>
              <w:rPr>
                <w:rFonts w:ascii="Arial"/>
                <w:sz w:val="21"/>
              </w:rPr>
            </w:pPr>
          </w:p>
          <w:p w14:paraId="10EAD8A6">
            <w:pPr>
              <w:spacing w:line="265" w:lineRule="auto"/>
              <w:rPr>
                <w:rFonts w:ascii="Arial"/>
                <w:sz w:val="21"/>
              </w:rPr>
            </w:pPr>
          </w:p>
          <w:p w14:paraId="7EE72BED">
            <w:pPr>
              <w:pStyle w:val="6"/>
              <w:spacing w:before="81" w:line="221" w:lineRule="auto"/>
              <w:ind w:left="1371"/>
            </w:pPr>
            <w:r>
              <w:rPr>
                <w:spacing w:val="7"/>
              </w:rPr>
              <w:t>表</w:t>
            </w:r>
            <w:r>
              <w:rPr>
                <w:spacing w:val="-52"/>
              </w:rPr>
              <w:t xml:space="preserve"> </w:t>
            </w:r>
            <w:r>
              <w:rPr>
                <w:rFonts w:ascii="Times New Roman" w:hAnsi="Times New Roman" w:eastAsia="Times New Roman" w:cs="Times New Roman"/>
                <w:spacing w:val="7"/>
              </w:rPr>
              <w:t xml:space="preserve">2.12-3    </w:t>
            </w:r>
            <w:r>
              <w:rPr>
                <w:spacing w:val="7"/>
              </w:rPr>
              <w:t>油气回收检测（无组织）结果一</w:t>
            </w:r>
            <w:r>
              <w:rPr>
                <w:spacing w:val="6"/>
              </w:rPr>
              <w:t>览表</w:t>
            </w:r>
          </w:p>
        </w:tc>
      </w:tr>
      <w:tr w14:paraId="5B7C7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31" w:type="dxa"/>
            <w:vMerge w:val="continue"/>
            <w:tcBorders>
              <w:top w:val="nil"/>
              <w:left w:val="single" w:color="000000" w:sz="6" w:space="0"/>
              <w:bottom w:val="nil"/>
            </w:tcBorders>
            <w:vAlign w:val="top"/>
          </w:tcPr>
          <w:p w14:paraId="50476AAC">
            <w:pPr>
              <w:rPr>
                <w:rFonts w:ascii="Arial"/>
                <w:sz w:val="21"/>
              </w:rPr>
            </w:pPr>
          </w:p>
        </w:tc>
        <w:tc>
          <w:tcPr>
            <w:tcW w:w="113" w:type="dxa"/>
            <w:tcBorders>
              <w:top w:val="nil"/>
              <w:bottom w:val="nil"/>
            </w:tcBorders>
            <w:vAlign w:val="top"/>
          </w:tcPr>
          <w:p w14:paraId="222FEBDB">
            <w:pPr>
              <w:rPr>
                <w:rFonts w:ascii="Arial"/>
                <w:sz w:val="21"/>
              </w:rPr>
            </w:pPr>
          </w:p>
        </w:tc>
        <w:tc>
          <w:tcPr>
            <w:tcW w:w="941" w:type="dxa"/>
            <w:vAlign w:val="top"/>
          </w:tcPr>
          <w:p w14:paraId="6C3E0EF1">
            <w:pPr>
              <w:pStyle w:val="6"/>
              <w:spacing w:before="42" w:line="220" w:lineRule="auto"/>
              <w:ind w:left="255"/>
              <w:rPr>
                <w:sz w:val="22"/>
                <w:szCs w:val="22"/>
              </w:rPr>
            </w:pPr>
            <w:r>
              <w:rPr>
                <w:spacing w:val="-4"/>
                <w:sz w:val="22"/>
                <w:szCs w:val="22"/>
              </w:rPr>
              <w:t>检测</w:t>
            </w:r>
          </w:p>
          <w:p w14:paraId="02B36ACB">
            <w:pPr>
              <w:pStyle w:val="6"/>
              <w:spacing w:before="23" w:line="199" w:lineRule="auto"/>
              <w:ind w:left="258"/>
              <w:rPr>
                <w:sz w:val="22"/>
                <w:szCs w:val="22"/>
              </w:rPr>
            </w:pPr>
            <w:r>
              <w:rPr>
                <w:spacing w:val="-6"/>
                <w:sz w:val="22"/>
                <w:szCs w:val="22"/>
              </w:rPr>
              <w:t>项目</w:t>
            </w:r>
          </w:p>
        </w:tc>
        <w:tc>
          <w:tcPr>
            <w:tcW w:w="1753" w:type="dxa"/>
            <w:gridSpan w:val="3"/>
            <w:vAlign w:val="top"/>
          </w:tcPr>
          <w:p w14:paraId="0E286D9A">
            <w:pPr>
              <w:pStyle w:val="6"/>
              <w:spacing w:before="186" w:line="220" w:lineRule="auto"/>
              <w:ind w:left="447"/>
              <w:rPr>
                <w:sz w:val="22"/>
                <w:szCs w:val="22"/>
              </w:rPr>
            </w:pPr>
            <w:r>
              <w:rPr>
                <w:spacing w:val="-4"/>
                <w:sz w:val="22"/>
                <w:szCs w:val="22"/>
              </w:rPr>
              <w:t>检测点位</w:t>
            </w:r>
          </w:p>
        </w:tc>
        <w:tc>
          <w:tcPr>
            <w:tcW w:w="2367" w:type="dxa"/>
            <w:gridSpan w:val="3"/>
            <w:vAlign w:val="top"/>
          </w:tcPr>
          <w:p w14:paraId="484AD2EE">
            <w:pPr>
              <w:pStyle w:val="6"/>
              <w:spacing w:before="186" w:line="211" w:lineRule="auto"/>
              <w:ind w:left="119"/>
              <w:rPr>
                <w:rFonts w:ascii="Times New Roman" w:hAnsi="Times New Roman" w:eastAsia="Times New Roman" w:cs="Times New Roman"/>
                <w:sz w:val="14"/>
                <w:szCs w:val="14"/>
              </w:rPr>
            </w:pPr>
            <w:r>
              <w:rPr>
                <w:spacing w:val="1"/>
                <w:sz w:val="22"/>
                <w:szCs w:val="22"/>
              </w:rPr>
              <w:t>检测结果最大值</w:t>
            </w:r>
            <w:r>
              <w:rPr>
                <w:rFonts w:ascii="Times New Roman" w:hAnsi="Times New Roman" w:eastAsia="Times New Roman" w:cs="Times New Roman"/>
                <w:sz w:val="22"/>
                <w:szCs w:val="22"/>
              </w:rPr>
              <w:t>mg</w:t>
            </w:r>
            <w:r>
              <w:rPr>
                <w:rFonts w:ascii="Times New Roman" w:hAnsi="Times New Roman" w:eastAsia="Times New Roman" w:cs="Times New Roman"/>
                <w:spacing w:val="1"/>
                <w:sz w:val="22"/>
                <w:szCs w:val="22"/>
              </w:rPr>
              <w:t>/m</w:t>
            </w:r>
            <w:r>
              <w:rPr>
                <w:rFonts w:ascii="Times New Roman" w:hAnsi="Times New Roman" w:eastAsia="Times New Roman" w:cs="Times New Roman"/>
                <w:spacing w:val="1"/>
                <w:position w:val="7"/>
                <w:sz w:val="14"/>
                <w:szCs w:val="14"/>
              </w:rPr>
              <w:t>3</w:t>
            </w:r>
          </w:p>
        </w:tc>
        <w:tc>
          <w:tcPr>
            <w:tcW w:w="1726" w:type="dxa"/>
            <w:gridSpan w:val="4"/>
            <w:vAlign w:val="top"/>
          </w:tcPr>
          <w:p w14:paraId="7CBEDD46">
            <w:pPr>
              <w:pStyle w:val="6"/>
              <w:spacing w:before="186" w:line="211" w:lineRule="auto"/>
              <w:ind w:left="127"/>
              <w:rPr>
                <w:rFonts w:ascii="Times New Roman" w:hAnsi="Times New Roman" w:eastAsia="Times New Roman" w:cs="Times New Roman"/>
                <w:sz w:val="14"/>
                <w:szCs w:val="14"/>
              </w:rPr>
            </w:pPr>
            <w:r>
              <w:rPr>
                <w:spacing w:val="3"/>
                <w:sz w:val="22"/>
                <w:szCs w:val="22"/>
              </w:rPr>
              <w:t>标准限值</w:t>
            </w:r>
            <w:r>
              <w:rPr>
                <w:rFonts w:ascii="Times New Roman" w:hAnsi="Times New Roman" w:eastAsia="Times New Roman" w:cs="Times New Roman"/>
                <w:sz w:val="22"/>
                <w:szCs w:val="22"/>
              </w:rPr>
              <w:t>mg</w:t>
            </w:r>
            <w:r>
              <w:rPr>
                <w:rFonts w:ascii="Times New Roman" w:hAnsi="Times New Roman" w:eastAsia="Times New Roman" w:cs="Times New Roman"/>
                <w:spacing w:val="3"/>
                <w:sz w:val="22"/>
                <w:szCs w:val="22"/>
              </w:rPr>
              <w:t>/m</w:t>
            </w:r>
            <w:r>
              <w:rPr>
                <w:rFonts w:ascii="Times New Roman" w:hAnsi="Times New Roman" w:eastAsia="Times New Roman" w:cs="Times New Roman"/>
                <w:spacing w:val="3"/>
                <w:position w:val="7"/>
                <w:sz w:val="14"/>
                <w:szCs w:val="14"/>
              </w:rPr>
              <w:t>3</w:t>
            </w:r>
          </w:p>
        </w:tc>
        <w:tc>
          <w:tcPr>
            <w:tcW w:w="1135" w:type="dxa"/>
            <w:vAlign w:val="top"/>
          </w:tcPr>
          <w:p w14:paraId="6CD9DD97">
            <w:pPr>
              <w:pStyle w:val="6"/>
              <w:spacing w:before="186" w:line="221" w:lineRule="auto"/>
              <w:ind w:left="150"/>
              <w:rPr>
                <w:sz w:val="22"/>
                <w:szCs w:val="22"/>
              </w:rPr>
            </w:pPr>
            <w:r>
              <w:rPr>
                <w:spacing w:val="-5"/>
                <w:sz w:val="22"/>
                <w:szCs w:val="22"/>
              </w:rPr>
              <w:t>是否达标</w:t>
            </w:r>
          </w:p>
        </w:tc>
        <w:tc>
          <w:tcPr>
            <w:tcW w:w="122" w:type="dxa"/>
            <w:tcBorders>
              <w:top w:val="nil"/>
              <w:bottom w:val="nil"/>
              <w:right w:val="single" w:color="000000" w:sz="6" w:space="0"/>
            </w:tcBorders>
            <w:vAlign w:val="top"/>
          </w:tcPr>
          <w:p w14:paraId="3422FA8E">
            <w:pPr>
              <w:rPr>
                <w:rFonts w:ascii="Arial"/>
                <w:sz w:val="21"/>
              </w:rPr>
            </w:pPr>
          </w:p>
        </w:tc>
      </w:tr>
      <w:tr w14:paraId="06F81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831" w:type="dxa"/>
            <w:vMerge w:val="continue"/>
            <w:tcBorders>
              <w:top w:val="nil"/>
              <w:left w:val="single" w:color="000000" w:sz="6" w:space="0"/>
              <w:bottom w:val="nil"/>
            </w:tcBorders>
            <w:vAlign w:val="top"/>
          </w:tcPr>
          <w:p w14:paraId="32B69F92">
            <w:pPr>
              <w:rPr>
                <w:rFonts w:ascii="Arial"/>
                <w:sz w:val="21"/>
              </w:rPr>
            </w:pPr>
          </w:p>
        </w:tc>
        <w:tc>
          <w:tcPr>
            <w:tcW w:w="113" w:type="dxa"/>
            <w:tcBorders>
              <w:top w:val="nil"/>
              <w:bottom w:val="nil"/>
            </w:tcBorders>
            <w:vAlign w:val="top"/>
          </w:tcPr>
          <w:p w14:paraId="48BAF0E8">
            <w:pPr>
              <w:rPr>
                <w:rFonts w:ascii="Arial"/>
                <w:sz w:val="21"/>
              </w:rPr>
            </w:pPr>
          </w:p>
        </w:tc>
        <w:tc>
          <w:tcPr>
            <w:tcW w:w="941" w:type="dxa"/>
            <w:vMerge w:val="restart"/>
            <w:tcBorders>
              <w:bottom w:val="nil"/>
            </w:tcBorders>
            <w:vAlign w:val="top"/>
          </w:tcPr>
          <w:p w14:paraId="36BDBA33">
            <w:pPr>
              <w:spacing w:line="436" w:lineRule="auto"/>
              <w:rPr>
                <w:rFonts w:ascii="Arial"/>
                <w:sz w:val="21"/>
              </w:rPr>
            </w:pPr>
          </w:p>
          <w:p w14:paraId="01B95873">
            <w:pPr>
              <w:pStyle w:val="6"/>
              <w:spacing w:before="72" w:line="242" w:lineRule="auto"/>
              <w:ind w:left="260" w:right="144" w:hanging="110"/>
              <w:rPr>
                <w:sz w:val="22"/>
                <w:szCs w:val="22"/>
              </w:rPr>
            </w:pPr>
            <w:r>
              <w:rPr>
                <w:spacing w:val="-7"/>
                <w:sz w:val="22"/>
                <w:szCs w:val="22"/>
              </w:rPr>
              <w:t>非甲烷总烃</w:t>
            </w:r>
          </w:p>
        </w:tc>
        <w:tc>
          <w:tcPr>
            <w:tcW w:w="1753" w:type="dxa"/>
            <w:gridSpan w:val="3"/>
            <w:vAlign w:val="top"/>
          </w:tcPr>
          <w:p w14:paraId="4EB5E035">
            <w:pPr>
              <w:pStyle w:val="6"/>
              <w:spacing w:before="86" w:line="221" w:lineRule="auto"/>
              <w:ind w:left="153"/>
              <w:rPr>
                <w:rFonts w:ascii="Times New Roman" w:hAnsi="Times New Roman" w:eastAsia="Times New Roman" w:cs="Times New Roman"/>
                <w:sz w:val="22"/>
                <w:szCs w:val="22"/>
              </w:rPr>
            </w:pPr>
            <w:r>
              <w:rPr>
                <w:spacing w:val="-5"/>
                <w:sz w:val="22"/>
                <w:szCs w:val="22"/>
              </w:rPr>
              <w:t>无组织监测点</w:t>
            </w:r>
            <w:r>
              <w:rPr>
                <w:spacing w:val="-32"/>
                <w:sz w:val="22"/>
                <w:szCs w:val="22"/>
              </w:rPr>
              <w:t xml:space="preserve"> </w:t>
            </w:r>
            <w:r>
              <w:rPr>
                <w:rFonts w:ascii="Times New Roman" w:hAnsi="Times New Roman" w:eastAsia="Times New Roman" w:cs="Times New Roman"/>
                <w:spacing w:val="-5"/>
                <w:sz w:val="22"/>
                <w:szCs w:val="22"/>
              </w:rPr>
              <w:t>1</w:t>
            </w:r>
          </w:p>
        </w:tc>
        <w:tc>
          <w:tcPr>
            <w:tcW w:w="2367" w:type="dxa"/>
            <w:gridSpan w:val="3"/>
            <w:vAlign w:val="top"/>
          </w:tcPr>
          <w:p w14:paraId="614EFA08">
            <w:pPr>
              <w:spacing w:before="124" w:line="189" w:lineRule="auto"/>
              <w:ind w:left="1020"/>
              <w:rPr>
                <w:rFonts w:ascii="Times New Roman" w:hAnsi="Times New Roman" w:eastAsia="Times New Roman" w:cs="Times New Roman"/>
                <w:sz w:val="22"/>
                <w:szCs w:val="22"/>
              </w:rPr>
            </w:pPr>
            <w:r>
              <w:rPr>
                <w:rFonts w:ascii="Times New Roman" w:hAnsi="Times New Roman" w:eastAsia="Times New Roman" w:cs="Times New Roman"/>
                <w:spacing w:val="-8"/>
                <w:sz w:val="22"/>
                <w:szCs w:val="22"/>
              </w:rPr>
              <w:t>1.52</w:t>
            </w:r>
          </w:p>
        </w:tc>
        <w:tc>
          <w:tcPr>
            <w:tcW w:w="1726" w:type="dxa"/>
            <w:gridSpan w:val="4"/>
            <w:vAlign w:val="top"/>
          </w:tcPr>
          <w:p w14:paraId="501E1C5D">
            <w:pPr>
              <w:spacing w:before="124" w:line="189" w:lineRule="auto"/>
              <w:ind w:left="73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w:t>
            </w:r>
          </w:p>
        </w:tc>
        <w:tc>
          <w:tcPr>
            <w:tcW w:w="1135" w:type="dxa"/>
            <w:vAlign w:val="top"/>
          </w:tcPr>
          <w:p w14:paraId="4C716456">
            <w:pPr>
              <w:pStyle w:val="6"/>
              <w:spacing w:before="86" w:line="221" w:lineRule="auto"/>
              <w:ind w:left="362"/>
              <w:rPr>
                <w:sz w:val="22"/>
                <w:szCs w:val="22"/>
              </w:rPr>
            </w:pPr>
            <w:r>
              <w:rPr>
                <w:spacing w:val="-4"/>
                <w:sz w:val="22"/>
                <w:szCs w:val="22"/>
              </w:rPr>
              <w:t>达标</w:t>
            </w:r>
          </w:p>
        </w:tc>
        <w:tc>
          <w:tcPr>
            <w:tcW w:w="122" w:type="dxa"/>
            <w:tcBorders>
              <w:top w:val="nil"/>
              <w:bottom w:val="nil"/>
              <w:right w:val="single" w:color="000000" w:sz="6" w:space="0"/>
            </w:tcBorders>
            <w:vAlign w:val="top"/>
          </w:tcPr>
          <w:p w14:paraId="6D75230C">
            <w:pPr>
              <w:rPr>
                <w:rFonts w:ascii="Arial"/>
                <w:sz w:val="21"/>
              </w:rPr>
            </w:pPr>
          </w:p>
        </w:tc>
      </w:tr>
      <w:tr w14:paraId="5B791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831" w:type="dxa"/>
            <w:vMerge w:val="continue"/>
            <w:tcBorders>
              <w:top w:val="nil"/>
              <w:left w:val="single" w:color="000000" w:sz="6" w:space="0"/>
              <w:bottom w:val="nil"/>
            </w:tcBorders>
            <w:vAlign w:val="top"/>
          </w:tcPr>
          <w:p w14:paraId="4C26485A">
            <w:pPr>
              <w:rPr>
                <w:rFonts w:ascii="Arial"/>
                <w:sz w:val="21"/>
              </w:rPr>
            </w:pPr>
          </w:p>
        </w:tc>
        <w:tc>
          <w:tcPr>
            <w:tcW w:w="113" w:type="dxa"/>
            <w:tcBorders>
              <w:top w:val="nil"/>
              <w:bottom w:val="nil"/>
            </w:tcBorders>
            <w:vAlign w:val="top"/>
          </w:tcPr>
          <w:p w14:paraId="57EE46D2">
            <w:pPr>
              <w:rPr>
                <w:rFonts w:ascii="Arial"/>
                <w:sz w:val="21"/>
              </w:rPr>
            </w:pPr>
          </w:p>
        </w:tc>
        <w:tc>
          <w:tcPr>
            <w:tcW w:w="941" w:type="dxa"/>
            <w:vMerge w:val="continue"/>
            <w:tcBorders>
              <w:top w:val="nil"/>
              <w:bottom w:val="nil"/>
            </w:tcBorders>
            <w:vAlign w:val="top"/>
          </w:tcPr>
          <w:p w14:paraId="0A352486">
            <w:pPr>
              <w:rPr>
                <w:rFonts w:ascii="Arial"/>
                <w:sz w:val="21"/>
              </w:rPr>
            </w:pPr>
          </w:p>
        </w:tc>
        <w:tc>
          <w:tcPr>
            <w:tcW w:w="1753" w:type="dxa"/>
            <w:gridSpan w:val="3"/>
            <w:vAlign w:val="top"/>
          </w:tcPr>
          <w:p w14:paraId="125B23BF">
            <w:pPr>
              <w:pStyle w:val="6"/>
              <w:spacing w:before="86" w:line="221" w:lineRule="auto"/>
              <w:ind w:left="153"/>
              <w:rPr>
                <w:rFonts w:ascii="Times New Roman" w:hAnsi="Times New Roman" w:eastAsia="Times New Roman" w:cs="Times New Roman"/>
                <w:sz w:val="22"/>
                <w:szCs w:val="22"/>
              </w:rPr>
            </w:pPr>
            <w:r>
              <w:rPr>
                <w:spacing w:val="-5"/>
                <w:sz w:val="22"/>
                <w:szCs w:val="22"/>
              </w:rPr>
              <w:t>无组织监测点</w:t>
            </w:r>
            <w:r>
              <w:rPr>
                <w:spacing w:val="-53"/>
                <w:sz w:val="22"/>
                <w:szCs w:val="22"/>
              </w:rPr>
              <w:t xml:space="preserve"> </w:t>
            </w:r>
            <w:r>
              <w:rPr>
                <w:rFonts w:ascii="Times New Roman" w:hAnsi="Times New Roman" w:eastAsia="Times New Roman" w:cs="Times New Roman"/>
                <w:spacing w:val="-5"/>
                <w:sz w:val="22"/>
                <w:szCs w:val="22"/>
              </w:rPr>
              <w:t>2</w:t>
            </w:r>
          </w:p>
        </w:tc>
        <w:tc>
          <w:tcPr>
            <w:tcW w:w="2367" w:type="dxa"/>
            <w:gridSpan w:val="3"/>
            <w:vAlign w:val="top"/>
          </w:tcPr>
          <w:p w14:paraId="116ED521">
            <w:pPr>
              <w:spacing w:before="125" w:line="189" w:lineRule="auto"/>
              <w:ind w:left="1020"/>
              <w:rPr>
                <w:rFonts w:ascii="Times New Roman" w:hAnsi="Times New Roman" w:eastAsia="Times New Roman" w:cs="Times New Roman"/>
                <w:sz w:val="22"/>
                <w:szCs w:val="22"/>
              </w:rPr>
            </w:pPr>
            <w:r>
              <w:rPr>
                <w:rFonts w:ascii="Times New Roman" w:hAnsi="Times New Roman" w:eastAsia="Times New Roman" w:cs="Times New Roman"/>
                <w:spacing w:val="-8"/>
                <w:sz w:val="22"/>
                <w:szCs w:val="22"/>
              </w:rPr>
              <w:t>1.34</w:t>
            </w:r>
          </w:p>
        </w:tc>
        <w:tc>
          <w:tcPr>
            <w:tcW w:w="1726" w:type="dxa"/>
            <w:gridSpan w:val="4"/>
            <w:vAlign w:val="top"/>
          </w:tcPr>
          <w:p w14:paraId="14584723">
            <w:pPr>
              <w:spacing w:before="125" w:line="189" w:lineRule="auto"/>
              <w:ind w:left="73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w:t>
            </w:r>
          </w:p>
        </w:tc>
        <w:tc>
          <w:tcPr>
            <w:tcW w:w="1135" w:type="dxa"/>
            <w:vAlign w:val="top"/>
          </w:tcPr>
          <w:p w14:paraId="07161333">
            <w:pPr>
              <w:pStyle w:val="6"/>
              <w:spacing w:before="86" w:line="221" w:lineRule="auto"/>
              <w:ind w:left="362"/>
              <w:rPr>
                <w:sz w:val="22"/>
                <w:szCs w:val="22"/>
              </w:rPr>
            </w:pPr>
            <w:r>
              <w:rPr>
                <w:spacing w:val="-4"/>
                <w:sz w:val="22"/>
                <w:szCs w:val="22"/>
              </w:rPr>
              <w:t>达标</w:t>
            </w:r>
          </w:p>
        </w:tc>
        <w:tc>
          <w:tcPr>
            <w:tcW w:w="122" w:type="dxa"/>
            <w:tcBorders>
              <w:top w:val="nil"/>
              <w:bottom w:val="nil"/>
              <w:right w:val="single" w:color="000000" w:sz="6" w:space="0"/>
            </w:tcBorders>
            <w:vAlign w:val="top"/>
          </w:tcPr>
          <w:p w14:paraId="626BA48A">
            <w:pPr>
              <w:rPr>
                <w:rFonts w:ascii="Arial"/>
                <w:sz w:val="21"/>
              </w:rPr>
            </w:pPr>
          </w:p>
        </w:tc>
      </w:tr>
      <w:tr w14:paraId="00DBB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31" w:type="dxa"/>
            <w:vMerge w:val="continue"/>
            <w:tcBorders>
              <w:top w:val="nil"/>
              <w:left w:val="single" w:color="000000" w:sz="6" w:space="0"/>
              <w:bottom w:val="nil"/>
            </w:tcBorders>
            <w:vAlign w:val="top"/>
          </w:tcPr>
          <w:p w14:paraId="2EAA5F74">
            <w:pPr>
              <w:rPr>
                <w:rFonts w:ascii="Arial"/>
                <w:sz w:val="21"/>
              </w:rPr>
            </w:pPr>
          </w:p>
        </w:tc>
        <w:tc>
          <w:tcPr>
            <w:tcW w:w="113" w:type="dxa"/>
            <w:tcBorders>
              <w:top w:val="nil"/>
              <w:bottom w:val="nil"/>
            </w:tcBorders>
            <w:vAlign w:val="top"/>
          </w:tcPr>
          <w:p w14:paraId="1FA6B63F">
            <w:pPr>
              <w:rPr>
                <w:rFonts w:ascii="Arial"/>
                <w:sz w:val="21"/>
              </w:rPr>
            </w:pPr>
          </w:p>
        </w:tc>
        <w:tc>
          <w:tcPr>
            <w:tcW w:w="941" w:type="dxa"/>
            <w:vMerge w:val="continue"/>
            <w:tcBorders>
              <w:top w:val="nil"/>
              <w:bottom w:val="nil"/>
            </w:tcBorders>
            <w:vAlign w:val="top"/>
          </w:tcPr>
          <w:p w14:paraId="77B85E6A">
            <w:pPr>
              <w:rPr>
                <w:rFonts w:ascii="Arial"/>
                <w:sz w:val="21"/>
              </w:rPr>
            </w:pPr>
          </w:p>
        </w:tc>
        <w:tc>
          <w:tcPr>
            <w:tcW w:w="1753" w:type="dxa"/>
            <w:gridSpan w:val="3"/>
            <w:vAlign w:val="top"/>
          </w:tcPr>
          <w:p w14:paraId="2F12DF66">
            <w:pPr>
              <w:pStyle w:val="6"/>
              <w:spacing w:before="91" w:line="221" w:lineRule="auto"/>
              <w:ind w:left="153"/>
              <w:rPr>
                <w:rFonts w:ascii="Times New Roman" w:hAnsi="Times New Roman" w:eastAsia="Times New Roman" w:cs="Times New Roman"/>
                <w:sz w:val="22"/>
                <w:szCs w:val="22"/>
              </w:rPr>
            </w:pPr>
            <w:r>
              <w:rPr>
                <w:spacing w:val="-5"/>
                <w:sz w:val="22"/>
                <w:szCs w:val="22"/>
              </w:rPr>
              <w:t>无组织监测点</w:t>
            </w:r>
            <w:r>
              <w:rPr>
                <w:spacing w:val="-49"/>
                <w:sz w:val="22"/>
                <w:szCs w:val="22"/>
              </w:rPr>
              <w:t xml:space="preserve"> </w:t>
            </w:r>
            <w:r>
              <w:rPr>
                <w:rFonts w:ascii="Times New Roman" w:hAnsi="Times New Roman" w:eastAsia="Times New Roman" w:cs="Times New Roman"/>
                <w:spacing w:val="-5"/>
                <w:sz w:val="22"/>
                <w:szCs w:val="22"/>
              </w:rPr>
              <w:t>3</w:t>
            </w:r>
          </w:p>
        </w:tc>
        <w:tc>
          <w:tcPr>
            <w:tcW w:w="2367" w:type="dxa"/>
            <w:gridSpan w:val="3"/>
            <w:vAlign w:val="top"/>
          </w:tcPr>
          <w:p w14:paraId="38385E55">
            <w:pPr>
              <w:spacing w:before="129" w:line="189" w:lineRule="auto"/>
              <w:ind w:left="100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0.99</w:t>
            </w:r>
          </w:p>
        </w:tc>
        <w:tc>
          <w:tcPr>
            <w:tcW w:w="1726" w:type="dxa"/>
            <w:gridSpan w:val="4"/>
            <w:vAlign w:val="top"/>
          </w:tcPr>
          <w:p w14:paraId="3FD4F770">
            <w:pPr>
              <w:spacing w:before="129" w:line="189" w:lineRule="auto"/>
              <w:ind w:left="73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w:t>
            </w:r>
          </w:p>
        </w:tc>
        <w:tc>
          <w:tcPr>
            <w:tcW w:w="1135" w:type="dxa"/>
            <w:vAlign w:val="top"/>
          </w:tcPr>
          <w:p w14:paraId="6210BA73">
            <w:pPr>
              <w:pStyle w:val="6"/>
              <w:spacing w:before="91" w:line="221" w:lineRule="auto"/>
              <w:ind w:left="362"/>
              <w:rPr>
                <w:sz w:val="22"/>
                <w:szCs w:val="22"/>
              </w:rPr>
            </w:pPr>
            <w:r>
              <w:rPr>
                <w:spacing w:val="-4"/>
                <w:sz w:val="22"/>
                <w:szCs w:val="22"/>
              </w:rPr>
              <w:t>达标</w:t>
            </w:r>
          </w:p>
        </w:tc>
        <w:tc>
          <w:tcPr>
            <w:tcW w:w="122" w:type="dxa"/>
            <w:tcBorders>
              <w:top w:val="nil"/>
              <w:bottom w:val="nil"/>
              <w:right w:val="single" w:color="000000" w:sz="6" w:space="0"/>
            </w:tcBorders>
            <w:vAlign w:val="top"/>
          </w:tcPr>
          <w:p w14:paraId="556D00B2">
            <w:pPr>
              <w:rPr>
                <w:rFonts w:ascii="Arial"/>
                <w:sz w:val="21"/>
              </w:rPr>
            </w:pPr>
          </w:p>
        </w:tc>
      </w:tr>
      <w:tr w14:paraId="42A5E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31" w:type="dxa"/>
            <w:vMerge w:val="continue"/>
            <w:tcBorders>
              <w:top w:val="nil"/>
              <w:left w:val="single" w:color="000000" w:sz="6" w:space="0"/>
              <w:bottom w:val="single" w:color="000000" w:sz="6" w:space="0"/>
            </w:tcBorders>
            <w:vAlign w:val="top"/>
          </w:tcPr>
          <w:p w14:paraId="2DCDFEF4">
            <w:pPr>
              <w:rPr>
                <w:rFonts w:ascii="Arial"/>
                <w:sz w:val="21"/>
              </w:rPr>
            </w:pPr>
          </w:p>
        </w:tc>
        <w:tc>
          <w:tcPr>
            <w:tcW w:w="113" w:type="dxa"/>
            <w:tcBorders>
              <w:top w:val="nil"/>
              <w:bottom w:val="single" w:color="000000" w:sz="6" w:space="0"/>
            </w:tcBorders>
            <w:vAlign w:val="top"/>
          </w:tcPr>
          <w:p w14:paraId="56745B68">
            <w:pPr>
              <w:rPr>
                <w:rFonts w:ascii="Arial"/>
                <w:sz w:val="21"/>
              </w:rPr>
            </w:pPr>
          </w:p>
        </w:tc>
        <w:tc>
          <w:tcPr>
            <w:tcW w:w="941" w:type="dxa"/>
            <w:vMerge w:val="continue"/>
            <w:tcBorders>
              <w:top w:val="nil"/>
              <w:bottom w:val="single" w:color="000000" w:sz="6" w:space="0"/>
            </w:tcBorders>
            <w:vAlign w:val="top"/>
          </w:tcPr>
          <w:p w14:paraId="170B3BC2">
            <w:pPr>
              <w:rPr>
                <w:rFonts w:ascii="Arial"/>
                <w:sz w:val="21"/>
              </w:rPr>
            </w:pPr>
          </w:p>
        </w:tc>
        <w:tc>
          <w:tcPr>
            <w:tcW w:w="1753" w:type="dxa"/>
            <w:gridSpan w:val="3"/>
            <w:tcBorders>
              <w:bottom w:val="single" w:color="000000" w:sz="6" w:space="0"/>
            </w:tcBorders>
            <w:vAlign w:val="top"/>
          </w:tcPr>
          <w:p w14:paraId="06C9A7DC">
            <w:pPr>
              <w:pStyle w:val="6"/>
              <w:spacing w:before="87" w:line="221" w:lineRule="auto"/>
              <w:ind w:left="153"/>
              <w:rPr>
                <w:rFonts w:ascii="Times New Roman" w:hAnsi="Times New Roman" w:eastAsia="Times New Roman" w:cs="Times New Roman"/>
                <w:sz w:val="22"/>
                <w:szCs w:val="22"/>
              </w:rPr>
            </w:pPr>
            <w:r>
              <w:rPr>
                <w:spacing w:val="-5"/>
                <w:sz w:val="22"/>
                <w:szCs w:val="22"/>
              </w:rPr>
              <w:t>无组织监测点</w:t>
            </w:r>
            <w:r>
              <w:rPr>
                <w:spacing w:val="-55"/>
                <w:sz w:val="22"/>
                <w:szCs w:val="22"/>
              </w:rPr>
              <w:t xml:space="preserve"> </w:t>
            </w:r>
            <w:r>
              <w:rPr>
                <w:rFonts w:ascii="Times New Roman" w:hAnsi="Times New Roman" w:eastAsia="Times New Roman" w:cs="Times New Roman"/>
                <w:spacing w:val="-5"/>
                <w:sz w:val="22"/>
                <w:szCs w:val="22"/>
              </w:rPr>
              <w:t>4</w:t>
            </w:r>
          </w:p>
        </w:tc>
        <w:tc>
          <w:tcPr>
            <w:tcW w:w="2367" w:type="dxa"/>
            <w:gridSpan w:val="3"/>
            <w:tcBorders>
              <w:bottom w:val="single" w:color="000000" w:sz="6" w:space="0"/>
            </w:tcBorders>
            <w:vAlign w:val="top"/>
          </w:tcPr>
          <w:p w14:paraId="622B13B8">
            <w:pPr>
              <w:spacing w:before="125" w:line="189" w:lineRule="auto"/>
              <w:ind w:left="1020"/>
              <w:rPr>
                <w:rFonts w:ascii="Times New Roman" w:hAnsi="Times New Roman" w:eastAsia="Times New Roman" w:cs="Times New Roman"/>
                <w:sz w:val="22"/>
                <w:szCs w:val="22"/>
              </w:rPr>
            </w:pPr>
            <w:r>
              <w:rPr>
                <w:rFonts w:ascii="Times New Roman" w:hAnsi="Times New Roman" w:eastAsia="Times New Roman" w:cs="Times New Roman"/>
                <w:spacing w:val="-8"/>
                <w:sz w:val="22"/>
                <w:szCs w:val="22"/>
              </w:rPr>
              <w:t>1.23</w:t>
            </w:r>
          </w:p>
        </w:tc>
        <w:tc>
          <w:tcPr>
            <w:tcW w:w="1726" w:type="dxa"/>
            <w:gridSpan w:val="4"/>
            <w:tcBorders>
              <w:bottom w:val="single" w:color="000000" w:sz="6" w:space="0"/>
            </w:tcBorders>
            <w:vAlign w:val="top"/>
          </w:tcPr>
          <w:p w14:paraId="22B15227">
            <w:pPr>
              <w:spacing w:before="125" w:line="189" w:lineRule="auto"/>
              <w:ind w:left="73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w:t>
            </w:r>
          </w:p>
        </w:tc>
        <w:tc>
          <w:tcPr>
            <w:tcW w:w="1135" w:type="dxa"/>
            <w:tcBorders>
              <w:bottom w:val="single" w:color="000000" w:sz="6" w:space="0"/>
            </w:tcBorders>
            <w:vAlign w:val="top"/>
          </w:tcPr>
          <w:p w14:paraId="220943C4">
            <w:pPr>
              <w:pStyle w:val="6"/>
              <w:spacing w:before="87" w:line="221" w:lineRule="auto"/>
              <w:ind w:left="362"/>
              <w:rPr>
                <w:sz w:val="22"/>
                <w:szCs w:val="22"/>
              </w:rPr>
            </w:pPr>
            <w:r>
              <w:rPr>
                <w:spacing w:val="-4"/>
                <w:sz w:val="22"/>
                <w:szCs w:val="22"/>
              </w:rPr>
              <w:t>达标</w:t>
            </w:r>
          </w:p>
        </w:tc>
        <w:tc>
          <w:tcPr>
            <w:tcW w:w="122" w:type="dxa"/>
            <w:tcBorders>
              <w:top w:val="nil"/>
              <w:bottom w:val="single" w:color="000000" w:sz="6" w:space="0"/>
              <w:right w:val="single" w:color="000000" w:sz="6" w:space="0"/>
            </w:tcBorders>
            <w:vAlign w:val="top"/>
          </w:tcPr>
          <w:p w14:paraId="108303AE">
            <w:pPr>
              <w:rPr>
                <w:rFonts w:ascii="Arial"/>
                <w:sz w:val="21"/>
              </w:rPr>
            </w:pPr>
          </w:p>
        </w:tc>
      </w:tr>
    </w:tbl>
    <w:p w14:paraId="4018CEC2">
      <w:pPr>
        <w:pStyle w:val="2"/>
        <w:rPr>
          <w:sz w:val="21"/>
        </w:rPr>
      </w:pPr>
    </w:p>
    <w:p w14:paraId="518C8A16">
      <w:pPr>
        <w:rPr>
          <w:sz w:val="21"/>
          <w:szCs w:val="21"/>
        </w:rPr>
        <w:sectPr>
          <w:footerReference r:id="rId48" w:type="default"/>
          <w:pgSz w:w="11906" w:h="16839"/>
          <w:pgMar w:top="400" w:right="1451" w:bottom="1009" w:left="1451" w:header="0" w:footer="777" w:gutter="0"/>
          <w:cols w:space="720" w:num="1"/>
        </w:sectPr>
      </w:pPr>
    </w:p>
    <w:p w14:paraId="7F067F3B">
      <w:pPr>
        <w:spacing w:before="19"/>
      </w:pPr>
    </w:p>
    <w:p w14:paraId="11143DC7">
      <w:pPr>
        <w:spacing w:before="19"/>
      </w:pPr>
    </w:p>
    <w:p w14:paraId="14EEE3D2">
      <w:pPr>
        <w:spacing w:before="19"/>
      </w:pPr>
    </w:p>
    <w:p w14:paraId="6073D2CF">
      <w:pPr>
        <w:spacing w:before="18"/>
      </w:pPr>
    </w:p>
    <w:p w14:paraId="2754CA0A">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55CF3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67" w:hRule="atLeast"/>
        </w:trPr>
        <w:tc>
          <w:tcPr>
            <w:tcW w:w="831" w:type="dxa"/>
            <w:tcBorders>
              <w:right w:val="single" w:color="000000" w:sz="2" w:space="0"/>
            </w:tcBorders>
            <w:vAlign w:val="top"/>
          </w:tcPr>
          <w:p w14:paraId="7DE89B0B">
            <w:pPr>
              <w:rPr>
                <w:rFonts w:ascii="Arial"/>
                <w:sz w:val="21"/>
              </w:rPr>
            </w:pPr>
          </w:p>
        </w:tc>
        <w:tc>
          <w:tcPr>
            <w:tcW w:w="8157" w:type="dxa"/>
            <w:tcBorders>
              <w:left w:val="single" w:color="000000" w:sz="2" w:space="0"/>
            </w:tcBorders>
            <w:vAlign w:val="top"/>
          </w:tcPr>
          <w:p w14:paraId="28E9B74F">
            <w:pPr>
              <w:pStyle w:val="6"/>
              <w:spacing w:before="147" w:line="340" w:lineRule="auto"/>
              <w:ind w:left="112" w:right="102" w:firstLine="547"/>
              <w:jc w:val="both"/>
            </w:pPr>
            <w:r>
              <w:rPr>
                <w:spacing w:val="4"/>
              </w:rPr>
              <w:t>由上表分析可知，现有工程油气处理装置出口、油气回收系统的气</w:t>
            </w:r>
            <w:r>
              <w:rPr>
                <w:spacing w:val="6"/>
              </w:rPr>
              <w:t>液比、油气回收管线液阻检测值、油气回收系统密闭性压</w:t>
            </w:r>
            <w:r>
              <w:rPr>
                <w:spacing w:val="5"/>
              </w:rPr>
              <w:t>力检测值、在</w:t>
            </w:r>
            <w:r>
              <w:rPr>
                <w:spacing w:val="6"/>
              </w:rPr>
              <w:t>线系统流量传感器检测、油气回收系统密闭点位油气</w:t>
            </w:r>
            <w:r>
              <w:rPr>
                <w:spacing w:val="5"/>
              </w:rPr>
              <w:t>泄漏检测及非甲烷</w:t>
            </w:r>
            <w:r>
              <w:rPr>
                <w:spacing w:val="33"/>
              </w:rPr>
              <w:t>总烃无组织排放检测结果均满足《加油站大</w:t>
            </w:r>
            <w:r>
              <w:rPr>
                <w:spacing w:val="32"/>
              </w:rPr>
              <w:t>气污染物排放标准》</w:t>
            </w:r>
            <w:r>
              <w:t xml:space="preserve"> </w:t>
            </w:r>
            <w:r>
              <w:rPr>
                <w:spacing w:val="6"/>
              </w:rPr>
              <w:t>（</w:t>
            </w:r>
            <w:r>
              <w:rPr>
                <w:rFonts w:ascii="Times New Roman" w:hAnsi="Times New Roman" w:eastAsia="Times New Roman" w:cs="Times New Roman"/>
              </w:rPr>
              <w:t>GB</w:t>
            </w:r>
            <w:r>
              <w:rPr>
                <w:rFonts w:ascii="Times New Roman" w:hAnsi="Times New Roman" w:eastAsia="Times New Roman" w:cs="Times New Roman"/>
                <w:spacing w:val="6"/>
              </w:rPr>
              <w:t>20952-2020</w:t>
            </w:r>
            <w:r>
              <w:rPr>
                <w:spacing w:val="6"/>
              </w:rPr>
              <w:t>）限值要求。</w:t>
            </w:r>
          </w:p>
          <w:p w14:paraId="0F21D3F0">
            <w:pPr>
              <w:pStyle w:val="6"/>
              <w:spacing w:before="1" w:line="225" w:lineRule="auto"/>
              <w:ind w:left="640"/>
            </w:pPr>
            <w:r>
              <w:rPr>
                <w:spacing w:val="4"/>
              </w:rPr>
              <w:t>（</w:t>
            </w:r>
            <w:r>
              <w:rPr>
                <w:rFonts w:ascii="Times New Roman" w:hAnsi="Times New Roman" w:eastAsia="Times New Roman" w:cs="Times New Roman"/>
                <w:spacing w:val="4"/>
              </w:rPr>
              <w:t>2</w:t>
            </w:r>
            <w:r>
              <w:rPr>
                <w:spacing w:val="4"/>
              </w:rPr>
              <w:t>）废水</w:t>
            </w:r>
          </w:p>
          <w:p w14:paraId="137985CB">
            <w:pPr>
              <w:pStyle w:val="6"/>
              <w:spacing w:before="154" w:line="226" w:lineRule="auto"/>
              <w:ind w:left="629"/>
            </w:pPr>
            <w:r>
              <w:rPr>
                <w:spacing w:val="7"/>
              </w:rPr>
              <w:t>站内已实行雨污分流。</w:t>
            </w:r>
          </w:p>
          <w:p w14:paraId="1D2BCB05">
            <w:pPr>
              <w:pStyle w:val="6"/>
              <w:spacing w:before="155" w:line="339" w:lineRule="auto"/>
              <w:ind w:left="109" w:right="102" w:firstLine="518"/>
            </w:pPr>
            <w:r>
              <w:rPr>
                <w:spacing w:val="15"/>
              </w:rPr>
              <w:t>①屋面及罩棚雨水等通过顶部雨水导流管引流进入加</w:t>
            </w:r>
            <w:r>
              <w:rPr>
                <w:spacing w:val="14"/>
              </w:rPr>
              <w:t>油站北侧市</w:t>
            </w:r>
            <w:r>
              <w:rPr>
                <w:spacing w:val="8"/>
              </w:rPr>
              <w:t>政雨水管网（市政雨水管网接口编号为</w:t>
            </w:r>
            <w:r>
              <w:rPr>
                <w:spacing w:val="-57"/>
              </w:rPr>
              <w:t xml:space="preserve"> </w:t>
            </w:r>
            <w:r>
              <w:rPr>
                <w:rFonts w:ascii="Times New Roman" w:hAnsi="Times New Roman" w:eastAsia="Times New Roman" w:cs="Times New Roman"/>
                <w:spacing w:val="8"/>
              </w:rPr>
              <w:t>Y1</w:t>
            </w:r>
            <w:r>
              <w:rPr>
                <w:spacing w:val="7"/>
              </w:rPr>
              <w:t>）；</w:t>
            </w:r>
          </w:p>
          <w:p w14:paraId="3109DFE2">
            <w:pPr>
              <w:pStyle w:val="6"/>
              <w:spacing w:before="5" w:line="339" w:lineRule="auto"/>
              <w:ind w:left="110" w:right="35" w:firstLine="516"/>
            </w:pPr>
            <w:r>
              <w:rPr>
                <w:spacing w:val="13"/>
              </w:rPr>
              <w:t>②场地冲洗废水及初期雨水经截水沟引入</w:t>
            </w:r>
            <w:r>
              <w:rPr>
                <w:spacing w:val="-24"/>
              </w:rPr>
              <w:t xml:space="preserve"> </w:t>
            </w:r>
            <w:r>
              <w:rPr>
                <w:rFonts w:ascii="Times New Roman" w:hAnsi="Times New Roman" w:eastAsia="Times New Roman" w:cs="Times New Roman"/>
                <w:spacing w:val="13"/>
              </w:rPr>
              <w:t>1</w:t>
            </w:r>
            <w:r>
              <w:rPr>
                <w:rFonts w:ascii="Times New Roman" w:hAnsi="Times New Roman" w:eastAsia="Times New Roman" w:cs="Times New Roman"/>
                <w:spacing w:val="21"/>
                <w:w w:val="101"/>
              </w:rPr>
              <w:t xml:space="preserve"> </w:t>
            </w:r>
            <w:r>
              <w:rPr>
                <w:spacing w:val="13"/>
              </w:rPr>
              <w:t>座</w:t>
            </w:r>
            <w:r>
              <w:rPr>
                <w:spacing w:val="12"/>
              </w:rPr>
              <w:t>三段式隔油沉砂池</w:t>
            </w:r>
            <w:r>
              <w:rPr>
                <w:spacing w:val="1"/>
              </w:rPr>
              <w:t>处理，处理达《污水综合排放标准》（</w:t>
            </w:r>
            <w:r>
              <w:rPr>
                <w:rFonts w:ascii="Times New Roman" w:hAnsi="Times New Roman" w:eastAsia="Times New Roman" w:cs="Times New Roman"/>
              </w:rPr>
              <w:t>GB</w:t>
            </w:r>
            <w:r>
              <w:rPr>
                <w:rFonts w:ascii="Times New Roman" w:hAnsi="Times New Roman" w:eastAsia="Times New Roman" w:cs="Times New Roman"/>
                <w:spacing w:val="1"/>
              </w:rPr>
              <w:t>8978-</w:t>
            </w:r>
            <w:r>
              <w:rPr>
                <w:rFonts w:ascii="Times New Roman" w:hAnsi="Times New Roman" w:eastAsia="Times New Roman" w:cs="Times New Roman"/>
                <w:spacing w:val="-29"/>
              </w:rPr>
              <w:t xml:space="preserve"> </w:t>
            </w:r>
            <w:r>
              <w:rPr>
                <w:rFonts w:ascii="Times New Roman" w:hAnsi="Times New Roman" w:eastAsia="Times New Roman" w:cs="Times New Roman"/>
                <w:spacing w:val="1"/>
              </w:rPr>
              <w:t>1996</w:t>
            </w:r>
            <w:r>
              <w:rPr>
                <w:spacing w:val="1"/>
              </w:rPr>
              <w:t>）三级排放标准后，</w:t>
            </w:r>
            <w:r>
              <w:rPr>
                <w:spacing w:val="6"/>
              </w:rPr>
              <w:t>排入加油站西北侧市政污水管网。卸油区及加油区外设环形截</w:t>
            </w:r>
            <w:r>
              <w:rPr>
                <w:spacing w:val="5"/>
              </w:rPr>
              <w:t>流沟，末</w:t>
            </w:r>
            <w:r>
              <w:rPr>
                <w:spacing w:val="8"/>
              </w:rPr>
              <w:t>端连接至三段式隔油池；</w:t>
            </w:r>
          </w:p>
          <w:p w14:paraId="56A7515A">
            <w:pPr>
              <w:pStyle w:val="6"/>
              <w:spacing w:before="2" w:line="339" w:lineRule="auto"/>
              <w:ind w:left="109" w:right="102" w:firstLine="517"/>
            </w:pPr>
            <w:r>
              <w:rPr>
                <w:spacing w:val="6"/>
              </w:rPr>
              <w:t>③员工、司乘人员等产生的生活污水经生化池处</w:t>
            </w:r>
            <w:r>
              <w:rPr>
                <w:spacing w:val="5"/>
              </w:rPr>
              <w:t>理，排入加油站西</w:t>
            </w:r>
            <w:r>
              <w:rPr>
                <w:spacing w:val="6"/>
              </w:rPr>
              <w:t>北侧市政污水管网，最终进入大九污水处理厂进一步处理达《城</w:t>
            </w:r>
            <w:r>
              <w:rPr>
                <w:spacing w:val="5"/>
              </w:rPr>
              <w:t>镇污水</w:t>
            </w:r>
            <w:r>
              <w:rPr>
                <w:spacing w:val="9"/>
              </w:rPr>
              <w:t>处理厂污染物排放标准》（</w:t>
            </w:r>
            <w:r>
              <w:rPr>
                <w:rFonts w:ascii="Times New Roman" w:hAnsi="Times New Roman" w:eastAsia="Times New Roman" w:cs="Times New Roman"/>
              </w:rPr>
              <w:t>GB</w:t>
            </w:r>
            <w:r>
              <w:rPr>
                <w:rFonts w:ascii="Times New Roman" w:hAnsi="Times New Roman" w:eastAsia="Times New Roman" w:cs="Times New Roman"/>
                <w:spacing w:val="9"/>
              </w:rPr>
              <w:t>18918-2002</w:t>
            </w:r>
            <w:r>
              <w:rPr>
                <w:spacing w:val="9"/>
              </w:rPr>
              <w:t>）一级</w:t>
            </w:r>
            <w:r>
              <w:rPr>
                <w:spacing w:val="-55"/>
              </w:rPr>
              <w:t xml:space="preserve"> </w:t>
            </w:r>
            <w:r>
              <w:rPr>
                <w:rFonts w:ascii="Times New Roman" w:hAnsi="Times New Roman" w:eastAsia="Times New Roman" w:cs="Times New Roman"/>
                <w:spacing w:val="9"/>
              </w:rPr>
              <w:t xml:space="preserve">A </w:t>
            </w:r>
            <w:r>
              <w:rPr>
                <w:spacing w:val="9"/>
              </w:rPr>
              <w:t>标准后，排入跳蹬</w:t>
            </w:r>
            <w:r>
              <w:rPr>
                <w:spacing w:val="-1"/>
              </w:rPr>
              <w:t>河。</w:t>
            </w:r>
          </w:p>
          <w:p w14:paraId="47DC485C">
            <w:pPr>
              <w:pStyle w:val="6"/>
              <w:spacing w:before="1" w:line="226" w:lineRule="auto"/>
              <w:ind w:left="640"/>
            </w:pPr>
            <w:r>
              <w:rPr>
                <w:spacing w:val="4"/>
              </w:rPr>
              <w:t>（</w:t>
            </w:r>
            <w:r>
              <w:rPr>
                <w:rFonts w:ascii="Times New Roman" w:hAnsi="Times New Roman" w:eastAsia="Times New Roman" w:cs="Times New Roman"/>
                <w:spacing w:val="4"/>
              </w:rPr>
              <w:t>3</w:t>
            </w:r>
            <w:r>
              <w:rPr>
                <w:spacing w:val="4"/>
              </w:rPr>
              <w:t>）噪声</w:t>
            </w:r>
          </w:p>
          <w:p w14:paraId="61D64BF4">
            <w:pPr>
              <w:pStyle w:val="6"/>
              <w:spacing w:before="152" w:line="340" w:lineRule="auto"/>
              <w:ind w:left="112" w:right="29" w:firstLine="517"/>
              <w:jc w:val="both"/>
            </w:pPr>
            <w:r>
              <w:rPr>
                <w:spacing w:val="8"/>
              </w:rPr>
              <w:t>站内噪声源强较小，主要噪声源为潜油泵、加油机、柴油发电机、</w:t>
            </w:r>
            <w:r>
              <w:rPr>
                <w:spacing w:val="6"/>
              </w:rPr>
              <w:t>油罐车及加油车辆进出加油站时产生的交通噪声。站</w:t>
            </w:r>
            <w:r>
              <w:rPr>
                <w:spacing w:val="5"/>
              </w:rPr>
              <w:t>内加强管理，禁止</w:t>
            </w:r>
            <w:r>
              <w:rPr>
                <w:spacing w:val="8"/>
              </w:rPr>
              <w:t>车辆鸣笛，针对潜油泵、加油机及柴油发电机等采取已采取减震措施。</w:t>
            </w:r>
          </w:p>
          <w:p w14:paraId="6DEEE22B">
            <w:pPr>
              <w:pStyle w:val="6"/>
              <w:spacing w:before="1" w:line="226" w:lineRule="auto"/>
              <w:ind w:left="640"/>
            </w:pPr>
            <w:r>
              <w:rPr>
                <w:spacing w:val="6"/>
              </w:rPr>
              <w:t>（</w:t>
            </w:r>
            <w:r>
              <w:rPr>
                <w:rFonts w:ascii="Times New Roman" w:hAnsi="Times New Roman" w:eastAsia="Times New Roman" w:cs="Times New Roman"/>
                <w:spacing w:val="6"/>
              </w:rPr>
              <w:t>4</w:t>
            </w:r>
            <w:r>
              <w:rPr>
                <w:spacing w:val="6"/>
              </w:rPr>
              <w:t>）固体废物</w:t>
            </w:r>
          </w:p>
          <w:p w14:paraId="656812E6">
            <w:pPr>
              <w:pStyle w:val="6"/>
              <w:spacing w:before="155" w:line="339" w:lineRule="auto"/>
              <w:ind w:left="110" w:right="102" w:firstLine="520"/>
            </w:pPr>
            <w:r>
              <w:rPr>
                <w:spacing w:val="5"/>
              </w:rPr>
              <w:t>现有工程产生的固体废物主要为清罐检修废物、含油污泥、废棉纱</w:t>
            </w:r>
            <w:r>
              <w:rPr>
                <w:spacing w:val="9"/>
              </w:rPr>
              <w:t>手套及员工、工作人员及司乘人员产生的生活垃圾。</w:t>
            </w:r>
          </w:p>
          <w:p w14:paraId="573BD1A2">
            <w:pPr>
              <w:pStyle w:val="6"/>
              <w:spacing w:before="3" w:line="339" w:lineRule="auto"/>
              <w:ind w:left="111" w:right="105" w:firstLine="518"/>
              <w:jc w:val="both"/>
            </w:pPr>
            <w:r>
              <w:rPr>
                <w:spacing w:val="5"/>
              </w:rPr>
              <w:t>站内已设危废贮存点，占地面积约</w:t>
            </w:r>
            <w:r>
              <w:rPr>
                <w:spacing w:val="-46"/>
              </w:rPr>
              <w:t xml:space="preserve"> </w:t>
            </w:r>
            <w:r>
              <w:rPr>
                <w:rFonts w:ascii="Times New Roman" w:hAnsi="Times New Roman" w:eastAsia="Times New Roman" w:cs="Times New Roman"/>
                <w:spacing w:val="5"/>
              </w:rPr>
              <w:t>2m</w:t>
            </w:r>
            <w:r>
              <w:rPr>
                <w:rFonts w:ascii="Times New Roman" w:hAnsi="Times New Roman" w:eastAsia="Times New Roman" w:cs="Times New Roman"/>
                <w:spacing w:val="5"/>
                <w:position w:val="8"/>
                <w:sz w:val="16"/>
                <w:szCs w:val="16"/>
              </w:rPr>
              <w:t>2</w:t>
            </w:r>
            <w:r>
              <w:rPr>
                <w:rFonts w:ascii="Times New Roman" w:hAnsi="Times New Roman" w:eastAsia="Times New Roman" w:cs="Times New Roman"/>
                <w:spacing w:val="-8"/>
                <w:position w:val="8"/>
                <w:sz w:val="16"/>
                <w:szCs w:val="16"/>
              </w:rPr>
              <w:t xml:space="preserve"> </w:t>
            </w:r>
            <w:r>
              <w:rPr>
                <w:spacing w:val="5"/>
              </w:rPr>
              <w:t>，已与重庆新炬缘环保科技</w:t>
            </w:r>
            <w:r>
              <w:rPr>
                <w:spacing w:val="6"/>
              </w:rPr>
              <w:t>有限公司签订协议，并进行转运处理。生活垃圾收集后</w:t>
            </w:r>
            <w:r>
              <w:rPr>
                <w:spacing w:val="5"/>
              </w:rPr>
              <w:t>定期交由环卫部</w:t>
            </w:r>
            <w:r>
              <w:rPr>
                <w:spacing w:val="7"/>
              </w:rPr>
              <w:t>门统一清运处置。</w:t>
            </w:r>
          </w:p>
          <w:p w14:paraId="7885B32C">
            <w:pPr>
              <w:pStyle w:val="6"/>
              <w:spacing w:before="1" w:line="290" w:lineRule="auto"/>
              <w:ind w:left="114" w:right="2" w:firstLine="517"/>
            </w:pPr>
            <w:r>
              <w:rPr>
                <w:spacing w:val="5"/>
              </w:rPr>
              <w:t>危废贮存点已设置危险废物标识牌，地面已进行防腐防渗处理，并</w:t>
            </w:r>
            <w:r>
              <w:rPr>
                <w:spacing w:val="9"/>
              </w:rPr>
              <w:t>设置托盘，危废贮存点设计及建设满足《危险废物贮存污染控制标准》</w:t>
            </w:r>
          </w:p>
        </w:tc>
      </w:tr>
    </w:tbl>
    <w:p w14:paraId="29A80B32">
      <w:pPr>
        <w:pStyle w:val="2"/>
        <w:rPr>
          <w:sz w:val="21"/>
        </w:rPr>
      </w:pPr>
    </w:p>
    <w:p w14:paraId="44A835AF">
      <w:pPr>
        <w:rPr>
          <w:sz w:val="21"/>
          <w:szCs w:val="21"/>
        </w:rPr>
        <w:sectPr>
          <w:footerReference r:id="rId49" w:type="default"/>
          <w:pgSz w:w="11906" w:h="16839"/>
          <w:pgMar w:top="400" w:right="1451" w:bottom="1009" w:left="1451" w:header="0" w:footer="770" w:gutter="0"/>
          <w:cols w:space="720" w:num="1"/>
        </w:sectPr>
      </w:pPr>
    </w:p>
    <w:p w14:paraId="279BAB2F">
      <w:pPr>
        <w:spacing w:before="19"/>
      </w:pPr>
    </w:p>
    <w:p w14:paraId="5EFCFF09">
      <w:pPr>
        <w:spacing w:before="19"/>
      </w:pPr>
    </w:p>
    <w:p w14:paraId="568888FA">
      <w:pPr>
        <w:spacing w:before="19"/>
      </w:pPr>
    </w:p>
    <w:p w14:paraId="0B249B19">
      <w:pPr>
        <w:spacing w:before="18"/>
      </w:pPr>
    </w:p>
    <w:p w14:paraId="7EDC6CBC">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4B410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67" w:hRule="atLeast"/>
        </w:trPr>
        <w:tc>
          <w:tcPr>
            <w:tcW w:w="831" w:type="dxa"/>
            <w:tcBorders>
              <w:right w:val="single" w:color="000000" w:sz="2" w:space="0"/>
            </w:tcBorders>
            <w:vAlign w:val="top"/>
          </w:tcPr>
          <w:p w14:paraId="2E92F8E3">
            <w:pPr>
              <w:rPr>
                <w:rFonts w:ascii="Arial"/>
                <w:sz w:val="21"/>
              </w:rPr>
            </w:pPr>
          </w:p>
        </w:tc>
        <w:tc>
          <w:tcPr>
            <w:tcW w:w="8157" w:type="dxa"/>
            <w:tcBorders>
              <w:left w:val="single" w:color="000000" w:sz="2" w:space="0"/>
            </w:tcBorders>
            <w:vAlign w:val="top"/>
          </w:tcPr>
          <w:p w14:paraId="5A9C1E63">
            <w:pPr>
              <w:pStyle w:val="6"/>
              <w:spacing w:before="151" w:line="227" w:lineRule="auto"/>
              <w:ind w:left="121"/>
            </w:pPr>
            <w:r>
              <w:rPr>
                <w:spacing w:val="3"/>
              </w:rPr>
              <w:t>（</w:t>
            </w:r>
            <w:r>
              <w:rPr>
                <w:rFonts w:ascii="Times New Roman" w:hAnsi="Times New Roman" w:eastAsia="Times New Roman" w:cs="Times New Roman"/>
              </w:rPr>
              <w:t>GB</w:t>
            </w:r>
            <w:r>
              <w:rPr>
                <w:rFonts w:ascii="Times New Roman" w:hAnsi="Times New Roman" w:eastAsia="Times New Roman" w:cs="Times New Roman"/>
                <w:spacing w:val="35"/>
                <w:w w:val="101"/>
              </w:rPr>
              <w:t xml:space="preserve"> </w:t>
            </w:r>
            <w:r>
              <w:rPr>
                <w:rFonts w:ascii="Times New Roman" w:hAnsi="Times New Roman" w:eastAsia="Times New Roman" w:cs="Times New Roman"/>
                <w:spacing w:val="3"/>
              </w:rPr>
              <w:t>18597-2023</w:t>
            </w:r>
            <w:r>
              <w:rPr>
                <w:spacing w:val="3"/>
              </w:rPr>
              <w:t>）要求。</w:t>
            </w:r>
          </w:p>
          <w:p w14:paraId="63B95776">
            <w:pPr>
              <w:pStyle w:val="6"/>
              <w:spacing w:before="152" w:line="226" w:lineRule="auto"/>
              <w:ind w:left="640"/>
            </w:pPr>
            <w:r>
              <w:rPr>
                <w:spacing w:val="7"/>
              </w:rPr>
              <w:t>（</w:t>
            </w:r>
            <w:r>
              <w:rPr>
                <w:rFonts w:ascii="Times New Roman" w:hAnsi="Times New Roman" w:eastAsia="Times New Roman" w:cs="Times New Roman"/>
                <w:spacing w:val="7"/>
              </w:rPr>
              <w:t>5</w:t>
            </w:r>
            <w:r>
              <w:rPr>
                <w:spacing w:val="7"/>
              </w:rPr>
              <w:t>）地下水防治措施</w:t>
            </w:r>
          </w:p>
          <w:p w14:paraId="2F874F42">
            <w:pPr>
              <w:pStyle w:val="6"/>
              <w:spacing w:before="151" w:line="340" w:lineRule="auto"/>
              <w:ind w:left="109" w:right="102" w:firstLine="521"/>
            </w:pPr>
            <w:r>
              <w:rPr>
                <w:spacing w:val="5"/>
              </w:rPr>
              <w:t>现有工程已采取分区防渗措施，地埋油罐区、加油区、危险废物贮</w:t>
            </w:r>
            <w:r>
              <w:rPr>
                <w:spacing w:val="6"/>
              </w:rPr>
              <w:t>存点、隔油沉淀池、卸油区、应急柴油发电机房以及工艺管线采</w:t>
            </w:r>
            <w:r>
              <w:rPr>
                <w:spacing w:val="5"/>
              </w:rPr>
              <w:t>取重点</w:t>
            </w:r>
            <w:r>
              <w:rPr>
                <w:spacing w:val="6"/>
              </w:rPr>
              <w:t>防渗措施；生化池采取一般防渗措施；站内道路和站房地面等办</w:t>
            </w:r>
            <w:r>
              <w:rPr>
                <w:spacing w:val="5"/>
              </w:rPr>
              <w:t>公生活</w:t>
            </w:r>
            <w:r>
              <w:rPr>
                <w:spacing w:val="8"/>
              </w:rPr>
              <w:t>区采取简单防渗措施。</w:t>
            </w:r>
          </w:p>
          <w:p w14:paraId="36929BA8">
            <w:pPr>
              <w:pStyle w:val="6"/>
              <w:spacing w:line="226" w:lineRule="auto"/>
              <w:ind w:left="640"/>
            </w:pPr>
            <w:r>
              <w:rPr>
                <w:spacing w:val="7"/>
              </w:rPr>
              <w:t>（</w:t>
            </w:r>
            <w:r>
              <w:rPr>
                <w:rFonts w:ascii="Times New Roman" w:hAnsi="Times New Roman" w:eastAsia="Times New Roman" w:cs="Times New Roman"/>
                <w:spacing w:val="7"/>
              </w:rPr>
              <w:t>6</w:t>
            </w:r>
            <w:r>
              <w:rPr>
                <w:spacing w:val="7"/>
              </w:rPr>
              <w:t>）环境风险防范措施</w:t>
            </w:r>
          </w:p>
          <w:p w14:paraId="133B1C57">
            <w:pPr>
              <w:pStyle w:val="6"/>
              <w:spacing w:before="151" w:line="340" w:lineRule="auto"/>
              <w:ind w:left="112" w:right="102" w:firstLine="518"/>
            </w:pPr>
            <w:r>
              <w:rPr>
                <w:spacing w:val="5"/>
              </w:rPr>
              <w:t>现有工程储油罐设带有高液位报警功能的液位计，避免卸油时计量</w:t>
            </w:r>
            <w:r>
              <w:rPr>
                <w:spacing w:val="6"/>
              </w:rPr>
              <w:t>失误使罐内液位过高造成冒油，设置了可燃气体报警仪；</w:t>
            </w:r>
            <w:r>
              <w:rPr>
                <w:spacing w:val="5"/>
              </w:rPr>
              <w:t>建立、完善了</w:t>
            </w:r>
            <w:r>
              <w:rPr>
                <w:spacing w:val="6"/>
              </w:rPr>
              <w:t>安全管理制度；做好了防雷工作；加强了设备管理，消除</w:t>
            </w:r>
            <w:r>
              <w:rPr>
                <w:spacing w:val="5"/>
              </w:rPr>
              <w:t>静电危害；加</w:t>
            </w:r>
            <w:r>
              <w:rPr>
                <w:spacing w:val="6"/>
              </w:rPr>
              <w:t>强了作业现场的安全管理；设立了安全标识、规范安全操</w:t>
            </w:r>
            <w:r>
              <w:rPr>
                <w:spacing w:val="5"/>
              </w:rPr>
              <w:t>作；配备了灭</w:t>
            </w:r>
            <w:r>
              <w:rPr>
                <w:spacing w:val="6"/>
              </w:rPr>
              <w:t>火毯、消防沙、手提式干粉灭火器、消防砂池、吸油</w:t>
            </w:r>
            <w:r>
              <w:rPr>
                <w:spacing w:val="5"/>
              </w:rPr>
              <w:t>毡等；加强了日常</w:t>
            </w:r>
            <w:r>
              <w:rPr>
                <w:spacing w:val="9"/>
              </w:rPr>
              <w:t>防火巡查；加大了培训力度，提高了员工素质，增强了安全意识。</w:t>
            </w:r>
          </w:p>
          <w:p w14:paraId="60F192E1">
            <w:pPr>
              <w:pStyle w:val="6"/>
              <w:spacing w:before="1" w:line="225" w:lineRule="auto"/>
              <w:ind w:left="106"/>
            </w:pPr>
            <w:r>
              <w:rPr>
                <w:rFonts w:ascii="Times New Roman" w:hAnsi="Times New Roman" w:eastAsia="Times New Roman" w:cs="Times New Roman"/>
                <w:b/>
                <w:bCs/>
                <w:spacing w:val="6"/>
              </w:rPr>
              <w:t xml:space="preserve">2.12.3 </w:t>
            </w:r>
            <w:r>
              <w:rPr>
                <w:b/>
                <w:bCs/>
                <w:spacing w:val="6"/>
              </w:rPr>
              <w:t>主要环境问题及整改措施</w:t>
            </w:r>
          </w:p>
          <w:p w14:paraId="2BF79846">
            <w:pPr>
              <w:pStyle w:val="6"/>
              <w:spacing w:before="154" w:line="340" w:lineRule="auto"/>
              <w:ind w:left="114" w:right="102" w:firstLine="514"/>
            </w:pPr>
            <w:r>
              <w:rPr>
                <w:spacing w:val="6"/>
              </w:rPr>
              <w:t>根据现场踏勘及走访调查，九中路加油站运</w:t>
            </w:r>
            <w:r>
              <w:rPr>
                <w:spacing w:val="5"/>
              </w:rPr>
              <w:t>行至今，未发生环境污</w:t>
            </w:r>
            <w:r>
              <w:rPr>
                <w:spacing w:val="7"/>
              </w:rPr>
              <w:t>染事故，未接到环保投诉。</w:t>
            </w:r>
          </w:p>
          <w:p w14:paraId="2E8B97A1">
            <w:pPr>
              <w:pStyle w:val="6"/>
              <w:spacing w:before="2" w:line="339" w:lineRule="auto"/>
              <w:ind w:left="115" w:right="49" w:firstLine="514"/>
              <w:jc w:val="both"/>
            </w:pPr>
            <w:r>
              <w:rPr>
                <w:spacing w:val="5"/>
              </w:rPr>
              <w:t>本次评价对罐区地下水、土壤均进行了采样监测，根据现状监测结</w:t>
            </w:r>
            <w:r>
              <w:rPr>
                <w:spacing w:val="7"/>
              </w:rPr>
              <w:t>果，加油站区域内地下水、土壤能均满足地下水及土壤环境质量标准，</w:t>
            </w:r>
            <w:r>
              <w:rPr>
                <w:spacing w:val="8"/>
              </w:rPr>
              <w:t>即该项目用地范围内无原有土壤、地下水污染问题。</w:t>
            </w:r>
          </w:p>
          <w:p w14:paraId="74C30E30">
            <w:pPr>
              <w:pStyle w:val="6"/>
              <w:spacing w:before="3" w:line="339" w:lineRule="auto"/>
              <w:ind w:left="111" w:right="105" w:firstLine="542"/>
              <w:jc w:val="both"/>
            </w:pPr>
            <w:r>
              <w:rPr>
                <w:spacing w:val="29"/>
              </w:rPr>
              <w:t>同时</w:t>
            </w:r>
            <w:r>
              <w:rPr>
                <w:spacing w:val="-62"/>
              </w:rPr>
              <w:t xml:space="preserve"> </w:t>
            </w:r>
            <w:r>
              <w:rPr>
                <w:spacing w:val="29"/>
              </w:rPr>
              <w:t>，根据《排污单位自行监测技术指南储油库</w:t>
            </w:r>
            <w:r>
              <w:rPr>
                <w:spacing w:val="-71"/>
              </w:rPr>
              <w:t xml:space="preserve"> </w:t>
            </w:r>
            <w:r>
              <w:rPr>
                <w:spacing w:val="29"/>
              </w:rPr>
              <w:t>、加油站》</w:t>
            </w:r>
            <w:r>
              <w:t xml:space="preserve"> </w:t>
            </w:r>
            <w:r>
              <w:rPr>
                <w:spacing w:val="8"/>
              </w:rPr>
              <w:t>（</w:t>
            </w:r>
            <w:r>
              <w:rPr>
                <w:rFonts w:ascii="Times New Roman" w:hAnsi="Times New Roman" w:eastAsia="Times New Roman" w:cs="Times New Roman"/>
              </w:rPr>
              <w:t>HJ</w:t>
            </w:r>
            <w:r>
              <w:rPr>
                <w:rFonts w:ascii="Times New Roman" w:hAnsi="Times New Roman" w:eastAsia="Times New Roman" w:cs="Times New Roman"/>
                <w:spacing w:val="8"/>
              </w:rPr>
              <w:t>1249-2022</w:t>
            </w:r>
            <w:r>
              <w:rPr>
                <w:spacing w:val="8"/>
              </w:rPr>
              <w:t>）</w:t>
            </w:r>
            <w:r>
              <w:rPr>
                <w:spacing w:val="-71"/>
              </w:rPr>
              <w:t xml:space="preserve"> </w:t>
            </w:r>
            <w:r>
              <w:rPr>
                <w:spacing w:val="8"/>
              </w:rPr>
              <w:t>以及《排污许可证申请与核发技术</w:t>
            </w:r>
            <w:r>
              <w:rPr>
                <w:spacing w:val="7"/>
              </w:rPr>
              <w:t>规范储油库、加油</w:t>
            </w:r>
            <w:r>
              <w:rPr>
                <w:spacing w:val="5"/>
              </w:rPr>
              <w:t>站》（</w:t>
            </w:r>
            <w:r>
              <w:rPr>
                <w:rFonts w:ascii="Times New Roman" w:hAnsi="Times New Roman" w:eastAsia="Times New Roman" w:cs="Times New Roman"/>
              </w:rPr>
              <w:t>HJ</w:t>
            </w:r>
            <w:r>
              <w:rPr>
                <w:rFonts w:ascii="Times New Roman" w:hAnsi="Times New Roman" w:eastAsia="Times New Roman" w:cs="Times New Roman"/>
                <w:spacing w:val="5"/>
              </w:rPr>
              <w:t>1118-2020</w:t>
            </w:r>
            <w:r>
              <w:rPr>
                <w:spacing w:val="5"/>
              </w:rPr>
              <w:t>）的相关要求：</w:t>
            </w:r>
          </w:p>
          <w:p w14:paraId="3DAF4708">
            <w:pPr>
              <w:pStyle w:val="6"/>
              <w:spacing w:before="3" w:line="339" w:lineRule="auto"/>
              <w:ind w:left="113" w:right="29" w:firstLine="514"/>
            </w:pPr>
            <w:r>
              <w:rPr>
                <w:spacing w:val="8"/>
              </w:rPr>
              <w:t>①九中加油站现有工程已设置了油气回收装置、隔油池、生化池、</w:t>
            </w:r>
            <w:r>
              <w:rPr>
                <w:spacing w:val="6"/>
              </w:rPr>
              <w:t>危险废物贮存点等环保设置，废气及废水处理系统正常</w:t>
            </w:r>
            <w:r>
              <w:rPr>
                <w:spacing w:val="5"/>
              </w:rPr>
              <w:t>运行，危险废物</w:t>
            </w:r>
            <w:r>
              <w:rPr>
                <w:spacing w:val="9"/>
              </w:rPr>
              <w:t>收集暂存并定期交由资质单位处置，做好了危险废物台账记录；</w:t>
            </w:r>
          </w:p>
          <w:p w14:paraId="313AAF80">
            <w:pPr>
              <w:pStyle w:val="6"/>
              <w:spacing w:before="1" w:line="339" w:lineRule="auto"/>
              <w:ind w:left="111" w:right="105" w:firstLine="515"/>
            </w:pPr>
            <w:r>
              <w:rPr>
                <w:spacing w:val="5"/>
              </w:rPr>
              <w:t>②站内已落实环境管理制度，按照排污许可证定期开展了废气例行</w:t>
            </w:r>
            <w:r>
              <w:rPr>
                <w:spacing w:val="2"/>
              </w:rPr>
              <w:t>监测；</w:t>
            </w:r>
          </w:p>
          <w:p w14:paraId="3B6E9B90">
            <w:pPr>
              <w:pStyle w:val="6"/>
              <w:spacing w:before="1" w:line="290" w:lineRule="auto"/>
              <w:ind w:left="110" w:right="105" w:firstLine="516"/>
            </w:pPr>
            <w:r>
              <w:rPr>
                <w:spacing w:val="5"/>
              </w:rPr>
              <w:t>③站内已落实分区防渗及环境风险措施，保证事故状态下泄漏污染</w:t>
            </w:r>
            <w:r>
              <w:rPr>
                <w:spacing w:val="7"/>
              </w:rPr>
              <w:t>物可控可拦截。</w:t>
            </w:r>
          </w:p>
        </w:tc>
      </w:tr>
    </w:tbl>
    <w:p w14:paraId="70A44EA9">
      <w:pPr>
        <w:pStyle w:val="2"/>
        <w:rPr>
          <w:sz w:val="21"/>
        </w:rPr>
      </w:pPr>
    </w:p>
    <w:p w14:paraId="2B4EA60A">
      <w:pPr>
        <w:rPr>
          <w:sz w:val="21"/>
          <w:szCs w:val="21"/>
        </w:rPr>
        <w:sectPr>
          <w:footerReference r:id="rId50" w:type="default"/>
          <w:pgSz w:w="11906" w:h="16839"/>
          <w:pgMar w:top="400" w:right="1451" w:bottom="1009" w:left="1451" w:header="0" w:footer="777" w:gutter="0"/>
          <w:cols w:space="720" w:num="1"/>
        </w:sectPr>
      </w:pPr>
    </w:p>
    <w:p w14:paraId="02B8311A">
      <w:pPr>
        <w:spacing w:before="19"/>
      </w:pPr>
    </w:p>
    <w:p w14:paraId="4518C07C">
      <w:pPr>
        <w:spacing w:before="19"/>
      </w:pPr>
    </w:p>
    <w:p w14:paraId="6BE83BEC">
      <w:pPr>
        <w:spacing w:before="19"/>
      </w:pPr>
    </w:p>
    <w:p w14:paraId="191FBC7A">
      <w:pPr>
        <w:spacing w:before="18"/>
      </w:pPr>
    </w:p>
    <w:p w14:paraId="0E84BC95">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113"/>
        <w:gridCol w:w="3965"/>
        <w:gridCol w:w="3966"/>
        <w:gridCol w:w="113"/>
      </w:tblGrid>
      <w:tr w14:paraId="687DB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7" w:hRule="atLeast"/>
        </w:trPr>
        <w:tc>
          <w:tcPr>
            <w:tcW w:w="831" w:type="dxa"/>
            <w:vMerge w:val="restart"/>
            <w:tcBorders>
              <w:top w:val="single" w:color="000000" w:sz="6" w:space="0"/>
              <w:left w:val="single" w:color="000000" w:sz="6" w:space="0"/>
              <w:bottom w:val="nil"/>
            </w:tcBorders>
            <w:vAlign w:val="top"/>
          </w:tcPr>
          <w:p w14:paraId="100D1C23">
            <w:pPr>
              <w:rPr>
                <w:rFonts w:ascii="Arial"/>
                <w:sz w:val="21"/>
              </w:rPr>
            </w:pPr>
          </w:p>
        </w:tc>
        <w:tc>
          <w:tcPr>
            <w:tcW w:w="8157" w:type="dxa"/>
            <w:gridSpan w:val="4"/>
            <w:tcBorders>
              <w:top w:val="single" w:color="000000" w:sz="6" w:space="0"/>
              <w:right w:val="single" w:color="000000" w:sz="6" w:space="0"/>
            </w:tcBorders>
            <w:vAlign w:val="top"/>
          </w:tcPr>
          <w:p w14:paraId="3DD96CB1">
            <w:pPr>
              <w:pStyle w:val="6"/>
              <w:spacing w:before="152" w:line="311" w:lineRule="auto"/>
              <w:ind w:left="111" w:right="35" w:firstLine="520"/>
              <w:jc w:val="both"/>
            </w:pPr>
            <w:r>
              <w:rPr>
                <w:spacing w:val="8"/>
              </w:rPr>
              <w:t>综上所述，现有工程污染防治措施及环境管理制度均有较</w:t>
            </w:r>
            <w:r>
              <w:rPr>
                <w:spacing w:val="7"/>
              </w:rPr>
              <w:t>好落实，</w:t>
            </w:r>
            <w:r>
              <w:t>不涉及污染问题。本次改扩建项目实施后，通过本次评价完善环评手</w:t>
            </w:r>
            <w:r>
              <w:rPr>
                <w:spacing w:val="-1"/>
              </w:rPr>
              <w:t>续，</w:t>
            </w:r>
            <w:r>
              <w:rPr>
                <w:spacing w:val="6"/>
              </w:rPr>
              <w:t>同时评价建议开展废水自行监测要求，定期针对隔油池、生</w:t>
            </w:r>
            <w:r>
              <w:rPr>
                <w:spacing w:val="5"/>
              </w:rPr>
              <w:t>化池排水达</w:t>
            </w:r>
            <w:r>
              <w:rPr>
                <w:spacing w:val="7"/>
              </w:rPr>
              <w:t>标进行定期监控。</w:t>
            </w:r>
          </w:p>
        </w:tc>
      </w:tr>
      <w:tr w14:paraId="43A4E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1" w:hRule="atLeast"/>
        </w:trPr>
        <w:tc>
          <w:tcPr>
            <w:tcW w:w="831" w:type="dxa"/>
            <w:vMerge w:val="continue"/>
            <w:tcBorders>
              <w:top w:val="nil"/>
              <w:left w:val="single" w:color="000000" w:sz="6" w:space="0"/>
              <w:bottom w:val="nil"/>
            </w:tcBorders>
            <w:vAlign w:val="top"/>
          </w:tcPr>
          <w:p w14:paraId="393CCADC">
            <w:pPr>
              <w:rPr>
                <w:rFonts w:ascii="Arial"/>
                <w:sz w:val="21"/>
              </w:rPr>
            </w:pPr>
          </w:p>
        </w:tc>
        <w:tc>
          <w:tcPr>
            <w:tcW w:w="113" w:type="dxa"/>
            <w:tcBorders>
              <w:top w:val="nil"/>
              <w:bottom w:val="nil"/>
            </w:tcBorders>
            <w:vAlign w:val="top"/>
          </w:tcPr>
          <w:p w14:paraId="45334C0B">
            <w:pPr>
              <w:rPr>
                <w:rFonts w:ascii="Arial"/>
                <w:sz w:val="21"/>
              </w:rPr>
            </w:pPr>
          </w:p>
        </w:tc>
        <w:tc>
          <w:tcPr>
            <w:tcW w:w="3965" w:type="dxa"/>
            <w:vAlign w:val="top"/>
          </w:tcPr>
          <w:p w14:paraId="3EFE4ABD">
            <w:pPr>
              <w:spacing w:before="3" w:line="2777" w:lineRule="exact"/>
              <w:ind w:firstLine="116"/>
            </w:pPr>
            <w:r>
              <w:rPr>
                <w:position w:val="-55"/>
              </w:rPr>
              <w:drawing>
                <wp:inline distT="0" distB="0" distL="0" distR="0">
                  <wp:extent cx="2353945" cy="176339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25"/>
                          <a:stretch>
                            <a:fillRect/>
                          </a:stretch>
                        </pic:blipFill>
                        <pic:spPr>
                          <a:xfrm>
                            <a:off x="0" y="0"/>
                            <a:ext cx="2354579" cy="1763902"/>
                          </a:xfrm>
                          <a:prstGeom prst="rect">
                            <a:avLst/>
                          </a:prstGeom>
                        </pic:spPr>
                      </pic:pic>
                    </a:graphicData>
                  </a:graphic>
                </wp:inline>
              </w:drawing>
            </w:r>
          </w:p>
        </w:tc>
        <w:tc>
          <w:tcPr>
            <w:tcW w:w="3966" w:type="dxa"/>
            <w:vAlign w:val="top"/>
          </w:tcPr>
          <w:p w14:paraId="710123A7">
            <w:pPr>
              <w:spacing w:before="3" w:line="2777" w:lineRule="exact"/>
              <w:ind w:firstLine="124"/>
            </w:pPr>
            <w:r>
              <w:rPr>
                <w:position w:val="-55"/>
              </w:rPr>
              <w:drawing>
                <wp:inline distT="0" distB="0" distL="0" distR="0">
                  <wp:extent cx="2353945" cy="176339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26"/>
                          <a:stretch>
                            <a:fillRect/>
                          </a:stretch>
                        </pic:blipFill>
                        <pic:spPr>
                          <a:xfrm>
                            <a:off x="0" y="0"/>
                            <a:ext cx="2354579" cy="1763902"/>
                          </a:xfrm>
                          <a:prstGeom prst="rect">
                            <a:avLst/>
                          </a:prstGeom>
                        </pic:spPr>
                      </pic:pic>
                    </a:graphicData>
                  </a:graphic>
                </wp:inline>
              </w:drawing>
            </w:r>
          </w:p>
        </w:tc>
        <w:tc>
          <w:tcPr>
            <w:tcW w:w="113" w:type="dxa"/>
            <w:tcBorders>
              <w:top w:val="nil"/>
              <w:bottom w:val="nil"/>
              <w:right w:val="single" w:color="000000" w:sz="6" w:space="0"/>
            </w:tcBorders>
            <w:vAlign w:val="top"/>
          </w:tcPr>
          <w:p w14:paraId="118882E1">
            <w:pPr>
              <w:rPr>
                <w:rFonts w:ascii="Arial"/>
                <w:sz w:val="21"/>
              </w:rPr>
            </w:pPr>
          </w:p>
        </w:tc>
      </w:tr>
      <w:tr w14:paraId="5DCB0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831" w:type="dxa"/>
            <w:vMerge w:val="continue"/>
            <w:tcBorders>
              <w:top w:val="nil"/>
              <w:left w:val="single" w:color="000000" w:sz="6" w:space="0"/>
              <w:bottom w:val="nil"/>
            </w:tcBorders>
            <w:vAlign w:val="top"/>
          </w:tcPr>
          <w:p w14:paraId="3867FD1F">
            <w:pPr>
              <w:rPr>
                <w:rFonts w:ascii="Arial"/>
                <w:sz w:val="21"/>
              </w:rPr>
            </w:pPr>
          </w:p>
        </w:tc>
        <w:tc>
          <w:tcPr>
            <w:tcW w:w="113" w:type="dxa"/>
            <w:tcBorders>
              <w:top w:val="nil"/>
              <w:bottom w:val="nil"/>
            </w:tcBorders>
            <w:vAlign w:val="top"/>
          </w:tcPr>
          <w:p w14:paraId="798AB81C">
            <w:pPr>
              <w:rPr>
                <w:rFonts w:ascii="Arial"/>
                <w:sz w:val="21"/>
              </w:rPr>
            </w:pPr>
          </w:p>
        </w:tc>
        <w:tc>
          <w:tcPr>
            <w:tcW w:w="3965" w:type="dxa"/>
            <w:vAlign w:val="top"/>
          </w:tcPr>
          <w:p w14:paraId="152ACAFC">
            <w:pPr>
              <w:pStyle w:val="6"/>
              <w:spacing w:before="40" w:line="201" w:lineRule="auto"/>
              <w:ind w:left="776"/>
              <w:outlineLvl w:val="1"/>
              <w:rPr>
                <w:sz w:val="22"/>
                <w:szCs w:val="22"/>
              </w:rPr>
            </w:pPr>
            <w:r>
              <w:rPr>
                <w:sz w:val="22"/>
                <w:szCs w:val="22"/>
              </w:rPr>
              <w:t>罩棚（加油区）及站房一</w:t>
            </w:r>
          </w:p>
        </w:tc>
        <w:tc>
          <w:tcPr>
            <w:tcW w:w="3966" w:type="dxa"/>
            <w:vAlign w:val="top"/>
          </w:tcPr>
          <w:p w14:paraId="21F06513">
            <w:pPr>
              <w:pStyle w:val="6"/>
              <w:spacing w:before="40" w:line="201" w:lineRule="auto"/>
              <w:ind w:left="1664"/>
              <w:outlineLvl w:val="1"/>
              <w:rPr>
                <w:sz w:val="22"/>
                <w:szCs w:val="22"/>
              </w:rPr>
            </w:pPr>
            <w:r>
              <w:rPr>
                <w:spacing w:val="-3"/>
                <w:sz w:val="22"/>
                <w:szCs w:val="22"/>
              </w:rPr>
              <w:t>站房二</w:t>
            </w:r>
          </w:p>
        </w:tc>
        <w:tc>
          <w:tcPr>
            <w:tcW w:w="113" w:type="dxa"/>
            <w:tcBorders>
              <w:top w:val="nil"/>
              <w:bottom w:val="nil"/>
              <w:right w:val="single" w:color="000000" w:sz="6" w:space="0"/>
            </w:tcBorders>
            <w:vAlign w:val="top"/>
          </w:tcPr>
          <w:p w14:paraId="5E7E7CF8">
            <w:pPr>
              <w:rPr>
                <w:rFonts w:ascii="Arial"/>
                <w:sz w:val="21"/>
              </w:rPr>
            </w:pPr>
          </w:p>
        </w:tc>
      </w:tr>
      <w:tr w14:paraId="1BE5E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1" w:hRule="atLeast"/>
        </w:trPr>
        <w:tc>
          <w:tcPr>
            <w:tcW w:w="831" w:type="dxa"/>
            <w:vMerge w:val="continue"/>
            <w:tcBorders>
              <w:top w:val="nil"/>
              <w:left w:val="single" w:color="000000" w:sz="6" w:space="0"/>
              <w:bottom w:val="nil"/>
            </w:tcBorders>
            <w:vAlign w:val="top"/>
          </w:tcPr>
          <w:p w14:paraId="7B316EC6">
            <w:pPr>
              <w:rPr>
                <w:rFonts w:ascii="Arial"/>
                <w:sz w:val="21"/>
              </w:rPr>
            </w:pPr>
          </w:p>
        </w:tc>
        <w:tc>
          <w:tcPr>
            <w:tcW w:w="113" w:type="dxa"/>
            <w:tcBorders>
              <w:top w:val="nil"/>
              <w:bottom w:val="nil"/>
            </w:tcBorders>
            <w:vAlign w:val="top"/>
          </w:tcPr>
          <w:p w14:paraId="16A8B44D">
            <w:pPr>
              <w:rPr>
                <w:rFonts w:ascii="Arial"/>
                <w:sz w:val="21"/>
              </w:rPr>
            </w:pPr>
          </w:p>
        </w:tc>
        <w:tc>
          <w:tcPr>
            <w:tcW w:w="3965" w:type="dxa"/>
            <w:vAlign w:val="top"/>
          </w:tcPr>
          <w:p w14:paraId="263EA909">
            <w:pPr>
              <w:spacing w:before="8" w:line="2772" w:lineRule="exact"/>
              <w:ind w:firstLine="116"/>
            </w:pPr>
            <w:r>
              <w:rPr>
                <w:position w:val="-55"/>
              </w:rPr>
              <w:drawing>
                <wp:inline distT="0" distB="0" distL="0" distR="0">
                  <wp:extent cx="2353945" cy="176022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27"/>
                          <a:stretch>
                            <a:fillRect/>
                          </a:stretch>
                        </pic:blipFill>
                        <pic:spPr>
                          <a:xfrm>
                            <a:off x="0" y="0"/>
                            <a:ext cx="2354579" cy="1760727"/>
                          </a:xfrm>
                          <a:prstGeom prst="rect">
                            <a:avLst/>
                          </a:prstGeom>
                        </pic:spPr>
                      </pic:pic>
                    </a:graphicData>
                  </a:graphic>
                </wp:inline>
              </w:drawing>
            </w:r>
          </w:p>
        </w:tc>
        <w:tc>
          <w:tcPr>
            <w:tcW w:w="3966" w:type="dxa"/>
            <w:vAlign w:val="top"/>
          </w:tcPr>
          <w:p w14:paraId="39CEF03F">
            <w:pPr>
              <w:spacing w:before="8" w:line="2772" w:lineRule="exact"/>
              <w:ind w:firstLine="124"/>
            </w:pPr>
            <w:r>
              <w:rPr>
                <w:position w:val="-55"/>
              </w:rPr>
              <w:drawing>
                <wp:inline distT="0" distB="0" distL="0" distR="0">
                  <wp:extent cx="2353945" cy="176022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28"/>
                          <a:stretch>
                            <a:fillRect/>
                          </a:stretch>
                        </pic:blipFill>
                        <pic:spPr>
                          <a:xfrm>
                            <a:off x="0" y="0"/>
                            <a:ext cx="2354579" cy="1760727"/>
                          </a:xfrm>
                          <a:prstGeom prst="rect">
                            <a:avLst/>
                          </a:prstGeom>
                        </pic:spPr>
                      </pic:pic>
                    </a:graphicData>
                  </a:graphic>
                </wp:inline>
              </w:drawing>
            </w:r>
          </w:p>
        </w:tc>
        <w:tc>
          <w:tcPr>
            <w:tcW w:w="113" w:type="dxa"/>
            <w:tcBorders>
              <w:top w:val="nil"/>
              <w:bottom w:val="nil"/>
              <w:right w:val="single" w:color="000000" w:sz="6" w:space="0"/>
            </w:tcBorders>
            <w:vAlign w:val="top"/>
          </w:tcPr>
          <w:p w14:paraId="514EB4BB">
            <w:pPr>
              <w:rPr>
                <w:rFonts w:ascii="Arial"/>
                <w:sz w:val="21"/>
              </w:rPr>
            </w:pPr>
          </w:p>
        </w:tc>
      </w:tr>
      <w:tr w14:paraId="43B15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831" w:type="dxa"/>
            <w:vMerge w:val="continue"/>
            <w:tcBorders>
              <w:top w:val="nil"/>
              <w:left w:val="single" w:color="000000" w:sz="6" w:space="0"/>
              <w:bottom w:val="nil"/>
            </w:tcBorders>
            <w:vAlign w:val="top"/>
          </w:tcPr>
          <w:p w14:paraId="47E9C694">
            <w:pPr>
              <w:rPr>
                <w:rFonts w:ascii="Arial"/>
                <w:sz w:val="21"/>
              </w:rPr>
            </w:pPr>
          </w:p>
        </w:tc>
        <w:tc>
          <w:tcPr>
            <w:tcW w:w="113" w:type="dxa"/>
            <w:tcBorders>
              <w:top w:val="nil"/>
              <w:bottom w:val="nil"/>
            </w:tcBorders>
            <w:vAlign w:val="top"/>
          </w:tcPr>
          <w:p w14:paraId="1688FE9C">
            <w:pPr>
              <w:rPr>
                <w:rFonts w:ascii="Arial"/>
                <w:sz w:val="21"/>
              </w:rPr>
            </w:pPr>
          </w:p>
        </w:tc>
        <w:tc>
          <w:tcPr>
            <w:tcW w:w="7931" w:type="dxa"/>
            <w:gridSpan w:val="2"/>
            <w:vAlign w:val="top"/>
          </w:tcPr>
          <w:p w14:paraId="6D1072CD">
            <w:pPr>
              <w:pStyle w:val="6"/>
              <w:spacing w:before="42" w:line="200" w:lineRule="auto"/>
              <w:ind w:left="2875"/>
              <w:outlineLvl w:val="1"/>
              <w:rPr>
                <w:sz w:val="22"/>
                <w:szCs w:val="22"/>
              </w:rPr>
            </w:pPr>
            <w:r>
              <w:rPr>
                <w:spacing w:val="-2"/>
                <w:sz w:val="22"/>
                <w:szCs w:val="22"/>
              </w:rPr>
              <w:t>卸油口及一次油气回收</w:t>
            </w:r>
          </w:p>
        </w:tc>
        <w:tc>
          <w:tcPr>
            <w:tcW w:w="113" w:type="dxa"/>
            <w:tcBorders>
              <w:top w:val="nil"/>
              <w:bottom w:val="nil"/>
              <w:right w:val="single" w:color="000000" w:sz="6" w:space="0"/>
            </w:tcBorders>
            <w:vAlign w:val="top"/>
          </w:tcPr>
          <w:p w14:paraId="3BCC776F">
            <w:pPr>
              <w:rPr>
                <w:rFonts w:ascii="Arial"/>
                <w:sz w:val="21"/>
              </w:rPr>
            </w:pPr>
          </w:p>
        </w:tc>
      </w:tr>
      <w:tr w14:paraId="085E6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1" w:hRule="atLeast"/>
        </w:trPr>
        <w:tc>
          <w:tcPr>
            <w:tcW w:w="831" w:type="dxa"/>
            <w:vMerge w:val="continue"/>
            <w:tcBorders>
              <w:top w:val="nil"/>
              <w:left w:val="single" w:color="000000" w:sz="6" w:space="0"/>
              <w:bottom w:val="nil"/>
            </w:tcBorders>
            <w:vAlign w:val="top"/>
          </w:tcPr>
          <w:p w14:paraId="2EA95A10">
            <w:pPr>
              <w:rPr>
                <w:rFonts w:ascii="Arial"/>
                <w:sz w:val="21"/>
              </w:rPr>
            </w:pPr>
          </w:p>
        </w:tc>
        <w:tc>
          <w:tcPr>
            <w:tcW w:w="113" w:type="dxa"/>
            <w:tcBorders>
              <w:top w:val="nil"/>
              <w:bottom w:val="nil"/>
            </w:tcBorders>
            <w:vAlign w:val="top"/>
          </w:tcPr>
          <w:p w14:paraId="21AE35B2">
            <w:pPr>
              <w:rPr>
                <w:rFonts w:ascii="Arial"/>
                <w:sz w:val="21"/>
              </w:rPr>
            </w:pPr>
          </w:p>
        </w:tc>
        <w:tc>
          <w:tcPr>
            <w:tcW w:w="7931" w:type="dxa"/>
            <w:gridSpan w:val="2"/>
            <w:vAlign w:val="top"/>
          </w:tcPr>
          <w:p w14:paraId="2BF2EE66">
            <w:pPr>
              <w:spacing w:before="9" w:line="2772" w:lineRule="exact"/>
              <w:ind w:firstLine="2104"/>
            </w:pPr>
            <w:r>
              <w:rPr>
                <w:position w:val="-55"/>
              </w:rPr>
              <w:drawing>
                <wp:inline distT="0" distB="0" distL="0" distR="0">
                  <wp:extent cx="2354580" cy="175958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29"/>
                          <a:stretch>
                            <a:fillRect/>
                          </a:stretch>
                        </pic:blipFill>
                        <pic:spPr>
                          <a:xfrm>
                            <a:off x="0" y="0"/>
                            <a:ext cx="2354580" cy="1759711"/>
                          </a:xfrm>
                          <a:prstGeom prst="rect">
                            <a:avLst/>
                          </a:prstGeom>
                        </pic:spPr>
                      </pic:pic>
                    </a:graphicData>
                  </a:graphic>
                </wp:inline>
              </w:drawing>
            </w:r>
          </w:p>
        </w:tc>
        <w:tc>
          <w:tcPr>
            <w:tcW w:w="113" w:type="dxa"/>
            <w:tcBorders>
              <w:top w:val="nil"/>
              <w:bottom w:val="nil"/>
              <w:right w:val="single" w:color="000000" w:sz="6" w:space="0"/>
            </w:tcBorders>
            <w:vAlign w:val="top"/>
          </w:tcPr>
          <w:p w14:paraId="7172DE75">
            <w:pPr>
              <w:rPr>
                <w:rFonts w:ascii="Arial"/>
                <w:sz w:val="21"/>
              </w:rPr>
            </w:pPr>
          </w:p>
        </w:tc>
      </w:tr>
      <w:tr w14:paraId="28F2C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831" w:type="dxa"/>
            <w:vMerge w:val="continue"/>
            <w:tcBorders>
              <w:top w:val="nil"/>
              <w:left w:val="single" w:color="000000" w:sz="6" w:space="0"/>
              <w:bottom w:val="single" w:color="000000" w:sz="6" w:space="0"/>
            </w:tcBorders>
            <w:vAlign w:val="top"/>
          </w:tcPr>
          <w:p w14:paraId="0C76F60D">
            <w:pPr>
              <w:rPr>
                <w:rFonts w:ascii="Arial"/>
                <w:sz w:val="21"/>
              </w:rPr>
            </w:pPr>
          </w:p>
        </w:tc>
        <w:tc>
          <w:tcPr>
            <w:tcW w:w="113" w:type="dxa"/>
            <w:tcBorders>
              <w:top w:val="nil"/>
              <w:bottom w:val="single" w:color="000000" w:sz="6" w:space="0"/>
            </w:tcBorders>
            <w:vAlign w:val="top"/>
          </w:tcPr>
          <w:p w14:paraId="4D3AC205">
            <w:pPr>
              <w:rPr>
                <w:rFonts w:ascii="Arial"/>
                <w:sz w:val="21"/>
              </w:rPr>
            </w:pPr>
          </w:p>
        </w:tc>
        <w:tc>
          <w:tcPr>
            <w:tcW w:w="7931" w:type="dxa"/>
            <w:gridSpan w:val="2"/>
            <w:tcBorders>
              <w:bottom w:val="single" w:color="000000" w:sz="6" w:space="0"/>
            </w:tcBorders>
            <w:vAlign w:val="top"/>
          </w:tcPr>
          <w:p w14:paraId="44F11EC8">
            <w:pPr>
              <w:pStyle w:val="6"/>
              <w:spacing w:before="46" w:line="220" w:lineRule="auto"/>
              <w:ind w:left="2871"/>
              <w:outlineLvl w:val="1"/>
              <w:rPr>
                <w:sz w:val="22"/>
                <w:szCs w:val="22"/>
              </w:rPr>
            </w:pPr>
            <w:r>
              <w:pict>
                <v:shape id="_x0000_s1030" o:spid="_x0000_s1030" style="position:absolute;left:0pt;margin-left:-0.5pt;margin-top:15.15pt;height:0.5pt;width:397.75pt;mso-position-horizontal-relative:page;mso-position-vertical-relative:page;z-index:-251650048;mso-width-relative:page;mso-height-relative:page;" filled="f" stroked="t" coordsize="7955,10" path="m0,4l7954,4e">
                  <v:fill on="f" focussize="0,0"/>
                  <v:stroke weight="0.48pt" color="#000000" miterlimit="2" joinstyle="bevel"/>
                  <v:imagedata o:title=""/>
                  <o:lock v:ext="edit"/>
                </v:shape>
              </w:pict>
            </w:r>
            <w:r>
              <w:rPr>
                <w:spacing w:val="-1"/>
                <w:sz w:val="22"/>
                <w:szCs w:val="22"/>
              </w:rPr>
              <w:t>三次油气回收处理装置</w:t>
            </w:r>
          </w:p>
        </w:tc>
        <w:tc>
          <w:tcPr>
            <w:tcW w:w="113" w:type="dxa"/>
            <w:tcBorders>
              <w:top w:val="nil"/>
              <w:bottom w:val="single" w:color="000000" w:sz="6" w:space="0"/>
              <w:right w:val="single" w:color="000000" w:sz="6" w:space="0"/>
            </w:tcBorders>
            <w:vAlign w:val="top"/>
          </w:tcPr>
          <w:p w14:paraId="068C4DF9">
            <w:pPr>
              <w:rPr>
                <w:rFonts w:ascii="Arial"/>
                <w:sz w:val="21"/>
              </w:rPr>
            </w:pPr>
          </w:p>
        </w:tc>
      </w:tr>
    </w:tbl>
    <w:p w14:paraId="430F8025">
      <w:pPr>
        <w:pStyle w:val="2"/>
        <w:rPr>
          <w:sz w:val="21"/>
        </w:rPr>
      </w:pPr>
    </w:p>
    <w:p w14:paraId="47BF5BE3">
      <w:pPr>
        <w:rPr>
          <w:sz w:val="21"/>
          <w:szCs w:val="21"/>
        </w:rPr>
        <w:sectPr>
          <w:footerReference r:id="rId51" w:type="default"/>
          <w:pgSz w:w="11906" w:h="16839"/>
          <w:pgMar w:top="400" w:right="1451" w:bottom="1009" w:left="1451" w:header="0" w:footer="770" w:gutter="0"/>
          <w:cols w:space="720" w:num="1"/>
        </w:sectPr>
      </w:pPr>
    </w:p>
    <w:p w14:paraId="2C4425DC">
      <w:pPr>
        <w:spacing w:before="19"/>
      </w:pPr>
    </w:p>
    <w:p w14:paraId="77F770C1">
      <w:pPr>
        <w:spacing w:before="19"/>
      </w:pPr>
    </w:p>
    <w:p w14:paraId="6B733024">
      <w:pPr>
        <w:spacing w:before="19"/>
      </w:pPr>
    </w:p>
    <w:p w14:paraId="035C9BC9">
      <w:pPr>
        <w:spacing w:before="18"/>
      </w:pPr>
    </w:p>
    <w:p w14:paraId="29CCAEBE">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113"/>
        <w:gridCol w:w="3965"/>
        <w:gridCol w:w="3966"/>
        <w:gridCol w:w="113"/>
      </w:tblGrid>
      <w:tr w14:paraId="0FF6C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5" w:hRule="atLeast"/>
        </w:trPr>
        <w:tc>
          <w:tcPr>
            <w:tcW w:w="831" w:type="dxa"/>
            <w:vMerge w:val="restart"/>
            <w:tcBorders>
              <w:top w:val="single" w:color="000000" w:sz="6" w:space="0"/>
              <w:left w:val="single" w:color="000000" w:sz="6" w:space="0"/>
              <w:bottom w:val="nil"/>
            </w:tcBorders>
            <w:vAlign w:val="top"/>
          </w:tcPr>
          <w:p w14:paraId="197BD62F">
            <w:pPr>
              <w:rPr>
                <w:rFonts w:ascii="Arial"/>
                <w:sz w:val="21"/>
              </w:rPr>
            </w:pPr>
          </w:p>
        </w:tc>
        <w:tc>
          <w:tcPr>
            <w:tcW w:w="113" w:type="dxa"/>
            <w:tcBorders>
              <w:top w:val="single" w:color="000000" w:sz="6" w:space="0"/>
              <w:bottom w:val="nil"/>
            </w:tcBorders>
            <w:vAlign w:val="top"/>
          </w:tcPr>
          <w:p w14:paraId="13FE7798">
            <w:pPr>
              <w:rPr>
                <w:rFonts w:ascii="Arial"/>
                <w:sz w:val="21"/>
              </w:rPr>
            </w:pPr>
          </w:p>
        </w:tc>
        <w:tc>
          <w:tcPr>
            <w:tcW w:w="3965" w:type="dxa"/>
            <w:tcBorders>
              <w:top w:val="single" w:color="000000" w:sz="6" w:space="0"/>
            </w:tcBorders>
            <w:vAlign w:val="top"/>
          </w:tcPr>
          <w:p w14:paraId="5EB154DE">
            <w:pPr>
              <w:spacing w:before="14" w:line="3403" w:lineRule="exact"/>
              <w:ind w:firstLine="688"/>
            </w:pPr>
            <w:r>
              <w:rPr>
                <w:position w:val="-68"/>
              </w:rPr>
              <w:drawing>
                <wp:inline distT="0" distB="0" distL="0" distR="0">
                  <wp:extent cx="1619885" cy="216090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30"/>
                          <a:stretch>
                            <a:fillRect/>
                          </a:stretch>
                        </pic:blipFill>
                        <pic:spPr>
                          <a:xfrm>
                            <a:off x="0" y="0"/>
                            <a:ext cx="1620011" cy="2161031"/>
                          </a:xfrm>
                          <a:prstGeom prst="rect">
                            <a:avLst/>
                          </a:prstGeom>
                        </pic:spPr>
                      </pic:pic>
                    </a:graphicData>
                  </a:graphic>
                </wp:inline>
              </w:drawing>
            </w:r>
          </w:p>
        </w:tc>
        <w:tc>
          <w:tcPr>
            <w:tcW w:w="3966" w:type="dxa"/>
            <w:tcBorders>
              <w:top w:val="single" w:color="000000" w:sz="6" w:space="0"/>
            </w:tcBorders>
            <w:vAlign w:val="top"/>
          </w:tcPr>
          <w:p w14:paraId="73D8FB9F">
            <w:pPr>
              <w:spacing w:before="14" w:line="3403" w:lineRule="exact"/>
              <w:ind w:firstLine="695"/>
            </w:pPr>
            <w:r>
              <w:rPr>
                <w:position w:val="-68"/>
              </w:rPr>
              <w:drawing>
                <wp:inline distT="0" distB="0" distL="0" distR="0">
                  <wp:extent cx="1619885" cy="216090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31"/>
                          <a:stretch>
                            <a:fillRect/>
                          </a:stretch>
                        </pic:blipFill>
                        <pic:spPr>
                          <a:xfrm>
                            <a:off x="0" y="0"/>
                            <a:ext cx="1620011" cy="2161031"/>
                          </a:xfrm>
                          <a:prstGeom prst="rect">
                            <a:avLst/>
                          </a:prstGeom>
                        </pic:spPr>
                      </pic:pic>
                    </a:graphicData>
                  </a:graphic>
                </wp:inline>
              </w:drawing>
            </w:r>
          </w:p>
        </w:tc>
        <w:tc>
          <w:tcPr>
            <w:tcW w:w="113" w:type="dxa"/>
            <w:tcBorders>
              <w:top w:val="single" w:color="000000" w:sz="6" w:space="0"/>
              <w:bottom w:val="nil"/>
              <w:right w:val="single" w:color="000000" w:sz="6" w:space="0"/>
            </w:tcBorders>
            <w:vAlign w:val="top"/>
          </w:tcPr>
          <w:p w14:paraId="1CEAE02A">
            <w:pPr>
              <w:rPr>
                <w:rFonts w:ascii="Arial"/>
                <w:sz w:val="21"/>
              </w:rPr>
            </w:pPr>
          </w:p>
        </w:tc>
      </w:tr>
      <w:tr w14:paraId="4EC75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831" w:type="dxa"/>
            <w:vMerge w:val="continue"/>
            <w:tcBorders>
              <w:top w:val="nil"/>
              <w:left w:val="single" w:color="000000" w:sz="6" w:space="0"/>
              <w:bottom w:val="nil"/>
            </w:tcBorders>
            <w:vAlign w:val="top"/>
          </w:tcPr>
          <w:p w14:paraId="7205E3D3">
            <w:pPr>
              <w:rPr>
                <w:rFonts w:ascii="Arial"/>
                <w:sz w:val="21"/>
              </w:rPr>
            </w:pPr>
          </w:p>
        </w:tc>
        <w:tc>
          <w:tcPr>
            <w:tcW w:w="113" w:type="dxa"/>
            <w:tcBorders>
              <w:top w:val="nil"/>
              <w:bottom w:val="nil"/>
            </w:tcBorders>
            <w:vAlign w:val="top"/>
          </w:tcPr>
          <w:p w14:paraId="58B84FDE">
            <w:pPr>
              <w:rPr>
                <w:rFonts w:ascii="Arial"/>
                <w:sz w:val="21"/>
              </w:rPr>
            </w:pPr>
          </w:p>
        </w:tc>
        <w:tc>
          <w:tcPr>
            <w:tcW w:w="3965" w:type="dxa"/>
            <w:vAlign w:val="top"/>
          </w:tcPr>
          <w:p w14:paraId="7863F2B9">
            <w:pPr>
              <w:pStyle w:val="6"/>
              <w:spacing w:before="35" w:line="205" w:lineRule="auto"/>
              <w:ind w:left="1668"/>
              <w:outlineLvl w:val="1"/>
              <w:rPr>
                <w:sz w:val="22"/>
                <w:szCs w:val="22"/>
              </w:rPr>
            </w:pPr>
            <w:r>
              <w:rPr>
                <w:spacing w:val="-7"/>
                <w:sz w:val="22"/>
                <w:szCs w:val="22"/>
              </w:rPr>
              <w:t>呼吸阀</w:t>
            </w:r>
          </w:p>
        </w:tc>
        <w:tc>
          <w:tcPr>
            <w:tcW w:w="3966" w:type="dxa"/>
            <w:vAlign w:val="top"/>
          </w:tcPr>
          <w:p w14:paraId="06E77334">
            <w:pPr>
              <w:pStyle w:val="6"/>
              <w:spacing w:before="35" w:line="205" w:lineRule="auto"/>
              <w:ind w:left="1553"/>
              <w:outlineLvl w:val="1"/>
              <w:rPr>
                <w:sz w:val="22"/>
                <w:szCs w:val="22"/>
              </w:rPr>
            </w:pPr>
            <w:r>
              <w:rPr>
                <w:spacing w:val="-2"/>
                <w:sz w:val="22"/>
                <w:szCs w:val="22"/>
              </w:rPr>
              <w:t>通气立管</w:t>
            </w:r>
          </w:p>
        </w:tc>
        <w:tc>
          <w:tcPr>
            <w:tcW w:w="113" w:type="dxa"/>
            <w:tcBorders>
              <w:top w:val="nil"/>
              <w:bottom w:val="nil"/>
              <w:right w:val="single" w:color="000000" w:sz="6" w:space="0"/>
            </w:tcBorders>
            <w:vAlign w:val="top"/>
          </w:tcPr>
          <w:p w14:paraId="1C1AB2CF">
            <w:pPr>
              <w:rPr>
                <w:rFonts w:ascii="Arial"/>
                <w:sz w:val="21"/>
              </w:rPr>
            </w:pPr>
          </w:p>
        </w:tc>
      </w:tr>
      <w:tr w14:paraId="59E47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0" w:hRule="atLeast"/>
        </w:trPr>
        <w:tc>
          <w:tcPr>
            <w:tcW w:w="831" w:type="dxa"/>
            <w:vMerge w:val="continue"/>
            <w:tcBorders>
              <w:top w:val="nil"/>
              <w:left w:val="single" w:color="000000" w:sz="6" w:space="0"/>
              <w:bottom w:val="nil"/>
            </w:tcBorders>
            <w:vAlign w:val="top"/>
          </w:tcPr>
          <w:p w14:paraId="2B5FDE7F">
            <w:pPr>
              <w:rPr>
                <w:rFonts w:ascii="Arial"/>
                <w:sz w:val="21"/>
              </w:rPr>
            </w:pPr>
          </w:p>
        </w:tc>
        <w:tc>
          <w:tcPr>
            <w:tcW w:w="113" w:type="dxa"/>
            <w:tcBorders>
              <w:top w:val="nil"/>
              <w:bottom w:val="nil"/>
            </w:tcBorders>
            <w:vAlign w:val="top"/>
          </w:tcPr>
          <w:p w14:paraId="1669E591">
            <w:pPr>
              <w:rPr>
                <w:rFonts w:ascii="Arial"/>
                <w:sz w:val="21"/>
              </w:rPr>
            </w:pPr>
          </w:p>
        </w:tc>
        <w:tc>
          <w:tcPr>
            <w:tcW w:w="3965" w:type="dxa"/>
            <w:vAlign w:val="top"/>
          </w:tcPr>
          <w:p w14:paraId="4A757A8F">
            <w:pPr>
              <w:spacing w:before="4" w:line="2781" w:lineRule="exact"/>
              <w:ind w:firstLine="116"/>
            </w:pPr>
            <w:r>
              <w:rPr>
                <w:position w:val="-55"/>
              </w:rPr>
              <w:drawing>
                <wp:inline distT="0" distB="0" distL="0" distR="0">
                  <wp:extent cx="2353945" cy="176593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32"/>
                          <a:stretch>
                            <a:fillRect/>
                          </a:stretch>
                        </pic:blipFill>
                        <pic:spPr>
                          <a:xfrm>
                            <a:off x="0" y="0"/>
                            <a:ext cx="2354579" cy="1766315"/>
                          </a:xfrm>
                          <a:prstGeom prst="rect">
                            <a:avLst/>
                          </a:prstGeom>
                        </pic:spPr>
                      </pic:pic>
                    </a:graphicData>
                  </a:graphic>
                </wp:inline>
              </w:drawing>
            </w:r>
          </w:p>
        </w:tc>
        <w:tc>
          <w:tcPr>
            <w:tcW w:w="3966" w:type="dxa"/>
            <w:vAlign w:val="top"/>
          </w:tcPr>
          <w:p w14:paraId="64A75592">
            <w:pPr>
              <w:spacing w:before="4" w:line="3403" w:lineRule="exact"/>
              <w:ind w:firstLine="695"/>
            </w:pPr>
            <w:r>
              <w:rPr>
                <w:position w:val="-68"/>
              </w:rPr>
              <w:drawing>
                <wp:inline distT="0" distB="0" distL="0" distR="0">
                  <wp:extent cx="1619885" cy="216090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33"/>
                          <a:stretch>
                            <a:fillRect/>
                          </a:stretch>
                        </pic:blipFill>
                        <pic:spPr>
                          <a:xfrm>
                            <a:off x="0" y="0"/>
                            <a:ext cx="1620011" cy="2161031"/>
                          </a:xfrm>
                          <a:prstGeom prst="rect">
                            <a:avLst/>
                          </a:prstGeom>
                        </pic:spPr>
                      </pic:pic>
                    </a:graphicData>
                  </a:graphic>
                </wp:inline>
              </w:drawing>
            </w:r>
          </w:p>
        </w:tc>
        <w:tc>
          <w:tcPr>
            <w:tcW w:w="113" w:type="dxa"/>
            <w:tcBorders>
              <w:top w:val="nil"/>
              <w:bottom w:val="nil"/>
              <w:right w:val="single" w:color="000000" w:sz="6" w:space="0"/>
            </w:tcBorders>
            <w:vAlign w:val="top"/>
          </w:tcPr>
          <w:p w14:paraId="3F6E4511">
            <w:pPr>
              <w:rPr>
                <w:rFonts w:ascii="Arial"/>
                <w:sz w:val="21"/>
              </w:rPr>
            </w:pPr>
          </w:p>
        </w:tc>
      </w:tr>
      <w:tr w14:paraId="3B884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831" w:type="dxa"/>
            <w:vMerge w:val="continue"/>
            <w:tcBorders>
              <w:top w:val="nil"/>
              <w:left w:val="single" w:color="000000" w:sz="6" w:space="0"/>
              <w:bottom w:val="nil"/>
            </w:tcBorders>
            <w:vAlign w:val="top"/>
          </w:tcPr>
          <w:p w14:paraId="0E043E48">
            <w:pPr>
              <w:rPr>
                <w:rFonts w:ascii="Arial"/>
                <w:sz w:val="21"/>
              </w:rPr>
            </w:pPr>
          </w:p>
        </w:tc>
        <w:tc>
          <w:tcPr>
            <w:tcW w:w="113" w:type="dxa"/>
            <w:tcBorders>
              <w:top w:val="nil"/>
              <w:bottom w:val="nil"/>
            </w:tcBorders>
            <w:vAlign w:val="top"/>
          </w:tcPr>
          <w:p w14:paraId="26297307">
            <w:pPr>
              <w:rPr>
                <w:rFonts w:ascii="Arial"/>
                <w:sz w:val="21"/>
              </w:rPr>
            </w:pPr>
          </w:p>
        </w:tc>
        <w:tc>
          <w:tcPr>
            <w:tcW w:w="3965" w:type="dxa"/>
            <w:vAlign w:val="top"/>
          </w:tcPr>
          <w:p w14:paraId="07BC8061">
            <w:pPr>
              <w:pStyle w:val="6"/>
              <w:spacing w:before="42" w:line="200" w:lineRule="auto"/>
              <w:ind w:left="1669"/>
              <w:outlineLvl w:val="1"/>
              <w:rPr>
                <w:sz w:val="22"/>
                <w:szCs w:val="22"/>
              </w:rPr>
            </w:pPr>
            <w:r>
              <w:rPr>
                <w:spacing w:val="-7"/>
                <w:sz w:val="22"/>
                <w:szCs w:val="22"/>
              </w:rPr>
              <w:t>隔油池</w:t>
            </w:r>
          </w:p>
        </w:tc>
        <w:tc>
          <w:tcPr>
            <w:tcW w:w="3966" w:type="dxa"/>
            <w:vAlign w:val="top"/>
          </w:tcPr>
          <w:p w14:paraId="598BF6AA">
            <w:pPr>
              <w:pStyle w:val="6"/>
              <w:spacing w:before="42" w:line="200" w:lineRule="auto"/>
              <w:ind w:left="1665"/>
              <w:outlineLvl w:val="1"/>
              <w:rPr>
                <w:sz w:val="22"/>
                <w:szCs w:val="22"/>
              </w:rPr>
            </w:pPr>
            <w:r>
              <w:rPr>
                <w:spacing w:val="-3"/>
                <w:sz w:val="22"/>
                <w:szCs w:val="22"/>
              </w:rPr>
              <w:t>生化池</w:t>
            </w:r>
          </w:p>
        </w:tc>
        <w:tc>
          <w:tcPr>
            <w:tcW w:w="113" w:type="dxa"/>
            <w:tcBorders>
              <w:top w:val="nil"/>
              <w:bottom w:val="nil"/>
              <w:right w:val="single" w:color="000000" w:sz="6" w:space="0"/>
            </w:tcBorders>
            <w:vAlign w:val="top"/>
          </w:tcPr>
          <w:p w14:paraId="4D1D16F4">
            <w:pPr>
              <w:rPr>
                <w:rFonts w:ascii="Arial"/>
                <w:sz w:val="21"/>
              </w:rPr>
            </w:pPr>
          </w:p>
        </w:tc>
      </w:tr>
      <w:tr w14:paraId="795F4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0" w:hRule="atLeast"/>
        </w:trPr>
        <w:tc>
          <w:tcPr>
            <w:tcW w:w="831" w:type="dxa"/>
            <w:vMerge w:val="continue"/>
            <w:tcBorders>
              <w:top w:val="nil"/>
              <w:left w:val="single" w:color="000000" w:sz="6" w:space="0"/>
              <w:bottom w:val="nil"/>
            </w:tcBorders>
            <w:vAlign w:val="top"/>
          </w:tcPr>
          <w:p w14:paraId="6B261BD8">
            <w:pPr>
              <w:rPr>
                <w:rFonts w:ascii="Arial"/>
                <w:sz w:val="21"/>
              </w:rPr>
            </w:pPr>
          </w:p>
        </w:tc>
        <w:tc>
          <w:tcPr>
            <w:tcW w:w="113" w:type="dxa"/>
            <w:tcBorders>
              <w:top w:val="nil"/>
              <w:bottom w:val="nil"/>
            </w:tcBorders>
            <w:vAlign w:val="top"/>
          </w:tcPr>
          <w:p w14:paraId="224AFBFF">
            <w:pPr>
              <w:rPr>
                <w:rFonts w:ascii="Arial"/>
                <w:sz w:val="21"/>
              </w:rPr>
            </w:pPr>
          </w:p>
        </w:tc>
        <w:tc>
          <w:tcPr>
            <w:tcW w:w="3965" w:type="dxa"/>
            <w:vAlign w:val="top"/>
          </w:tcPr>
          <w:p w14:paraId="4A75FB73">
            <w:pPr>
              <w:spacing w:before="8" w:line="2781" w:lineRule="exact"/>
              <w:ind w:firstLine="116"/>
            </w:pPr>
            <w:r>
              <w:rPr>
                <w:position w:val="-55"/>
              </w:rPr>
              <w:drawing>
                <wp:inline distT="0" distB="0" distL="0" distR="0">
                  <wp:extent cx="2353945" cy="176593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34"/>
                          <a:stretch>
                            <a:fillRect/>
                          </a:stretch>
                        </pic:blipFill>
                        <pic:spPr>
                          <a:xfrm>
                            <a:off x="0" y="0"/>
                            <a:ext cx="2354579" cy="1766316"/>
                          </a:xfrm>
                          <a:prstGeom prst="rect">
                            <a:avLst/>
                          </a:prstGeom>
                        </pic:spPr>
                      </pic:pic>
                    </a:graphicData>
                  </a:graphic>
                </wp:inline>
              </w:drawing>
            </w:r>
          </w:p>
        </w:tc>
        <w:tc>
          <w:tcPr>
            <w:tcW w:w="3966" w:type="dxa"/>
            <w:vAlign w:val="top"/>
          </w:tcPr>
          <w:p w14:paraId="37293ECE">
            <w:pPr>
              <w:spacing w:before="7" w:line="3402" w:lineRule="exact"/>
              <w:ind w:firstLine="695"/>
            </w:pPr>
            <w:r>
              <w:rPr>
                <w:position w:val="-68"/>
              </w:rPr>
              <w:drawing>
                <wp:inline distT="0" distB="0" distL="0" distR="0">
                  <wp:extent cx="1619885" cy="216027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35"/>
                          <a:stretch>
                            <a:fillRect/>
                          </a:stretch>
                        </pic:blipFill>
                        <pic:spPr>
                          <a:xfrm>
                            <a:off x="0" y="0"/>
                            <a:ext cx="1620011" cy="2160270"/>
                          </a:xfrm>
                          <a:prstGeom prst="rect">
                            <a:avLst/>
                          </a:prstGeom>
                        </pic:spPr>
                      </pic:pic>
                    </a:graphicData>
                  </a:graphic>
                </wp:inline>
              </w:drawing>
            </w:r>
          </w:p>
        </w:tc>
        <w:tc>
          <w:tcPr>
            <w:tcW w:w="113" w:type="dxa"/>
            <w:tcBorders>
              <w:top w:val="nil"/>
              <w:bottom w:val="nil"/>
              <w:right w:val="single" w:color="000000" w:sz="6" w:space="0"/>
            </w:tcBorders>
            <w:vAlign w:val="top"/>
          </w:tcPr>
          <w:p w14:paraId="57286509">
            <w:pPr>
              <w:rPr>
                <w:rFonts w:ascii="Arial"/>
                <w:sz w:val="21"/>
              </w:rPr>
            </w:pPr>
          </w:p>
        </w:tc>
      </w:tr>
      <w:tr w14:paraId="466B7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831" w:type="dxa"/>
            <w:vMerge w:val="continue"/>
            <w:tcBorders>
              <w:top w:val="nil"/>
              <w:left w:val="single" w:color="000000" w:sz="6" w:space="0"/>
              <w:bottom w:val="single" w:color="000000" w:sz="6" w:space="0"/>
            </w:tcBorders>
            <w:vAlign w:val="top"/>
          </w:tcPr>
          <w:p w14:paraId="74B1ACFE">
            <w:pPr>
              <w:rPr>
                <w:rFonts w:ascii="Arial"/>
                <w:sz w:val="21"/>
              </w:rPr>
            </w:pPr>
          </w:p>
        </w:tc>
        <w:tc>
          <w:tcPr>
            <w:tcW w:w="113" w:type="dxa"/>
            <w:tcBorders>
              <w:top w:val="nil"/>
              <w:bottom w:val="single" w:color="000000" w:sz="6" w:space="0"/>
            </w:tcBorders>
            <w:vAlign w:val="top"/>
          </w:tcPr>
          <w:p w14:paraId="3D185501">
            <w:pPr>
              <w:rPr>
                <w:rFonts w:ascii="Arial"/>
                <w:sz w:val="21"/>
              </w:rPr>
            </w:pPr>
          </w:p>
        </w:tc>
        <w:tc>
          <w:tcPr>
            <w:tcW w:w="3965" w:type="dxa"/>
            <w:tcBorders>
              <w:bottom w:val="single" w:color="000000" w:sz="6" w:space="0"/>
            </w:tcBorders>
            <w:vAlign w:val="top"/>
          </w:tcPr>
          <w:p w14:paraId="2853EA17">
            <w:pPr>
              <w:pStyle w:val="6"/>
              <w:spacing w:before="47" w:line="220" w:lineRule="auto"/>
              <w:ind w:left="1217"/>
              <w:outlineLvl w:val="1"/>
              <w:rPr>
                <w:sz w:val="22"/>
                <w:szCs w:val="22"/>
              </w:rPr>
            </w:pPr>
            <w:r>
              <w:rPr>
                <w:spacing w:val="-2"/>
                <w:sz w:val="22"/>
                <w:szCs w:val="22"/>
              </w:rPr>
              <w:t>危险废物贮存点</w:t>
            </w:r>
          </w:p>
        </w:tc>
        <w:tc>
          <w:tcPr>
            <w:tcW w:w="3966" w:type="dxa"/>
            <w:tcBorders>
              <w:bottom w:val="single" w:color="000000" w:sz="6" w:space="0"/>
            </w:tcBorders>
            <w:vAlign w:val="top"/>
          </w:tcPr>
          <w:p w14:paraId="0A38BC75">
            <w:pPr>
              <w:pStyle w:val="6"/>
              <w:spacing w:before="47" w:line="219" w:lineRule="auto"/>
              <w:ind w:left="1557"/>
              <w:outlineLvl w:val="1"/>
              <w:rPr>
                <w:sz w:val="22"/>
                <w:szCs w:val="22"/>
              </w:rPr>
            </w:pPr>
            <w:r>
              <w:rPr>
                <w:spacing w:val="-4"/>
                <w:sz w:val="22"/>
                <w:szCs w:val="22"/>
              </w:rPr>
              <w:t>消防器材</w:t>
            </w:r>
          </w:p>
        </w:tc>
        <w:tc>
          <w:tcPr>
            <w:tcW w:w="113" w:type="dxa"/>
            <w:tcBorders>
              <w:top w:val="nil"/>
              <w:bottom w:val="single" w:color="000000" w:sz="6" w:space="0"/>
              <w:right w:val="single" w:color="000000" w:sz="6" w:space="0"/>
            </w:tcBorders>
            <w:vAlign w:val="top"/>
          </w:tcPr>
          <w:p w14:paraId="2A6E837B">
            <w:pPr>
              <w:rPr>
                <w:rFonts w:ascii="Arial"/>
                <w:sz w:val="21"/>
              </w:rPr>
            </w:pPr>
          </w:p>
        </w:tc>
      </w:tr>
    </w:tbl>
    <w:p w14:paraId="0C3B21E4">
      <w:pPr>
        <w:pStyle w:val="2"/>
        <w:rPr>
          <w:sz w:val="21"/>
        </w:rPr>
      </w:pPr>
    </w:p>
    <w:p w14:paraId="16CEF922">
      <w:pPr>
        <w:rPr>
          <w:sz w:val="21"/>
          <w:szCs w:val="21"/>
        </w:rPr>
        <w:sectPr>
          <w:footerReference r:id="rId52" w:type="default"/>
          <w:pgSz w:w="11906" w:h="16839"/>
          <w:pgMar w:top="400" w:right="1451" w:bottom="1009" w:left="1451" w:header="0" w:footer="770" w:gutter="0"/>
          <w:cols w:space="720" w:num="1"/>
        </w:sectPr>
      </w:pPr>
    </w:p>
    <w:p w14:paraId="7D67BB86">
      <w:pPr>
        <w:spacing w:before="19"/>
      </w:pPr>
      <w:r>
        <w:drawing>
          <wp:anchor distT="0" distB="0" distL="0" distR="0" simplePos="0" relativeHeight="251667456" behindDoc="0" locked="0" layoutInCell="0" allowOverlap="1">
            <wp:simplePos x="0" y="0"/>
            <wp:positionH relativeFrom="page">
              <wp:posOffset>1964055</wp:posOffset>
            </wp:positionH>
            <wp:positionV relativeFrom="page">
              <wp:posOffset>3463925</wp:posOffset>
            </wp:positionV>
            <wp:extent cx="1619885" cy="216090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36"/>
                    <a:stretch>
                      <a:fillRect/>
                    </a:stretch>
                  </pic:blipFill>
                  <pic:spPr>
                    <a:xfrm>
                      <a:off x="0" y="0"/>
                      <a:ext cx="1620011" cy="2161031"/>
                    </a:xfrm>
                    <a:prstGeom prst="rect">
                      <a:avLst/>
                    </a:prstGeom>
                  </pic:spPr>
                </pic:pic>
              </a:graphicData>
            </a:graphic>
          </wp:anchor>
        </w:drawing>
      </w:r>
    </w:p>
    <w:p w14:paraId="375E88AD">
      <w:pPr>
        <w:spacing w:before="19"/>
      </w:pPr>
    </w:p>
    <w:p w14:paraId="0E8BF697">
      <w:pPr>
        <w:spacing w:before="19"/>
      </w:pPr>
    </w:p>
    <w:p w14:paraId="50ADF377">
      <w:pPr>
        <w:spacing w:before="18"/>
      </w:pPr>
    </w:p>
    <w:p w14:paraId="1D7FF793">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113"/>
        <w:gridCol w:w="3965"/>
        <w:gridCol w:w="3966"/>
        <w:gridCol w:w="113"/>
      </w:tblGrid>
      <w:tr w14:paraId="68069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5" w:hRule="atLeast"/>
        </w:trPr>
        <w:tc>
          <w:tcPr>
            <w:tcW w:w="831" w:type="dxa"/>
            <w:vMerge w:val="restart"/>
            <w:tcBorders>
              <w:top w:val="single" w:color="000000" w:sz="6" w:space="0"/>
              <w:left w:val="single" w:color="000000" w:sz="6" w:space="0"/>
              <w:bottom w:val="nil"/>
            </w:tcBorders>
            <w:vAlign w:val="top"/>
          </w:tcPr>
          <w:p w14:paraId="05CE7A6F">
            <w:pPr>
              <w:rPr>
                <w:rFonts w:ascii="Arial"/>
                <w:sz w:val="21"/>
              </w:rPr>
            </w:pPr>
          </w:p>
        </w:tc>
        <w:tc>
          <w:tcPr>
            <w:tcW w:w="113" w:type="dxa"/>
            <w:tcBorders>
              <w:top w:val="single" w:color="000000" w:sz="6" w:space="0"/>
              <w:bottom w:val="nil"/>
            </w:tcBorders>
            <w:vAlign w:val="top"/>
          </w:tcPr>
          <w:p w14:paraId="1E15BFB0">
            <w:pPr>
              <w:rPr>
                <w:rFonts w:ascii="Arial"/>
                <w:sz w:val="21"/>
              </w:rPr>
            </w:pPr>
          </w:p>
        </w:tc>
        <w:tc>
          <w:tcPr>
            <w:tcW w:w="3965" w:type="dxa"/>
            <w:tcBorders>
              <w:top w:val="single" w:color="000000" w:sz="6" w:space="0"/>
            </w:tcBorders>
            <w:vAlign w:val="top"/>
          </w:tcPr>
          <w:p w14:paraId="49BAE850">
            <w:pPr>
              <w:spacing w:before="14" w:line="3403" w:lineRule="exact"/>
              <w:ind w:firstLine="688"/>
            </w:pPr>
            <w:r>
              <w:rPr>
                <w:position w:val="-68"/>
              </w:rPr>
              <w:drawing>
                <wp:inline distT="0" distB="0" distL="0" distR="0">
                  <wp:extent cx="1619885" cy="216090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37"/>
                          <a:stretch>
                            <a:fillRect/>
                          </a:stretch>
                        </pic:blipFill>
                        <pic:spPr>
                          <a:xfrm>
                            <a:off x="0" y="0"/>
                            <a:ext cx="1620011" cy="2161031"/>
                          </a:xfrm>
                          <a:prstGeom prst="rect">
                            <a:avLst/>
                          </a:prstGeom>
                        </pic:spPr>
                      </pic:pic>
                    </a:graphicData>
                  </a:graphic>
                </wp:inline>
              </w:drawing>
            </w:r>
          </w:p>
        </w:tc>
        <w:tc>
          <w:tcPr>
            <w:tcW w:w="3966" w:type="dxa"/>
            <w:tcBorders>
              <w:top w:val="single" w:color="000000" w:sz="6" w:space="0"/>
            </w:tcBorders>
            <w:vAlign w:val="top"/>
          </w:tcPr>
          <w:p w14:paraId="071750EB">
            <w:pPr>
              <w:spacing w:before="14" w:line="2781" w:lineRule="exact"/>
              <w:ind w:firstLine="124"/>
            </w:pPr>
            <w:r>
              <w:rPr>
                <w:position w:val="-55"/>
              </w:rPr>
              <w:drawing>
                <wp:inline distT="0" distB="0" distL="0" distR="0">
                  <wp:extent cx="2353945" cy="176593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38"/>
                          <a:stretch>
                            <a:fillRect/>
                          </a:stretch>
                        </pic:blipFill>
                        <pic:spPr>
                          <a:xfrm>
                            <a:off x="0" y="0"/>
                            <a:ext cx="2354579" cy="1766316"/>
                          </a:xfrm>
                          <a:prstGeom prst="rect">
                            <a:avLst/>
                          </a:prstGeom>
                        </pic:spPr>
                      </pic:pic>
                    </a:graphicData>
                  </a:graphic>
                </wp:inline>
              </w:drawing>
            </w:r>
          </w:p>
        </w:tc>
        <w:tc>
          <w:tcPr>
            <w:tcW w:w="113" w:type="dxa"/>
            <w:tcBorders>
              <w:top w:val="single" w:color="000000" w:sz="6" w:space="0"/>
              <w:bottom w:val="nil"/>
              <w:right w:val="single" w:color="000000" w:sz="6" w:space="0"/>
            </w:tcBorders>
            <w:vAlign w:val="top"/>
          </w:tcPr>
          <w:p w14:paraId="46B693EF">
            <w:pPr>
              <w:rPr>
                <w:rFonts w:ascii="Arial"/>
                <w:sz w:val="21"/>
              </w:rPr>
            </w:pPr>
          </w:p>
        </w:tc>
      </w:tr>
      <w:tr w14:paraId="54647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831" w:type="dxa"/>
            <w:vMerge w:val="continue"/>
            <w:tcBorders>
              <w:top w:val="nil"/>
              <w:left w:val="single" w:color="000000" w:sz="6" w:space="0"/>
              <w:bottom w:val="nil"/>
            </w:tcBorders>
            <w:vAlign w:val="top"/>
          </w:tcPr>
          <w:p w14:paraId="2E613E9F">
            <w:pPr>
              <w:rPr>
                <w:rFonts w:ascii="Arial"/>
                <w:sz w:val="21"/>
              </w:rPr>
            </w:pPr>
          </w:p>
        </w:tc>
        <w:tc>
          <w:tcPr>
            <w:tcW w:w="113" w:type="dxa"/>
            <w:tcBorders>
              <w:top w:val="nil"/>
              <w:bottom w:val="nil"/>
            </w:tcBorders>
            <w:vAlign w:val="top"/>
          </w:tcPr>
          <w:p w14:paraId="27F8C82B">
            <w:pPr>
              <w:rPr>
                <w:rFonts w:ascii="Arial"/>
                <w:sz w:val="21"/>
              </w:rPr>
            </w:pPr>
          </w:p>
        </w:tc>
        <w:tc>
          <w:tcPr>
            <w:tcW w:w="3965" w:type="dxa"/>
            <w:vAlign w:val="top"/>
          </w:tcPr>
          <w:p w14:paraId="456000B7">
            <w:pPr>
              <w:pStyle w:val="6"/>
              <w:spacing w:before="35" w:line="205" w:lineRule="auto"/>
              <w:ind w:left="1325"/>
              <w:outlineLvl w:val="1"/>
              <w:rPr>
                <w:sz w:val="22"/>
                <w:szCs w:val="22"/>
              </w:rPr>
            </w:pPr>
            <w:r>
              <w:rPr>
                <w:spacing w:val="-2"/>
                <w:sz w:val="22"/>
                <w:szCs w:val="22"/>
              </w:rPr>
              <w:t>柴油发电机房</w:t>
            </w:r>
          </w:p>
        </w:tc>
        <w:tc>
          <w:tcPr>
            <w:tcW w:w="3966" w:type="dxa"/>
            <w:vAlign w:val="top"/>
          </w:tcPr>
          <w:p w14:paraId="6A12E43B">
            <w:pPr>
              <w:pStyle w:val="6"/>
              <w:spacing w:before="35" w:line="205" w:lineRule="auto"/>
              <w:ind w:left="1114"/>
              <w:outlineLvl w:val="1"/>
              <w:rPr>
                <w:sz w:val="22"/>
                <w:szCs w:val="22"/>
              </w:rPr>
            </w:pPr>
            <w:r>
              <w:rPr>
                <w:spacing w:val="-1"/>
                <w:sz w:val="22"/>
                <w:szCs w:val="22"/>
              </w:rPr>
              <w:t>柴油发电机房围堰</w:t>
            </w:r>
          </w:p>
        </w:tc>
        <w:tc>
          <w:tcPr>
            <w:tcW w:w="113" w:type="dxa"/>
            <w:tcBorders>
              <w:top w:val="nil"/>
              <w:bottom w:val="nil"/>
              <w:right w:val="single" w:color="000000" w:sz="6" w:space="0"/>
            </w:tcBorders>
            <w:vAlign w:val="top"/>
          </w:tcPr>
          <w:p w14:paraId="55E09FE3">
            <w:pPr>
              <w:rPr>
                <w:rFonts w:ascii="Arial"/>
                <w:sz w:val="21"/>
              </w:rPr>
            </w:pPr>
          </w:p>
        </w:tc>
      </w:tr>
      <w:tr w14:paraId="17DBC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0" w:hRule="atLeast"/>
        </w:trPr>
        <w:tc>
          <w:tcPr>
            <w:tcW w:w="831" w:type="dxa"/>
            <w:vMerge w:val="continue"/>
            <w:tcBorders>
              <w:top w:val="nil"/>
              <w:left w:val="single" w:color="000000" w:sz="6" w:space="0"/>
              <w:bottom w:val="nil"/>
            </w:tcBorders>
            <w:vAlign w:val="top"/>
          </w:tcPr>
          <w:p w14:paraId="35C9AE78">
            <w:pPr>
              <w:rPr>
                <w:rFonts w:ascii="Arial"/>
                <w:sz w:val="21"/>
              </w:rPr>
            </w:pPr>
          </w:p>
        </w:tc>
        <w:tc>
          <w:tcPr>
            <w:tcW w:w="113" w:type="dxa"/>
            <w:tcBorders>
              <w:top w:val="nil"/>
              <w:bottom w:val="nil"/>
            </w:tcBorders>
            <w:vAlign w:val="top"/>
          </w:tcPr>
          <w:p w14:paraId="14974A26">
            <w:pPr>
              <w:rPr>
                <w:rFonts w:ascii="Arial"/>
                <w:sz w:val="21"/>
              </w:rPr>
            </w:pPr>
          </w:p>
        </w:tc>
        <w:tc>
          <w:tcPr>
            <w:tcW w:w="3965" w:type="dxa"/>
            <w:vAlign w:val="top"/>
          </w:tcPr>
          <w:p w14:paraId="5C2DFDBD">
            <w:pPr>
              <w:rPr>
                <w:rFonts w:ascii="Arial"/>
                <w:sz w:val="21"/>
              </w:rPr>
            </w:pPr>
          </w:p>
        </w:tc>
        <w:tc>
          <w:tcPr>
            <w:tcW w:w="3966" w:type="dxa"/>
            <w:vAlign w:val="top"/>
          </w:tcPr>
          <w:p w14:paraId="51F22946">
            <w:pPr>
              <w:spacing w:before="4" w:line="3403" w:lineRule="exact"/>
              <w:ind w:firstLine="695"/>
            </w:pPr>
            <w:r>
              <w:rPr>
                <w:position w:val="-68"/>
              </w:rPr>
              <w:drawing>
                <wp:inline distT="0" distB="0" distL="0" distR="0">
                  <wp:extent cx="1619885" cy="216090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39"/>
                          <a:stretch>
                            <a:fillRect/>
                          </a:stretch>
                        </pic:blipFill>
                        <pic:spPr>
                          <a:xfrm>
                            <a:off x="0" y="0"/>
                            <a:ext cx="1620011" cy="2161031"/>
                          </a:xfrm>
                          <a:prstGeom prst="rect">
                            <a:avLst/>
                          </a:prstGeom>
                        </pic:spPr>
                      </pic:pic>
                    </a:graphicData>
                  </a:graphic>
                </wp:inline>
              </w:drawing>
            </w:r>
          </w:p>
        </w:tc>
        <w:tc>
          <w:tcPr>
            <w:tcW w:w="113" w:type="dxa"/>
            <w:tcBorders>
              <w:top w:val="nil"/>
              <w:bottom w:val="nil"/>
              <w:right w:val="single" w:color="000000" w:sz="6" w:space="0"/>
            </w:tcBorders>
            <w:vAlign w:val="top"/>
          </w:tcPr>
          <w:p w14:paraId="27F4EC81">
            <w:pPr>
              <w:rPr>
                <w:rFonts w:ascii="Arial"/>
                <w:sz w:val="21"/>
              </w:rPr>
            </w:pPr>
          </w:p>
        </w:tc>
      </w:tr>
      <w:tr w14:paraId="518E6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831" w:type="dxa"/>
            <w:vMerge w:val="continue"/>
            <w:tcBorders>
              <w:top w:val="nil"/>
              <w:left w:val="single" w:color="000000" w:sz="6" w:space="0"/>
              <w:bottom w:val="nil"/>
            </w:tcBorders>
            <w:vAlign w:val="top"/>
          </w:tcPr>
          <w:p w14:paraId="2832CFB1">
            <w:pPr>
              <w:rPr>
                <w:rFonts w:ascii="Arial"/>
                <w:sz w:val="21"/>
              </w:rPr>
            </w:pPr>
          </w:p>
        </w:tc>
        <w:tc>
          <w:tcPr>
            <w:tcW w:w="113" w:type="dxa"/>
            <w:tcBorders>
              <w:top w:val="nil"/>
              <w:bottom w:val="nil"/>
            </w:tcBorders>
            <w:vAlign w:val="top"/>
          </w:tcPr>
          <w:p w14:paraId="073DE5FC">
            <w:pPr>
              <w:rPr>
                <w:rFonts w:ascii="Arial"/>
                <w:sz w:val="21"/>
              </w:rPr>
            </w:pPr>
          </w:p>
        </w:tc>
        <w:tc>
          <w:tcPr>
            <w:tcW w:w="7931" w:type="dxa"/>
            <w:gridSpan w:val="2"/>
            <w:vAlign w:val="top"/>
          </w:tcPr>
          <w:p w14:paraId="619A271E">
            <w:pPr>
              <w:pStyle w:val="6"/>
              <w:spacing w:before="42" w:line="199" w:lineRule="auto"/>
              <w:ind w:left="3092"/>
              <w:outlineLvl w:val="1"/>
              <w:rPr>
                <w:sz w:val="22"/>
                <w:szCs w:val="22"/>
              </w:rPr>
            </w:pPr>
            <w:r>
              <w:rPr>
                <w:spacing w:val="-1"/>
                <w:sz w:val="22"/>
                <w:szCs w:val="22"/>
              </w:rPr>
              <w:t>柴油发电机废气管</w:t>
            </w:r>
          </w:p>
        </w:tc>
        <w:tc>
          <w:tcPr>
            <w:tcW w:w="113" w:type="dxa"/>
            <w:tcBorders>
              <w:top w:val="nil"/>
              <w:bottom w:val="nil"/>
              <w:right w:val="single" w:color="000000" w:sz="6" w:space="0"/>
            </w:tcBorders>
            <w:vAlign w:val="top"/>
          </w:tcPr>
          <w:p w14:paraId="047A6B07">
            <w:pPr>
              <w:rPr>
                <w:rFonts w:ascii="Arial"/>
                <w:sz w:val="21"/>
              </w:rPr>
            </w:pPr>
          </w:p>
        </w:tc>
      </w:tr>
      <w:tr w14:paraId="5EE2B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3" w:hRule="atLeast"/>
        </w:trPr>
        <w:tc>
          <w:tcPr>
            <w:tcW w:w="831" w:type="dxa"/>
            <w:vMerge w:val="continue"/>
            <w:tcBorders>
              <w:top w:val="nil"/>
              <w:left w:val="single" w:color="000000" w:sz="6" w:space="0"/>
              <w:bottom w:val="single" w:color="000000" w:sz="6" w:space="0"/>
            </w:tcBorders>
            <w:vAlign w:val="top"/>
          </w:tcPr>
          <w:p w14:paraId="789F1BB0">
            <w:pPr>
              <w:rPr>
                <w:rFonts w:ascii="Arial"/>
                <w:sz w:val="21"/>
              </w:rPr>
            </w:pPr>
          </w:p>
        </w:tc>
        <w:tc>
          <w:tcPr>
            <w:tcW w:w="113" w:type="dxa"/>
            <w:tcBorders>
              <w:top w:val="nil"/>
              <w:bottom w:val="single" w:color="000000" w:sz="6" w:space="0"/>
            </w:tcBorders>
            <w:vAlign w:val="top"/>
          </w:tcPr>
          <w:p w14:paraId="054C7182">
            <w:pPr>
              <w:rPr>
                <w:rFonts w:ascii="Arial"/>
                <w:sz w:val="21"/>
              </w:rPr>
            </w:pPr>
          </w:p>
        </w:tc>
        <w:tc>
          <w:tcPr>
            <w:tcW w:w="3965" w:type="dxa"/>
            <w:tcBorders>
              <w:bottom w:val="single" w:color="000000" w:sz="6" w:space="0"/>
            </w:tcBorders>
            <w:vAlign w:val="top"/>
          </w:tcPr>
          <w:p w14:paraId="4715D474">
            <w:pPr>
              <w:spacing w:before="8" w:line="3404" w:lineRule="exact"/>
              <w:ind w:firstLine="688"/>
            </w:pPr>
            <w:r>
              <w:rPr>
                <w:position w:val="-68"/>
              </w:rPr>
              <w:drawing>
                <wp:inline distT="0" distB="0" distL="0" distR="0">
                  <wp:extent cx="1619885" cy="216090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40"/>
                          <a:stretch>
                            <a:fillRect/>
                          </a:stretch>
                        </pic:blipFill>
                        <pic:spPr>
                          <a:xfrm>
                            <a:off x="0" y="0"/>
                            <a:ext cx="1620011" cy="2161032"/>
                          </a:xfrm>
                          <a:prstGeom prst="rect">
                            <a:avLst/>
                          </a:prstGeom>
                        </pic:spPr>
                      </pic:pic>
                    </a:graphicData>
                  </a:graphic>
                </wp:inline>
              </w:drawing>
            </w:r>
          </w:p>
        </w:tc>
        <w:tc>
          <w:tcPr>
            <w:tcW w:w="3966" w:type="dxa"/>
            <w:tcBorders>
              <w:bottom w:val="single" w:color="000000" w:sz="6" w:space="0"/>
            </w:tcBorders>
            <w:vAlign w:val="top"/>
          </w:tcPr>
          <w:p w14:paraId="3AAB907E">
            <w:pPr>
              <w:spacing w:before="8" w:line="3404" w:lineRule="exact"/>
              <w:ind w:firstLine="695"/>
            </w:pPr>
            <w:r>
              <w:rPr>
                <w:position w:val="-68"/>
              </w:rPr>
              <w:drawing>
                <wp:inline distT="0" distB="0" distL="0" distR="0">
                  <wp:extent cx="1619885" cy="216090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41"/>
                          <a:stretch>
                            <a:fillRect/>
                          </a:stretch>
                        </pic:blipFill>
                        <pic:spPr>
                          <a:xfrm>
                            <a:off x="0" y="0"/>
                            <a:ext cx="1620011" cy="2161032"/>
                          </a:xfrm>
                          <a:prstGeom prst="rect">
                            <a:avLst/>
                          </a:prstGeom>
                        </pic:spPr>
                      </pic:pic>
                    </a:graphicData>
                  </a:graphic>
                </wp:inline>
              </w:drawing>
            </w:r>
          </w:p>
        </w:tc>
        <w:tc>
          <w:tcPr>
            <w:tcW w:w="113" w:type="dxa"/>
            <w:tcBorders>
              <w:top w:val="nil"/>
              <w:bottom w:val="single" w:color="000000" w:sz="6" w:space="0"/>
              <w:right w:val="single" w:color="000000" w:sz="6" w:space="0"/>
            </w:tcBorders>
            <w:vAlign w:val="top"/>
          </w:tcPr>
          <w:p w14:paraId="28F55A48">
            <w:pPr>
              <w:rPr>
                <w:rFonts w:ascii="Arial"/>
                <w:sz w:val="21"/>
              </w:rPr>
            </w:pPr>
          </w:p>
        </w:tc>
      </w:tr>
    </w:tbl>
    <w:p w14:paraId="6206072D">
      <w:pPr>
        <w:pStyle w:val="2"/>
        <w:rPr>
          <w:sz w:val="21"/>
        </w:rPr>
      </w:pPr>
    </w:p>
    <w:p w14:paraId="00062D5E">
      <w:pPr>
        <w:rPr>
          <w:sz w:val="21"/>
          <w:szCs w:val="21"/>
        </w:rPr>
        <w:sectPr>
          <w:footerReference r:id="rId53" w:type="default"/>
          <w:pgSz w:w="11906" w:h="16839"/>
          <w:pgMar w:top="400" w:right="1451" w:bottom="1009" w:left="1451" w:header="0" w:footer="770" w:gutter="0"/>
          <w:cols w:space="720" w:num="1"/>
        </w:sectPr>
      </w:pPr>
    </w:p>
    <w:p w14:paraId="52A80566">
      <w:pPr>
        <w:spacing w:before="19"/>
      </w:pPr>
    </w:p>
    <w:p w14:paraId="65EC31EB">
      <w:pPr>
        <w:spacing w:before="19"/>
      </w:pPr>
    </w:p>
    <w:p w14:paraId="1003C897">
      <w:pPr>
        <w:spacing w:before="19"/>
      </w:pPr>
    </w:p>
    <w:p w14:paraId="0C239600">
      <w:pPr>
        <w:spacing w:before="18"/>
      </w:pPr>
    </w:p>
    <w:p w14:paraId="5940FC2E">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113"/>
        <w:gridCol w:w="7932"/>
        <w:gridCol w:w="112"/>
      </w:tblGrid>
      <w:tr w14:paraId="1B8DF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9" w:hRule="atLeast"/>
        </w:trPr>
        <w:tc>
          <w:tcPr>
            <w:tcW w:w="831" w:type="dxa"/>
            <w:vMerge w:val="restart"/>
            <w:tcBorders>
              <w:top w:val="single" w:color="000000" w:sz="6" w:space="0"/>
              <w:left w:val="single" w:color="000000" w:sz="6" w:space="0"/>
              <w:bottom w:val="nil"/>
            </w:tcBorders>
            <w:vAlign w:val="top"/>
          </w:tcPr>
          <w:p w14:paraId="5B817641">
            <w:pPr>
              <w:rPr>
                <w:rFonts w:ascii="Arial"/>
                <w:sz w:val="21"/>
              </w:rPr>
            </w:pPr>
          </w:p>
        </w:tc>
        <w:tc>
          <w:tcPr>
            <w:tcW w:w="113" w:type="dxa"/>
            <w:tcBorders>
              <w:top w:val="single" w:color="000000" w:sz="6" w:space="0"/>
              <w:bottom w:val="nil"/>
            </w:tcBorders>
            <w:vAlign w:val="top"/>
          </w:tcPr>
          <w:p w14:paraId="02B143FA">
            <w:pPr>
              <w:rPr>
                <w:rFonts w:ascii="Arial"/>
                <w:sz w:val="21"/>
              </w:rPr>
            </w:pPr>
          </w:p>
        </w:tc>
        <w:tc>
          <w:tcPr>
            <w:tcW w:w="7932" w:type="dxa"/>
            <w:tcBorders>
              <w:top w:val="single" w:color="000000" w:sz="6" w:space="0"/>
            </w:tcBorders>
            <w:vAlign w:val="top"/>
          </w:tcPr>
          <w:p w14:paraId="750CC32D">
            <w:pPr>
              <w:spacing w:before="14" w:line="2775" w:lineRule="exact"/>
              <w:ind w:firstLine="2104"/>
            </w:pPr>
            <w:r>
              <w:rPr>
                <w:position w:val="-55"/>
              </w:rPr>
              <w:drawing>
                <wp:inline distT="0" distB="0" distL="0" distR="0">
                  <wp:extent cx="2354580" cy="176149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42"/>
                          <a:stretch>
                            <a:fillRect/>
                          </a:stretch>
                        </pic:blipFill>
                        <pic:spPr>
                          <a:xfrm>
                            <a:off x="0" y="0"/>
                            <a:ext cx="2354580" cy="1761871"/>
                          </a:xfrm>
                          <a:prstGeom prst="rect">
                            <a:avLst/>
                          </a:prstGeom>
                        </pic:spPr>
                      </pic:pic>
                    </a:graphicData>
                  </a:graphic>
                </wp:inline>
              </w:drawing>
            </w:r>
          </w:p>
        </w:tc>
        <w:tc>
          <w:tcPr>
            <w:tcW w:w="112" w:type="dxa"/>
            <w:tcBorders>
              <w:top w:val="single" w:color="000000" w:sz="6" w:space="0"/>
              <w:bottom w:val="nil"/>
              <w:right w:val="single" w:color="000000" w:sz="6" w:space="0"/>
            </w:tcBorders>
            <w:vAlign w:val="top"/>
          </w:tcPr>
          <w:p w14:paraId="77B1E8ED">
            <w:pPr>
              <w:rPr>
                <w:rFonts w:ascii="Arial"/>
                <w:sz w:val="21"/>
              </w:rPr>
            </w:pPr>
          </w:p>
        </w:tc>
      </w:tr>
      <w:tr w14:paraId="07DFC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831" w:type="dxa"/>
            <w:vMerge w:val="continue"/>
            <w:tcBorders>
              <w:top w:val="nil"/>
              <w:left w:val="single" w:color="000000" w:sz="6" w:space="0"/>
              <w:bottom w:val="nil"/>
            </w:tcBorders>
            <w:vAlign w:val="top"/>
          </w:tcPr>
          <w:p w14:paraId="2713DF89">
            <w:pPr>
              <w:rPr>
                <w:rFonts w:ascii="Arial"/>
                <w:sz w:val="21"/>
              </w:rPr>
            </w:pPr>
          </w:p>
        </w:tc>
        <w:tc>
          <w:tcPr>
            <w:tcW w:w="113" w:type="dxa"/>
            <w:tcBorders>
              <w:top w:val="nil"/>
              <w:bottom w:val="nil"/>
            </w:tcBorders>
            <w:vAlign w:val="top"/>
          </w:tcPr>
          <w:p w14:paraId="3E50358F">
            <w:pPr>
              <w:rPr>
                <w:rFonts w:ascii="Arial"/>
                <w:sz w:val="21"/>
              </w:rPr>
            </w:pPr>
          </w:p>
        </w:tc>
        <w:tc>
          <w:tcPr>
            <w:tcW w:w="7932" w:type="dxa"/>
            <w:vAlign w:val="top"/>
          </w:tcPr>
          <w:p w14:paraId="3D7D2018">
            <w:pPr>
              <w:pStyle w:val="6"/>
              <w:spacing w:before="43" w:line="198" w:lineRule="auto"/>
              <w:ind w:left="3640"/>
              <w:outlineLvl w:val="1"/>
              <w:rPr>
                <w:sz w:val="22"/>
                <w:szCs w:val="22"/>
              </w:rPr>
            </w:pPr>
            <w:r>
              <w:rPr>
                <w:spacing w:val="-2"/>
                <w:sz w:val="22"/>
                <w:szCs w:val="22"/>
              </w:rPr>
              <w:t>截水沟</w:t>
            </w:r>
          </w:p>
        </w:tc>
        <w:tc>
          <w:tcPr>
            <w:tcW w:w="112" w:type="dxa"/>
            <w:tcBorders>
              <w:top w:val="nil"/>
              <w:bottom w:val="nil"/>
              <w:right w:val="single" w:color="000000" w:sz="6" w:space="0"/>
            </w:tcBorders>
            <w:vAlign w:val="top"/>
          </w:tcPr>
          <w:p w14:paraId="54F2E93D">
            <w:pPr>
              <w:rPr>
                <w:rFonts w:ascii="Arial"/>
                <w:sz w:val="21"/>
              </w:rPr>
            </w:pPr>
          </w:p>
        </w:tc>
      </w:tr>
      <w:tr w14:paraId="2EA9B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831" w:type="dxa"/>
            <w:vMerge w:val="continue"/>
            <w:tcBorders>
              <w:top w:val="nil"/>
              <w:left w:val="single" w:color="000000" w:sz="6" w:space="0"/>
              <w:bottom w:val="single" w:color="000000" w:sz="6" w:space="0"/>
            </w:tcBorders>
            <w:vAlign w:val="top"/>
          </w:tcPr>
          <w:p w14:paraId="0DB09C8F">
            <w:pPr>
              <w:rPr>
                <w:rFonts w:ascii="Arial"/>
                <w:sz w:val="21"/>
              </w:rPr>
            </w:pPr>
          </w:p>
        </w:tc>
        <w:tc>
          <w:tcPr>
            <w:tcW w:w="8157" w:type="dxa"/>
            <w:gridSpan w:val="3"/>
            <w:tcBorders>
              <w:bottom w:val="single" w:color="000000" w:sz="6" w:space="0"/>
              <w:right w:val="single" w:color="000000" w:sz="6" w:space="0"/>
            </w:tcBorders>
            <w:vAlign w:val="top"/>
          </w:tcPr>
          <w:p w14:paraId="1718758D">
            <w:pPr>
              <w:rPr>
                <w:rFonts w:ascii="Arial"/>
                <w:sz w:val="21"/>
              </w:rPr>
            </w:pPr>
          </w:p>
        </w:tc>
      </w:tr>
    </w:tbl>
    <w:p w14:paraId="21D9168B">
      <w:pPr>
        <w:pStyle w:val="2"/>
        <w:rPr>
          <w:sz w:val="21"/>
        </w:rPr>
      </w:pPr>
    </w:p>
    <w:p w14:paraId="03D7EA32">
      <w:pPr>
        <w:rPr>
          <w:sz w:val="21"/>
          <w:szCs w:val="21"/>
        </w:rPr>
        <w:sectPr>
          <w:footerReference r:id="rId54" w:type="default"/>
          <w:pgSz w:w="11906" w:h="16839"/>
          <w:pgMar w:top="400" w:right="1451" w:bottom="1009" w:left="1451" w:header="0" w:footer="770" w:gutter="0"/>
          <w:cols w:space="720" w:num="1"/>
        </w:sectPr>
      </w:pPr>
    </w:p>
    <w:p w14:paraId="45E3DD30">
      <w:pPr>
        <w:pStyle w:val="2"/>
        <w:spacing w:line="252" w:lineRule="auto"/>
        <w:rPr>
          <w:sz w:val="21"/>
        </w:rPr>
      </w:pPr>
    </w:p>
    <w:p w14:paraId="7B6D45DA">
      <w:pPr>
        <w:pStyle w:val="2"/>
        <w:spacing w:line="252" w:lineRule="auto"/>
        <w:rPr>
          <w:sz w:val="21"/>
        </w:rPr>
      </w:pPr>
    </w:p>
    <w:p w14:paraId="07EF2D26">
      <w:pPr>
        <w:pStyle w:val="2"/>
        <w:spacing w:line="252" w:lineRule="auto"/>
        <w:rPr>
          <w:sz w:val="21"/>
        </w:rPr>
      </w:pPr>
    </w:p>
    <w:p w14:paraId="72C4C51E">
      <w:pPr>
        <w:pStyle w:val="2"/>
        <w:spacing w:line="252" w:lineRule="auto"/>
        <w:rPr>
          <w:sz w:val="21"/>
        </w:rPr>
      </w:pPr>
    </w:p>
    <w:p w14:paraId="0D057886">
      <w:pPr>
        <w:pStyle w:val="2"/>
        <w:spacing w:line="253" w:lineRule="auto"/>
        <w:rPr>
          <w:sz w:val="21"/>
        </w:rPr>
      </w:pPr>
    </w:p>
    <w:p w14:paraId="4957B101">
      <w:pPr>
        <w:spacing w:before="98" w:line="211" w:lineRule="auto"/>
        <w:ind w:left="1221"/>
        <w:outlineLvl w:val="0"/>
        <w:rPr>
          <w:rFonts w:ascii="黑体" w:hAnsi="黑体" w:eastAsia="黑体" w:cs="黑体"/>
          <w:sz w:val="30"/>
          <w:szCs w:val="30"/>
        </w:rPr>
      </w:pPr>
      <w:r>
        <w:rPr>
          <w:rFonts w:ascii="黑体" w:hAnsi="黑体" w:eastAsia="黑体" w:cs="黑体"/>
          <w:spacing w:val="-1"/>
          <w:sz w:val="30"/>
          <w:szCs w:val="30"/>
        </w:rPr>
        <w:t>三、区域环境质量现状、环境保护目标及评价标准</w:t>
      </w: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26EA3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52" w:hRule="atLeast"/>
        </w:trPr>
        <w:tc>
          <w:tcPr>
            <w:tcW w:w="808" w:type="dxa"/>
            <w:tcBorders>
              <w:right w:val="single" w:color="000000" w:sz="2" w:space="0"/>
            </w:tcBorders>
            <w:vAlign w:val="top"/>
          </w:tcPr>
          <w:p w14:paraId="547BA210">
            <w:pPr>
              <w:spacing w:line="250" w:lineRule="auto"/>
              <w:rPr>
                <w:rFonts w:ascii="Arial"/>
                <w:sz w:val="21"/>
              </w:rPr>
            </w:pPr>
          </w:p>
          <w:p w14:paraId="0C0A3F31">
            <w:pPr>
              <w:spacing w:line="250" w:lineRule="auto"/>
              <w:rPr>
                <w:rFonts w:ascii="Arial"/>
                <w:sz w:val="21"/>
              </w:rPr>
            </w:pPr>
          </w:p>
          <w:p w14:paraId="60CD5B83">
            <w:pPr>
              <w:spacing w:line="250" w:lineRule="auto"/>
              <w:rPr>
                <w:rFonts w:ascii="Arial"/>
                <w:sz w:val="21"/>
              </w:rPr>
            </w:pPr>
          </w:p>
          <w:p w14:paraId="039EE82F">
            <w:pPr>
              <w:spacing w:line="250" w:lineRule="auto"/>
              <w:rPr>
                <w:rFonts w:ascii="Arial"/>
                <w:sz w:val="21"/>
              </w:rPr>
            </w:pPr>
          </w:p>
          <w:p w14:paraId="4328AEC6">
            <w:pPr>
              <w:spacing w:line="251" w:lineRule="auto"/>
              <w:rPr>
                <w:rFonts w:ascii="Arial"/>
                <w:sz w:val="21"/>
              </w:rPr>
            </w:pPr>
          </w:p>
          <w:p w14:paraId="3FB44F49">
            <w:pPr>
              <w:spacing w:line="251" w:lineRule="auto"/>
              <w:rPr>
                <w:rFonts w:ascii="Arial"/>
                <w:sz w:val="21"/>
              </w:rPr>
            </w:pPr>
          </w:p>
          <w:p w14:paraId="25DA2B68">
            <w:pPr>
              <w:spacing w:line="251" w:lineRule="auto"/>
              <w:rPr>
                <w:rFonts w:ascii="Arial"/>
                <w:sz w:val="21"/>
              </w:rPr>
            </w:pPr>
          </w:p>
          <w:p w14:paraId="43811018">
            <w:pPr>
              <w:spacing w:line="251" w:lineRule="auto"/>
              <w:rPr>
                <w:rFonts w:ascii="Arial"/>
                <w:sz w:val="21"/>
              </w:rPr>
            </w:pPr>
          </w:p>
          <w:p w14:paraId="48B9F16C">
            <w:pPr>
              <w:spacing w:line="251" w:lineRule="auto"/>
              <w:rPr>
                <w:rFonts w:ascii="Arial"/>
                <w:sz w:val="21"/>
              </w:rPr>
            </w:pPr>
          </w:p>
          <w:p w14:paraId="77898E14">
            <w:pPr>
              <w:spacing w:line="251" w:lineRule="auto"/>
              <w:rPr>
                <w:rFonts w:ascii="Arial"/>
                <w:sz w:val="21"/>
              </w:rPr>
            </w:pPr>
          </w:p>
          <w:p w14:paraId="40233C0E">
            <w:pPr>
              <w:spacing w:line="251" w:lineRule="auto"/>
              <w:rPr>
                <w:rFonts w:ascii="Arial"/>
                <w:sz w:val="21"/>
              </w:rPr>
            </w:pPr>
          </w:p>
          <w:p w14:paraId="7A1B3B3F">
            <w:pPr>
              <w:spacing w:line="251" w:lineRule="auto"/>
              <w:rPr>
                <w:rFonts w:ascii="Arial"/>
                <w:sz w:val="21"/>
              </w:rPr>
            </w:pPr>
          </w:p>
          <w:p w14:paraId="4990033F">
            <w:pPr>
              <w:spacing w:line="251" w:lineRule="auto"/>
              <w:rPr>
                <w:rFonts w:ascii="Arial"/>
                <w:sz w:val="21"/>
              </w:rPr>
            </w:pPr>
          </w:p>
          <w:p w14:paraId="3D6EAEBA">
            <w:pPr>
              <w:spacing w:line="251" w:lineRule="auto"/>
              <w:rPr>
                <w:rFonts w:ascii="Arial"/>
                <w:sz w:val="21"/>
              </w:rPr>
            </w:pPr>
          </w:p>
          <w:p w14:paraId="7DEC1F80">
            <w:pPr>
              <w:spacing w:line="251" w:lineRule="auto"/>
              <w:rPr>
                <w:rFonts w:ascii="Arial"/>
                <w:sz w:val="21"/>
              </w:rPr>
            </w:pPr>
          </w:p>
          <w:p w14:paraId="24C43AA8">
            <w:pPr>
              <w:spacing w:line="251" w:lineRule="auto"/>
              <w:rPr>
                <w:rFonts w:ascii="Arial"/>
                <w:sz w:val="21"/>
              </w:rPr>
            </w:pPr>
          </w:p>
          <w:p w14:paraId="630E1978">
            <w:pPr>
              <w:spacing w:line="251" w:lineRule="auto"/>
              <w:rPr>
                <w:rFonts w:ascii="Arial"/>
                <w:sz w:val="21"/>
              </w:rPr>
            </w:pPr>
          </w:p>
          <w:p w14:paraId="5FBBB1BE">
            <w:pPr>
              <w:spacing w:line="251" w:lineRule="auto"/>
              <w:rPr>
                <w:rFonts w:ascii="Arial"/>
                <w:sz w:val="21"/>
              </w:rPr>
            </w:pPr>
          </w:p>
          <w:p w14:paraId="6F8ACAB2">
            <w:pPr>
              <w:spacing w:line="251" w:lineRule="auto"/>
              <w:rPr>
                <w:rFonts w:ascii="Arial"/>
                <w:sz w:val="21"/>
              </w:rPr>
            </w:pPr>
          </w:p>
          <w:p w14:paraId="568C8CCD">
            <w:pPr>
              <w:spacing w:line="251" w:lineRule="auto"/>
              <w:rPr>
                <w:rFonts w:ascii="Arial"/>
                <w:sz w:val="21"/>
              </w:rPr>
            </w:pPr>
          </w:p>
          <w:p w14:paraId="47E1B8E4">
            <w:pPr>
              <w:spacing w:line="251" w:lineRule="auto"/>
              <w:rPr>
                <w:rFonts w:ascii="Arial"/>
                <w:sz w:val="21"/>
              </w:rPr>
            </w:pPr>
          </w:p>
          <w:p w14:paraId="4FB154B9">
            <w:pPr>
              <w:spacing w:line="251" w:lineRule="auto"/>
              <w:rPr>
                <w:rFonts w:ascii="Arial"/>
                <w:sz w:val="21"/>
              </w:rPr>
            </w:pPr>
          </w:p>
          <w:p w14:paraId="7742994E">
            <w:pPr>
              <w:pStyle w:val="6"/>
              <w:spacing w:before="81" w:line="249" w:lineRule="auto"/>
              <w:ind w:left="145" w:right="144" w:firstLine="19"/>
              <w:jc w:val="both"/>
            </w:pPr>
            <w:r>
              <w:rPr>
                <w:spacing w:val="-6"/>
              </w:rPr>
              <w:t>区域</w:t>
            </w:r>
            <w:r>
              <w:rPr>
                <w:spacing w:val="4"/>
              </w:rPr>
              <w:t>环境质量现状</w:t>
            </w:r>
          </w:p>
        </w:tc>
        <w:tc>
          <w:tcPr>
            <w:tcW w:w="8186" w:type="dxa"/>
            <w:tcBorders>
              <w:left w:val="single" w:color="000000" w:sz="2" w:space="0"/>
            </w:tcBorders>
            <w:vAlign w:val="top"/>
          </w:tcPr>
          <w:p w14:paraId="575AF2CF">
            <w:pPr>
              <w:pStyle w:val="6"/>
              <w:spacing w:before="149" w:line="226" w:lineRule="auto"/>
              <w:ind w:left="104"/>
            </w:pPr>
            <w:r>
              <w:rPr>
                <w:rFonts w:ascii="Times New Roman" w:hAnsi="Times New Roman" w:eastAsia="Times New Roman" w:cs="Times New Roman"/>
                <w:b/>
                <w:bCs/>
                <w:spacing w:val="3"/>
              </w:rPr>
              <w:t>3.1</w:t>
            </w:r>
            <w:r>
              <w:rPr>
                <w:rFonts w:ascii="Times New Roman" w:hAnsi="Times New Roman" w:eastAsia="Times New Roman" w:cs="Times New Roman"/>
                <w:b/>
                <w:bCs/>
                <w:spacing w:val="39"/>
                <w:w w:val="101"/>
              </w:rPr>
              <w:t xml:space="preserve"> </w:t>
            </w:r>
            <w:r>
              <w:rPr>
                <w:b/>
                <w:bCs/>
                <w:spacing w:val="3"/>
              </w:rPr>
              <w:t>区域环境质量现状</w:t>
            </w:r>
          </w:p>
          <w:p w14:paraId="0F1ACF56">
            <w:pPr>
              <w:pStyle w:val="6"/>
              <w:spacing w:before="154" w:line="227" w:lineRule="auto"/>
              <w:ind w:left="104"/>
            </w:pPr>
            <w:r>
              <w:rPr>
                <w:rFonts w:ascii="Times New Roman" w:hAnsi="Times New Roman" w:eastAsia="Times New Roman" w:cs="Times New Roman"/>
                <w:b/>
                <w:bCs/>
                <w:spacing w:val="3"/>
              </w:rPr>
              <w:t>3.1.1</w:t>
            </w:r>
            <w:r>
              <w:rPr>
                <w:rFonts w:ascii="Times New Roman" w:hAnsi="Times New Roman" w:eastAsia="Times New Roman" w:cs="Times New Roman"/>
                <w:b/>
                <w:bCs/>
                <w:spacing w:val="21"/>
                <w:w w:val="101"/>
              </w:rPr>
              <w:t xml:space="preserve"> </w:t>
            </w:r>
            <w:r>
              <w:rPr>
                <w:b/>
                <w:bCs/>
                <w:spacing w:val="3"/>
              </w:rPr>
              <w:t>大气环境</w:t>
            </w:r>
          </w:p>
          <w:p w14:paraId="71B9CA62">
            <w:pPr>
              <w:pStyle w:val="6"/>
              <w:spacing w:before="153" w:line="226" w:lineRule="auto"/>
              <w:ind w:left="639"/>
            </w:pPr>
            <w:r>
              <w:rPr>
                <w:spacing w:val="7"/>
              </w:rPr>
              <w:t>（</w:t>
            </w:r>
            <w:r>
              <w:rPr>
                <w:rFonts w:ascii="Times New Roman" w:hAnsi="Times New Roman" w:eastAsia="Times New Roman" w:cs="Times New Roman"/>
                <w:spacing w:val="7"/>
              </w:rPr>
              <w:t>1</w:t>
            </w:r>
            <w:r>
              <w:rPr>
                <w:spacing w:val="7"/>
              </w:rPr>
              <w:t>）区域达标判断</w:t>
            </w:r>
          </w:p>
          <w:p w14:paraId="5FDC5CE4">
            <w:pPr>
              <w:pStyle w:val="6"/>
              <w:spacing w:before="151" w:line="340" w:lineRule="auto"/>
              <w:ind w:left="109" w:firstLine="520"/>
            </w:pPr>
            <w:r>
              <w:rPr>
                <w:spacing w:val="10"/>
              </w:rPr>
              <w:t>本项目位于重庆市九龙坡区，根据《重庆市人民政府关于印发</w:t>
            </w:r>
            <w:r>
              <w:rPr>
                <w:rFonts w:ascii="Times New Roman" w:hAnsi="Times New Roman" w:eastAsia="Times New Roman" w:cs="Times New Roman"/>
                <w:spacing w:val="10"/>
              </w:rPr>
              <w:t>&lt;</w:t>
            </w:r>
            <w:r>
              <w:rPr>
                <w:spacing w:val="10"/>
              </w:rPr>
              <w:t>重</w:t>
            </w:r>
            <w:r>
              <w:rPr>
                <w:spacing w:val="5"/>
              </w:rPr>
              <w:t>庆市环境空气质量功能区划分规定</w:t>
            </w:r>
            <w:r>
              <w:rPr>
                <w:rFonts w:ascii="Times New Roman" w:hAnsi="Times New Roman" w:eastAsia="Times New Roman" w:cs="Times New Roman"/>
                <w:spacing w:val="5"/>
              </w:rPr>
              <w:t>&gt;</w:t>
            </w:r>
            <w:r>
              <w:rPr>
                <w:spacing w:val="5"/>
              </w:rPr>
              <w:t>的通知》（渝府发〔</w:t>
            </w:r>
            <w:r>
              <w:rPr>
                <w:rFonts w:ascii="Times New Roman" w:hAnsi="Times New Roman" w:eastAsia="Times New Roman" w:cs="Times New Roman"/>
                <w:spacing w:val="5"/>
              </w:rPr>
              <w:t>20</w:t>
            </w:r>
            <w:r>
              <w:rPr>
                <w:rFonts w:ascii="Times New Roman" w:hAnsi="Times New Roman" w:eastAsia="Times New Roman" w:cs="Times New Roman"/>
                <w:spacing w:val="4"/>
              </w:rPr>
              <w:t>16</w:t>
            </w:r>
            <w:r>
              <w:rPr>
                <w:spacing w:val="4"/>
              </w:rPr>
              <w:t>〕</w:t>
            </w:r>
            <w:r>
              <w:rPr>
                <w:rFonts w:ascii="Times New Roman" w:hAnsi="Times New Roman" w:eastAsia="Times New Roman" w:cs="Times New Roman"/>
                <w:spacing w:val="4"/>
              </w:rPr>
              <w:t>19</w:t>
            </w:r>
            <w:r>
              <w:rPr>
                <w:rFonts w:ascii="Times New Roman" w:hAnsi="Times New Roman" w:eastAsia="Times New Roman" w:cs="Times New Roman"/>
                <w:spacing w:val="21"/>
              </w:rPr>
              <w:t xml:space="preserve"> </w:t>
            </w:r>
            <w:r>
              <w:rPr>
                <w:spacing w:val="4"/>
              </w:rPr>
              <w:t>号</w:t>
            </w:r>
            <w:r>
              <w:rPr>
                <w:spacing w:val="-34"/>
              </w:rPr>
              <w:t>），</w:t>
            </w:r>
            <w:r>
              <w:rPr>
                <w:spacing w:val="9"/>
              </w:rPr>
              <w:t>项目所在区域属二类功能区，环境空气质量执行《环境空气质量标准》</w:t>
            </w:r>
            <w:r>
              <w:rPr>
                <w:spacing w:val="3"/>
              </w:rPr>
              <w:t xml:space="preserve"> </w:t>
            </w:r>
            <w:r>
              <w:rPr>
                <w:spacing w:val="6"/>
              </w:rPr>
              <w:t>（</w:t>
            </w:r>
            <w:r>
              <w:rPr>
                <w:rFonts w:ascii="Times New Roman" w:hAnsi="Times New Roman" w:eastAsia="Times New Roman" w:cs="Times New Roman"/>
              </w:rPr>
              <w:t>GB</w:t>
            </w:r>
            <w:r>
              <w:rPr>
                <w:rFonts w:ascii="Times New Roman" w:hAnsi="Times New Roman" w:eastAsia="Times New Roman" w:cs="Times New Roman"/>
                <w:spacing w:val="6"/>
              </w:rPr>
              <w:t>3095-2012</w:t>
            </w:r>
            <w:r>
              <w:rPr>
                <w:spacing w:val="6"/>
              </w:rPr>
              <w:t>）中二级标准。</w:t>
            </w:r>
          </w:p>
          <w:p w14:paraId="3B3B521D">
            <w:pPr>
              <w:pStyle w:val="6"/>
              <w:spacing w:before="2" w:line="339" w:lineRule="auto"/>
              <w:ind w:left="110" w:right="103" w:firstLine="519"/>
              <w:jc w:val="both"/>
            </w:pPr>
            <w:r>
              <w:rPr>
                <w:spacing w:val="12"/>
              </w:rPr>
              <w:t>本次评价基本污染物采用重庆市生态环境局公布的《</w:t>
            </w:r>
            <w:r>
              <w:rPr>
                <w:rFonts w:ascii="Times New Roman" w:hAnsi="Times New Roman" w:eastAsia="Times New Roman" w:cs="Times New Roman"/>
                <w:spacing w:val="12"/>
              </w:rPr>
              <w:t xml:space="preserve">2024 </w:t>
            </w:r>
            <w:r>
              <w:rPr>
                <w:spacing w:val="12"/>
              </w:rPr>
              <w:t>年重庆</w:t>
            </w:r>
            <w:r>
              <w:rPr>
                <w:spacing w:val="7"/>
              </w:rPr>
              <w:t>市环境状况公报》中九龙坡区环境空气质量现状数据。区</w:t>
            </w:r>
            <w:r>
              <w:rPr>
                <w:spacing w:val="6"/>
              </w:rPr>
              <w:t>域空气环境现</w:t>
            </w:r>
            <w:r>
              <w:rPr>
                <w:spacing w:val="1"/>
              </w:rPr>
              <w:t>状评价见表</w:t>
            </w:r>
            <w:r>
              <w:rPr>
                <w:spacing w:val="-43"/>
              </w:rPr>
              <w:t xml:space="preserve"> </w:t>
            </w:r>
            <w:r>
              <w:rPr>
                <w:rFonts w:ascii="Times New Roman" w:hAnsi="Times New Roman" w:eastAsia="Times New Roman" w:cs="Times New Roman"/>
                <w:spacing w:val="1"/>
              </w:rPr>
              <w:t>3.1-</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w:t>
            </w:r>
            <w:r>
              <w:rPr>
                <w:spacing w:val="1"/>
              </w:rPr>
              <w:t>。</w:t>
            </w:r>
          </w:p>
          <w:p w14:paraId="2141BD58">
            <w:pPr>
              <w:pStyle w:val="6"/>
              <w:spacing w:before="1" w:line="224" w:lineRule="auto"/>
              <w:ind w:left="1841"/>
            </w:pPr>
            <w:r>
              <w:rPr>
                <w:spacing w:val="5"/>
              </w:rPr>
              <w:t>表</w:t>
            </w:r>
            <w:r>
              <w:rPr>
                <w:spacing w:val="-47"/>
              </w:rPr>
              <w:t xml:space="preserve"> </w:t>
            </w:r>
            <w:r>
              <w:rPr>
                <w:rFonts w:ascii="Times New Roman" w:hAnsi="Times New Roman" w:eastAsia="Times New Roman" w:cs="Times New Roman"/>
                <w:spacing w:val="5"/>
              </w:rPr>
              <w:t>3.1-</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 xml:space="preserve">1    </w:t>
            </w:r>
            <w:r>
              <w:rPr>
                <w:spacing w:val="5"/>
              </w:rPr>
              <w:t>区域环境空气质量现状评价表</w:t>
            </w:r>
          </w:p>
          <w:p w14:paraId="63C2A7BA">
            <w:pPr>
              <w:spacing w:line="118" w:lineRule="auto"/>
              <w:rPr>
                <w:rFonts w:ascii="Arial"/>
                <w:sz w:val="2"/>
              </w:rPr>
            </w:pPr>
          </w:p>
          <w:tbl>
            <w:tblPr>
              <w:tblStyle w:val="5"/>
              <w:tblW w:w="7965"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1"/>
              <w:gridCol w:w="2635"/>
              <w:gridCol w:w="1157"/>
              <w:gridCol w:w="1179"/>
              <w:gridCol w:w="967"/>
              <w:gridCol w:w="1096"/>
            </w:tblGrid>
            <w:tr w14:paraId="47B79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931" w:type="dxa"/>
                  <w:vAlign w:val="top"/>
                </w:tcPr>
                <w:p w14:paraId="58F7E89E">
                  <w:pPr>
                    <w:pStyle w:val="6"/>
                    <w:spacing w:before="178" w:line="221" w:lineRule="auto"/>
                    <w:ind w:left="66"/>
                    <w:rPr>
                      <w:sz w:val="22"/>
                      <w:szCs w:val="22"/>
                    </w:rPr>
                  </w:pPr>
                  <w:r>
                    <w:rPr>
                      <w:spacing w:val="-3"/>
                      <w:sz w:val="22"/>
                      <w:szCs w:val="22"/>
                    </w:rPr>
                    <w:t>污染物</w:t>
                  </w:r>
                </w:p>
              </w:tc>
              <w:tc>
                <w:tcPr>
                  <w:tcW w:w="2635" w:type="dxa"/>
                  <w:vAlign w:val="top"/>
                </w:tcPr>
                <w:p w14:paraId="4ED0595B">
                  <w:pPr>
                    <w:pStyle w:val="6"/>
                    <w:spacing w:before="178" w:line="219" w:lineRule="auto"/>
                    <w:ind w:left="61"/>
                    <w:rPr>
                      <w:sz w:val="22"/>
                      <w:szCs w:val="22"/>
                    </w:rPr>
                  </w:pPr>
                  <w:r>
                    <w:rPr>
                      <w:spacing w:val="-2"/>
                      <w:sz w:val="22"/>
                      <w:szCs w:val="22"/>
                    </w:rPr>
                    <w:t>年评价指标</w:t>
                  </w:r>
                </w:p>
              </w:tc>
              <w:tc>
                <w:tcPr>
                  <w:tcW w:w="1157" w:type="dxa"/>
                  <w:vAlign w:val="top"/>
                </w:tcPr>
                <w:p w14:paraId="67EEA7BB">
                  <w:pPr>
                    <w:pStyle w:val="6"/>
                    <w:spacing w:before="36" w:line="224" w:lineRule="auto"/>
                    <w:ind w:left="178" w:right="53" w:hanging="114"/>
                    <w:rPr>
                      <w:sz w:val="22"/>
                      <w:szCs w:val="22"/>
                    </w:rPr>
                  </w:pPr>
                  <w:r>
                    <w:rPr>
                      <w:spacing w:val="38"/>
                      <w:sz w:val="22"/>
                      <w:szCs w:val="22"/>
                    </w:rPr>
                    <w:t>现状浓度</w:t>
                  </w:r>
                  <w:r>
                    <w:rPr>
                      <w:spacing w:val="-3"/>
                      <w:sz w:val="22"/>
                      <w:szCs w:val="22"/>
                    </w:rPr>
                    <w:t>(</w:t>
                  </w:r>
                  <w:r>
                    <w:rPr>
                      <w:rFonts w:ascii="Times New Roman" w:hAnsi="Times New Roman" w:eastAsia="Times New Roman" w:cs="Times New Roman"/>
                      <w:spacing w:val="-3"/>
                      <w:sz w:val="22"/>
                      <w:szCs w:val="22"/>
                    </w:rPr>
                    <w:t>µg/m</w:t>
                  </w:r>
                  <w:r>
                    <w:rPr>
                      <w:rFonts w:ascii="Times New Roman" w:hAnsi="Times New Roman" w:eastAsia="Times New Roman" w:cs="Times New Roman"/>
                      <w:spacing w:val="-3"/>
                      <w:sz w:val="14"/>
                      <w:szCs w:val="14"/>
                    </w:rPr>
                    <w:t>3</w:t>
                  </w:r>
                  <w:r>
                    <w:rPr>
                      <w:spacing w:val="-3"/>
                      <w:sz w:val="22"/>
                      <w:szCs w:val="22"/>
                    </w:rPr>
                    <w:t>）</w:t>
                  </w:r>
                </w:p>
              </w:tc>
              <w:tc>
                <w:tcPr>
                  <w:tcW w:w="1179" w:type="dxa"/>
                  <w:vAlign w:val="top"/>
                </w:tcPr>
                <w:p w14:paraId="1B8CD4CF">
                  <w:pPr>
                    <w:pStyle w:val="6"/>
                    <w:spacing w:before="36" w:line="224" w:lineRule="auto"/>
                    <w:ind w:left="181" w:right="51" w:hanging="115"/>
                    <w:rPr>
                      <w:sz w:val="22"/>
                      <w:szCs w:val="22"/>
                    </w:rPr>
                  </w:pPr>
                  <w:r>
                    <w:rPr>
                      <w:spacing w:val="-7"/>
                      <w:sz w:val="22"/>
                      <w:szCs w:val="22"/>
                    </w:rPr>
                    <w:t>标  准</w:t>
                  </w:r>
                  <w:r>
                    <w:rPr>
                      <w:spacing w:val="100"/>
                      <w:sz w:val="22"/>
                      <w:szCs w:val="22"/>
                    </w:rPr>
                    <w:t xml:space="preserve"> </w:t>
                  </w:r>
                  <w:r>
                    <w:rPr>
                      <w:spacing w:val="-7"/>
                      <w:sz w:val="22"/>
                      <w:szCs w:val="22"/>
                    </w:rPr>
                    <w:t>值</w:t>
                  </w:r>
                  <w:r>
                    <w:rPr>
                      <w:spacing w:val="-3"/>
                      <w:sz w:val="22"/>
                      <w:szCs w:val="22"/>
                    </w:rPr>
                    <w:t>(</w:t>
                  </w:r>
                  <w:r>
                    <w:rPr>
                      <w:rFonts w:ascii="Times New Roman" w:hAnsi="Times New Roman" w:eastAsia="Times New Roman" w:cs="Times New Roman"/>
                      <w:spacing w:val="-3"/>
                      <w:sz w:val="22"/>
                      <w:szCs w:val="22"/>
                    </w:rPr>
                    <w:t>µg/m</w:t>
                  </w:r>
                  <w:r>
                    <w:rPr>
                      <w:rFonts w:ascii="Times New Roman" w:hAnsi="Times New Roman" w:eastAsia="Times New Roman" w:cs="Times New Roman"/>
                      <w:spacing w:val="-3"/>
                      <w:sz w:val="14"/>
                      <w:szCs w:val="14"/>
                    </w:rPr>
                    <w:t>3</w:t>
                  </w:r>
                  <w:r>
                    <w:rPr>
                      <w:spacing w:val="-3"/>
                      <w:sz w:val="22"/>
                      <w:szCs w:val="22"/>
                    </w:rPr>
                    <w:t>）</w:t>
                  </w:r>
                </w:p>
              </w:tc>
              <w:tc>
                <w:tcPr>
                  <w:tcW w:w="967" w:type="dxa"/>
                  <w:vAlign w:val="top"/>
                </w:tcPr>
                <w:p w14:paraId="53AE9EE3">
                  <w:pPr>
                    <w:pStyle w:val="6"/>
                    <w:spacing w:before="36" w:line="224" w:lineRule="auto"/>
                    <w:ind w:left="71" w:right="51" w:firstLine="29"/>
                    <w:rPr>
                      <w:sz w:val="22"/>
                      <w:szCs w:val="22"/>
                    </w:rPr>
                  </w:pPr>
                  <w:r>
                    <w:rPr>
                      <w:spacing w:val="-17"/>
                      <w:sz w:val="22"/>
                      <w:szCs w:val="22"/>
                    </w:rPr>
                    <w:t>占 标</w:t>
                  </w:r>
                  <w:r>
                    <w:rPr>
                      <w:spacing w:val="-4"/>
                      <w:sz w:val="22"/>
                      <w:szCs w:val="22"/>
                    </w:rPr>
                    <w:t xml:space="preserve"> </w:t>
                  </w:r>
                  <w:r>
                    <w:rPr>
                      <w:spacing w:val="-17"/>
                      <w:sz w:val="22"/>
                      <w:szCs w:val="22"/>
                    </w:rPr>
                    <w:t>率</w:t>
                  </w:r>
                  <w:r>
                    <w:rPr>
                      <w:spacing w:val="-5"/>
                      <w:sz w:val="22"/>
                      <w:szCs w:val="22"/>
                    </w:rPr>
                    <w:t>（</w:t>
                  </w:r>
                  <w:r>
                    <w:rPr>
                      <w:rFonts w:ascii="Times New Roman" w:hAnsi="Times New Roman" w:eastAsia="Times New Roman" w:cs="Times New Roman"/>
                      <w:spacing w:val="-5"/>
                      <w:sz w:val="22"/>
                      <w:szCs w:val="22"/>
                    </w:rPr>
                    <w:t>%</w:t>
                  </w:r>
                  <w:r>
                    <w:rPr>
                      <w:spacing w:val="-5"/>
                      <w:sz w:val="22"/>
                      <w:szCs w:val="22"/>
                    </w:rPr>
                    <w:t>）</w:t>
                  </w:r>
                </w:p>
              </w:tc>
              <w:tc>
                <w:tcPr>
                  <w:tcW w:w="1096" w:type="dxa"/>
                  <w:vAlign w:val="top"/>
                </w:tcPr>
                <w:p w14:paraId="2E02AD14">
                  <w:pPr>
                    <w:pStyle w:val="6"/>
                    <w:spacing w:before="178" w:line="221" w:lineRule="auto"/>
                    <w:ind w:left="64"/>
                    <w:rPr>
                      <w:sz w:val="22"/>
                      <w:szCs w:val="22"/>
                    </w:rPr>
                  </w:pPr>
                  <w:r>
                    <w:rPr>
                      <w:spacing w:val="-2"/>
                      <w:sz w:val="22"/>
                      <w:szCs w:val="22"/>
                    </w:rPr>
                    <w:t>达标情况</w:t>
                  </w:r>
                </w:p>
              </w:tc>
            </w:tr>
            <w:tr w14:paraId="50A44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31" w:type="dxa"/>
                  <w:vAlign w:val="top"/>
                </w:tcPr>
                <w:p w14:paraId="324DBD3B">
                  <w:pPr>
                    <w:spacing w:before="115" w:line="192" w:lineRule="auto"/>
                    <w:ind w:left="60"/>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PM</w:t>
                  </w:r>
                  <w:r>
                    <w:rPr>
                      <w:rFonts w:ascii="Times New Roman" w:hAnsi="Times New Roman" w:eastAsia="Times New Roman" w:cs="Times New Roman"/>
                      <w:spacing w:val="-1"/>
                      <w:position w:val="-1"/>
                      <w:sz w:val="14"/>
                      <w:szCs w:val="14"/>
                    </w:rPr>
                    <w:t>10</w:t>
                  </w:r>
                </w:p>
              </w:tc>
              <w:tc>
                <w:tcPr>
                  <w:tcW w:w="2635" w:type="dxa"/>
                  <w:vMerge w:val="restart"/>
                  <w:tcBorders>
                    <w:bottom w:val="nil"/>
                  </w:tcBorders>
                  <w:vAlign w:val="top"/>
                </w:tcPr>
                <w:p w14:paraId="5CFE8C41">
                  <w:pPr>
                    <w:spacing w:line="283" w:lineRule="auto"/>
                    <w:rPr>
                      <w:rFonts w:ascii="Arial"/>
                      <w:sz w:val="21"/>
                    </w:rPr>
                  </w:pPr>
                </w:p>
                <w:p w14:paraId="5FC52C83">
                  <w:pPr>
                    <w:spacing w:line="284" w:lineRule="auto"/>
                    <w:rPr>
                      <w:rFonts w:ascii="Arial"/>
                      <w:sz w:val="21"/>
                    </w:rPr>
                  </w:pPr>
                </w:p>
                <w:p w14:paraId="55DF70B2">
                  <w:pPr>
                    <w:pStyle w:val="6"/>
                    <w:spacing w:before="72" w:line="220" w:lineRule="auto"/>
                    <w:ind w:left="61"/>
                    <w:rPr>
                      <w:sz w:val="22"/>
                      <w:szCs w:val="22"/>
                    </w:rPr>
                  </w:pPr>
                  <w:r>
                    <w:rPr>
                      <w:spacing w:val="-2"/>
                      <w:sz w:val="22"/>
                      <w:szCs w:val="22"/>
                    </w:rPr>
                    <w:t>年平均质量浓度</w:t>
                  </w:r>
                </w:p>
              </w:tc>
              <w:tc>
                <w:tcPr>
                  <w:tcW w:w="1157" w:type="dxa"/>
                  <w:vAlign w:val="top"/>
                </w:tcPr>
                <w:p w14:paraId="32804830">
                  <w:pPr>
                    <w:spacing w:before="111" w:line="189" w:lineRule="auto"/>
                    <w:ind w:left="6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51</w:t>
                  </w:r>
                </w:p>
              </w:tc>
              <w:tc>
                <w:tcPr>
                  <w:tcW w:w="1179" w:type="dxa"/>
                  <w:vAlign w:val="top"/>
                </w:tcPr>
                <w:p w14:paraId="428D3DD7">
                  <w:pPr>
                    <w:spacing w:before="111" w:line="189" w:lineRule="auto"/>
                    <w:ind w:left="6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70</w:t>
                  </w:r>
                </w:p>
              </w:tc>
              <w:tc>
                <w:tcPr>
                  <w:tcW w:w="967" w:type="dxa"/>
                  <w:vAlign w:val="top"/>
                </w:tcPr>
                <w:p w14:paraId="0C752E5B">
                  <w:pPr>
                    <w:spacing w:before="111" w:line="189" w:lineRule="auto"/>
                    <w:ind w:left="6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72.8</w:t>
                  </w:r>
                </w:p>
              </w:tc>
              <w:tc>
                <w:tcPr>
                  <w:tcW w:w="1096" w:type="dxa"/>
                  <w:vAlign w:val="top"/>
                </w:tcPr>
                <w:p w14:paraId="77CFCC1C">
                  <w:pPr>
                    <w:pStyle w:val="6"/>
                    <w:spacing w:before="73" w:line="221" w:lineRule="auto"/>
                    <w:ind w:left="64"/>
                    <w:rPr>
                      <w:sz w:val="22"/>
                      <w:szCs w:val="22"/>
                    </w:rPr>
                  </w:pPr>
                  <w:r>
                    <w:rPr>
                      <w:spacing w:val="-3"/>
                      <w:sz w:val="22"/>
                      <w:szCs w:val="22"/>
                    </w:rPr>
                    <w:t>达标</w:t>
                  </w:r>
                </w:p>
              </w:tc>
            </w:tr>
            <w:tr w14:paraId="2B20F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31" w:type="dxa"/>
                  <w:vAlign w:val="top"/>
                </w:tcPr>
                <w:p w14:paraId="6277ED08">
                  <w:pPr>
                    <w:spacing w:before="116" w:line="192" w:lineRule="auto"/>
                    <w:ind w:left="60"/>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PM</w:t>
                  </w:r>
                  <w:r>
                    <w:rPr>
                      <w:rFonts w:ascii="Times New Roman" w:hAnsi="Times New Roman" w:eastAsia="Times New Roman" w:cs="Times New Roman"/>
                      <w:spacing w:val="-1"/>
                      <w:position w:val="-1"/>
                      <w:sz w:val="14"/>
                      <w:szCs w:val="14"/>
                    </w:rPr>
                    <w:t>2.5</w:t>
                  </w:r>
                </w:p>
              </w:tc>
              <w:tc>
                <w:tcPr>
                  <w:tcW w:w="2635" w:type="dxa"/>
                  <w:vMerge w:val="continue"/>
                  <w:tcBorders>
                    <w:top w:val="nil"/>
                    <w:bottom w:val="nil"/>
                  </w:tcBorders>
                  <w:vAlign w:val="top"/>
                </w:tcPr>
                <w:p w14:paraId="662516F3">
                  <w:pPr>
                    <w:rPr>
                      <w:rFonts w:ascii="Arial"/>
                      <w:sz w:val="21"/>
                    </w:rPr>
                  </w:pPr>
                </w:p>
              </w:tc>
              <w:tc>
                <w:tcPr>
                  <w:tcW w:w="1157" w:type="dxa"/>
                  <w:vAlign w:val="top"/>
                </w:tcPr>
                <w:p w14:paraId="685A60E7">
                  <w:pPr>
                    <w:spacing w:before="112" w:line="189" w:lineRule="auto"/>
                    <w:ind w:left="6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32.3</w:t>
                  </w:r>
                </w:p>
              </w:tc>
              <w:tc>
                <w:tcPr>
                  <w:tcW w:w="1179" w:type="dxa"/>
                  <w:vAlign w:val="top"/>
                </w:tcPr>
                <w:p w14:paraId="0EC37C74">
                  <w:pPr>
                    <w:spacing w:before="112" w:line="189" w:lineRule="auto"/>
                    <w:ind w:left="6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35</w:t>
                  </w:r>
                </w:p>
              </w:tc>
              <w:tc>
                <w:tcPr>
                  <w:tcW w:w="967" w:type="dxa"/>
                  <w:vAlign w:val="top"/>
                </w:tcPr>
                <w:p w14:paraId="6BF359AB">
                  <w:pPr>
                    <w:spacing w:before="112" w:line="189" w:lineRule="auto"/>
                    <w:ind w:left="6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92.3</w:t>
                  </w:r>
                </w:p>
              </w:tc>
              <w:tc>
                <w:tcPr>
                  <w:tcW w:w="1096" w:type="dxa"/>
                  <w:vAlign w:val="top"/>
                </w:tcPr>
                <w:p w14:paraId="5D696920">
                  <w:pPr>
                    <w:pStyle w:val="6"/>
                    <w:spacing w:before="74" w:line="221" w:lineRule="auto"/>
                    <w:ind w:left="64"/>
                    <w:rPr>
                      <w:sz w:val="22"/>
                      <w:szCs w:val="22"/>
                    </w:rPr>
                  </w:pPr>
                  <w:r>
                    <w:rPr>
                      <w:spacing w:val="-3"/>
                      <w:sz w:val="22"/>
                      <w:szCs w:val="22"/>
                    </w:rPr>
                    <w:t>达标</w:t>
                  </w:r>
                </w:p>
              </w:tc>
            </w:tr>
            <w:tr w14:paraId="1172E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31" w:type="dxa"/>
                  <w:vAlign w:val="top"/>
                </w:tcPr>
                <w:p w14:paraId="05ACF2D3">
                  <w:pPr>
                    <w:spacing w:before="113" w:line="196" w:lineRule="auto"/>
                    <w:ind w:left="70"/>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2635" w:type="dxa"/>
                  <w:vMerge w:val="continue"/>
                  <w:tcBorders>
                    <w:top w:val="nil"/>
                    <w:bottom w:val="nil"/>
                  </w:tcBorders>
                  <w:vAlign w:val="top"/>
                </w:tcPr>
                <w:p w14:paraId="48011DB9">
                  <w:pPr>
                    <w:rPr>
                      <w:rFonts w:ascii="Arial"/>
                      <w:sz w:val="21"/>
                    </w:rPr>
                  </w:pPr>
                </w:p>
              </w:tc>
              <w:tc>
                <w:tcPr>
                  <w:tcW w:w="1157" w:type="dxa"/>
                  <w:vAlign w:val="top"/>
                </w:tcPr>
                <w:p w14:paraId="7AB7795F">
                  <w:pPr>
                    <w:spacing w:before="114" w:line="189" w:lineRule="auto"/>
                    <w:ind w:left="68"/>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1179" w:type="dxa"/>
                  <w:vAlign w:val="top"/>
                </w:tcPr>
                <w:p w14:paraId="104F4593">
                  <w:pPr>
                    <w:spacing w:before="114" w:line="189" w:lineRule="auto"/>
                    <w:ind w:left="6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967" w:type="dxa"/>
                  <w:vAlign w:val="top"/>
                </w:tcPr>
                <w:p w14:paraId="3565FB80">
                  <w:pPr>
                    <w:spacing w:before="114" w:line="189" w:lineRule="auto"/>
                    <w:ind w:left="82"/>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13.3</w:t>
                  </w:r>
                </w:p>
              </w:tc>
              <w:tc>
                <w:tcPr>
                  <w:tcW w:w="1096" w:type="dxa"/>
                  <w:vAlign w:val="top"/>
                </w:tcPr>
                <w:p w14:paraId="04FD3407">
                  <w:pPr>
                    <w:pStyle w:val="6"/>
                    <w:spacing w:before="75" w:line="221" w:lineRule="auto"/>
                    <w:ind w:left="64"/>
                    <w:rPr>
                      <w:sz w:val="22"/>
                      <w:szCs w:val="22"/>
                    </w:rPr>
                  </w:pPr>
                  <w:r>
                    <w:rPr>
                      <w:spacing w:val="-3"/>
                      <w:sz w:val="22"/>
                      <w:szCs w:val="22"/>
                    </w:rPr>
                    <w:t>达标</w:t>
                  </w:r>
                </w:p>
              </w:tc>
            </w:tr>
            <w:tr w14:paraId="19A7B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31" w:type="dxa"/>
                  <w:vAlign w:val="top"/>
                </w:tcPr>
                <w:p w14:paraId="6BF3F3AA">
                  <w:pPr>
                    <w:spacing w:before="114" w:line="196" w:lineRule="auto"/>
                    <w:ind w:left="53"/>
                    <w:rPr>
                      <w:rFonts w:ascii="Times New Roman" w:hAnsi="Times New Roman" w:eastAsia="Times New Roman" w:cs="Times New Roman"/>
                      <w:sz w:val="14"/>
                      <w:szCs w:val="14"/>
                    </w:rPr>
                  </w:pPr>
                  <w:r>
                    <w:rPr>
                      <w:rFonts w:ascii="Times New Roman" w:hAnsi="Times New Roman" w:eastAsia="Times New Roman" w:cs="Times New Roman"/>
                      <w:sz w:val="22"/>
                      <w:szCs w:val="22"/>
                    </w:rPr>
                    <w:t>NO</w:t>
                  </w:r>
                  <w:r>
                    <w:rPr>
                      <w:rFonts w:ascii="Times New Roman" w:hAnsi="Times New Roman" w:eastAsia="Times New Roman" w:cs="Times New Roman"/>
                      <w:spacing w:val="2"/>
                      <w:position w:val="-1"/>
                      <w:sz w:val="14"/>
                      <w:szCs w:val="14"/>
                    </w:rPr>
                    <w:t>2</w:t>
                  </w:r>
                </w:p>
              </w:tc>
              <w:tc>
                <w:tcPr>
                  <w:tcW w:w="2635" w:type="dxa"/>
                  <w:vMerge w:val="continue"/>
                  <w:tcBorders>
                    <w:top w:val="nil"/>
                  </w:tcBorders>
                  <w:vAlign w:val="top"/>
                </w:tcPr>
                <w:p w14:paraId="2140187A">
                  <w:pPr>
                    <w:rPr>
                      <w:rFonts w:ascii="Arial"/>
                      <w:sz w:val="21"/>
                    </w:rPr>
                  </w:pPr>
                </w:p>
              </w:tc>
              <w:tc>
                <w:tcPr>
                  <w:tcW w:w="1157" w:type="dxa"/>
                  <w:vAlign w:val="top"/>
                </w:tcPr>
                <w:p w14:paraId="485E8FB7">
                  <w:pPr>
                    <w:spacing w:before="115" w:line="189" w:lineRule="auto"/>
                    <w:ind w:left="63"/>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34</w:t>
                  </w:r>
                </w:p>
              </w:tc>
              <w:tc>
                <w:tcPr>
                  <w:tcW w:w="1179" w:type="dxa"/>
                  <w:vAlign w:val="top"/>
                </w:tcPr>
                <w:p w14:paraId="0BDB16D5">
                  <w:pPr>
                    <w:spacing w:before="115" w:line="189" w:lineRule="auto"/>
                    <w:ind w:left="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w:t>
                  </w:r>
                </w:p>
              </w:tc>
              <w:tc>
                <w:tcPr>
                  <w:tcW w:w="967" w:type="dxa"/>
                  <w:vAlign w:val="top"/>
                </w:tcPr>
                <w:p w14:paraId="66CB4073">
                  <w:pPr>
                    <w:spacing w:before="115" w:line="189" w:lineRule="auto"/>
                    <w:ind w:left="69"/>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85.0</w:t>
                  </w:r>
                </w:p>
              </w:tc>
              <w:tc>
                <w:tcPr>
                  <w:tcW w:w="1096" w:type="dxa"/>
                  <w:vAlign w:val="top"/>
                </w:tcPr>
                <w:p w14:paraId="78A15E16">
                  <w:pPr>
                    <w:pStyle w:val="6"/>
                    <w:spacing w:before="77" w:line="221" w:lineRule="auto"/>
                    <w:ind w:left="64"/>
                    <w:rPr>
                      <w:sz w:val="22"/>
                      <w:szCs w:val="22"/>
                    </w:rPr>
                  </w:pPr>
                  <w:r>
                    <w:rPr>
                      <w:spacing w:val="-3"/>
                      <w:sz w:val="22"/>
                      <w:szCs w:val="22"/>
                    </w:rPr>
                    <w:t>达标</w:t>
                  </w:r>
                </w:p>
              </w:tc>
            </w:tr>
            <w:tr w14:paraId="42EF6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931" w:type="dxa"/>
                  <w:vAlign w:val="top"/>
                </w:tcPr>
                <w:p w14:paraId="65AF2481">
                  <w:pPr>
                    <w:spacing w:before="113" w:line="198" w:lineRule="auto"/>
                    <w:ind w:left="64"/>
                    <w:rPr>
                      <w:rFonts w:ascii="Times New Roman" w:hAnsi="Times New Roman" w:eastAsia="Times New Roman" w:cs="Times New Roman"/>
                      <w:sz w:val="14"/>
                      <w:szCs w:val="14"/>
                    </w:rPr>
                  </w:pPr>
                  <w:r>
                    <w:rPr>
                      <w:rFonts w:ascii="Times New Roman" w:hAnsi="Times New Roman" w:eastAsia="Times New Roman" w:cs="Times New Roman"/>
                      <w:spacing w:val="-4"/>
                      <w:sz w:val="22"/>
                      <w:szCs w:val="22"/>
                    </w:rPr>
                    <w:t>O</w:t>
                  </w:r>
                  <w:r>
                    <w:rPr>
                      <w:rFonts w:ascii="Times New Roman" w:hAnsi="Times New Roman" w:eastAsia="Times New Roman" w:cs="Times New Roman"/>
                      <w:spacing w:val="-4"/>
                      <w:position w:val="-1"/>
                      <w:sz w:val="14"/>
                      <w:szCs w:val="14"/>
                    </w:rPr>
                    <w:t>3</w:t>
                  </w:r>
                </w:p>
              </w:tc>
              <w:tc>
                <w:tcPr>
                  <w:tcW w:w="2635" w:type="dxa"/>
                  <w:vAlign w:val="top"/>
                </w:tcPr>
                <w:p w14:paraId="0D03584A">
                  <w:pPr>
                    <w:pStyle w:val="6"/>
                    <w:spacing w:before="76" w:line="220" w:lineRule="auto"/>
                    <w:ind w:left="98"/>
                    <w:rPr>
                      <w:sz w:val="22"/>
                      <w:szCs w:val="22"/>
                    </w:rPr>
                  </w:pPr>
                  <w:r>
                    <w:rPr>
                      <w:spacing w:val="-6"/>
                      <w:sz w:val="22"/>
                      <w:szCs w:val="22"/>
                    </w:rPr>
                    <w:t>日最大</w:t>
                  </w:r>
                  <w:r>
                    <w:rPr>
                      <w:spacing w:val="-41"/>
                      <w:sz w:val="22"/>
                      <w:szCs w:val="22"/>
                    </w:rPr>
                    <w:t xml:space="preserve"> </w:t>
                  </w:r>
                  <w:r>
                    <w:rPr>
                      <w:rFonts w:ascii="Times New Roman" w:hAnsi="Times New Roman" w:eastAsia="Times New Roman" w:cs="Times New Roman"/>
                      <w:spacing w:val="-6"/>
                      <w:sz w:val="22"/>
                      <w:szCs w:val="22"/>
                    </w:rPr>
                    <w:t xml:space="preserve">8h </w:t>
                  </w:r>
                  <w:r>
                    <w:rPr>
                      <w:spacing w:val="-6"/>
                      <w:sz w:val="22"/>
                      <w:szCs w:val="22"/>
                    </w:rPr>
                    <w:t>平均浓度</w:t>
                  </w:r>
                </w:p>
              </w:tc>
              <w:tc>
                <w:tcPr>
                  <w:tcW w:w="1157" w:type="dxa"/>
                  <w:vAlign w:val="top"/>
                </w:tcPr>
                <w:p w14:paraId="108C434E">
                  <w:pPr>
                    <w:spacing w:before="114" w:line="189" w:lineRule="auto"/>
                    <w:ind w:left="80"/>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140</w:t>
                  </w:r>
                </w:p>
              </w:tc>
              <w:tc>
                <w:tcPr>
                  <w:tcW w:w="1179" w:type="dxa"/>
                  <w:vAlign w:val="top"/>
                </w:tcPr>
                <w:p w14:paraId="6A49A4A2">
                  <w:pPr>
                    <w:spacing w:before="114" w:line="189" w:lineRule="auto"/>
                    <w:ind w:left="82"/>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160</w:t>
                  </w:r>
                </w:p>
              </w:tc>
              <w:tc>
                <w:tcPr>
                  <w:tcW w:w="967" w:type="dxa"/>
                  <w:vAlign w:val="top"/>
                </w:tcPr>
                <w:p w14:paraId="3C56DE57">
                  <w:pPr>
                    <w:spacing w:before="114" w:line="189" w:lineRule="auto"/>
                    <w:ind w:left="69"/>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87.5</w:t>
                  </w:r>
                </w:p>
              </w:tc>
              <w:tc>
                <w:tcPr>
                  <w:tcW w:w="1096" w:type="dxa"/>
                  <w:vAlign w:val="top"/>
                </w:tcPr>
                <w:p w14:paraId="66A05313">
                  <w:pPr>
                    <w:pStyle w:val="6"/>
                    <w:spacing w:before="75" w:line="221" w:lineRule="auto"/>
                    <w:ind w:left="64"/>
                    <w:rPr>
                      <w:sz w:val="22"/>
                      <w:szCs w:val="22"/>
                    </w:rPr>
                  </w:pPr>
                  <w:r>
                    <w:rPr>
                      <w:spacing w:val="-3"/>
                      <w:sz w:val="22"/>
                      <w:szCs w:val="22"/>
                    </w:rPr>
                    <w:t>达标</w:t>
                  </w:r>
                </w:p>
              </w:tc>
            </w:tr>
            <w:tr w14:paraId="4CA8B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931" w:type="dxa"/>
                  <w:vAlign w:val="top"/>
                </w:tcPr>
                <w:p w14:paraId="51C54C08">
                  <w:pPr>
                    <w:spacing w:before="114" w:line="189" w:lineRule="auto"/>
                    <w:ind w:left="6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CO</w:t>
                  </w:r>
                </w:p>
              </w:tc>
              <w:tc>
                <w:tcPr>
                  <w:tcW w:w="2635" w:type="dxa"/>
                  <w:vAlign w:val="top"/>
                </w:tcPr>
                <w:p w14:paraId="45E2619A">
                  <w:pPr>
                    <w:pStyle w:val="6"/>
                    <w:spacing w:before="76" w:line="220" w:lineRule="auto"/>
                    <w:ind w:left="98"/>
                    <w:rPr>
                      <w:sz w:val="22"/>
                      <w:szCs w:val="22"/>
                    </w:rPr>
                  </w:pPr>
                  <w:r>
                    <w:rPr>
                      <w:spacing w:val="-6"/>
                      <w:sz w:val="22"/>
                      <w:szCs w:val="22"/>
                    </w:rPr>
                    <w:t>日均浓度的第</w:t>
                  </w:r>
                  <w:r>
                    <w:rPr>
                      <w:spacing w:val="-50"/>
                      <w:sz w:val="22"/>
                      <w:szCs w:val="22"/>
                    </w:rPr>
                    <w:t xml:space="preserve"> </w:t>
                  </w:r>
                  <w:r>
                    <w:rPr>
                      <w:rFonts w:ascii="Times New Roman" w:hAnsi="Times New Roman" w:eastAsia="Times New Roman" w:cs="Times New Roman"/>
                      <w:spacing w:val="-6"/>
                      <w:sz w:val="22"/>
                      <w:szCs w:val="22"/>
                    </w:rPr>
                    <w:t>95</w:t>
                  </w:r>
                  <w:r>
                    <w:rPr>
                      <w:rFonts w:ascii="Times New Roman" w:hAnsi="Times New Roman" w:eastAsia="Times New Roman" w:cs="Times New Roman"/>
                      <w:spacing w:val="14"/>
                      <w:sz w:val="22"/>
                      <w:szCs w:val="22"/>
                    </w:rPr>
                    <w:t xml:space="preserve"> </w:t>
                  </w:r>
                  <w:r>
                    <w:rPr>
                      <w:spacing w:val="-6"/>
                      <w:sz w:val="22"/>
                      <w:szCs w:val="22"/>
                    </w:rPr>
                    <w:t>百分位数</w:t>
                  </w:r>
                </w:p>
              </w:tc>
              <w:tc>
                <w:tcPr>
                  <w:tcW w:w="1157" w:type="dxa"/>
                  <w:vAlign w:val="top"/>
                </w:tcPr>
                <w:p w14:paraId="6B5685B6">
                  <w:pPr>
                    <w:spacing w:before="96" w:line="206" w:lineRule="auto"/>
                    <w:ind w:left="80"/>
                    <w:rPr>
                      <w:rFonts w:ascii="Times New Roman" w:hAnsi="Times New Roman" w:eastAsia="Times New Roman" w:cs="Times New Roman"/>
                      <w:sz w:val="14"/>
                      <w:szCs w:val="14"/>
                    </w:rPr>
                  </w:pPr>
                  <w:r>
                    <w:rPr>
                      <w:rFonts w:ascii="Times New Roman" w:hAnsi="Times New Roman" w:eastAsia="Times New Roman" w:cs="Times New Roman"/>
                      <w:spacing w:val="-4"/>
                      <w:sz w:val="22"/>
                      <w:szCs w:val="22"/>
                    </w:rPr>
                    <w:t>1.2mg/m</w:t>
                  </w:r>
                  <w:r>
                    <w:rPr>
                      <w:rFonts w:ascii="Times New Roman" w:hAnsi="Times New Roman" w:eastAsia="Times New Roman" w:cs="Times New Roman"/>
                      <w:spacing w:val="-4"/>
                      <w:position w:val="6"/>
                      <w:sz w:val="14"/>
                      <w:szCs w:val="14"/>
                    </w:rPr>
                    <w:t>3</w:t>
                  </w:r>
                </w:p>
              </w:tc>
              <w:tc>
                <w:tcPr>
                  <w:tcW w:w="1179" w:type="dxa"/>
                  <w:vAlign w:val="top"/>
                </w:tcPr>
                <w:p w14:paraId="3D0D4134">
                  <w:pPr>
                    <w:spacing w:before="96" w:line="206" w:lineRule="auto"/>
                    <w:ind w:left="60"/>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4mg/m</w:t>
                  </w:r>
                  <w:r>
                    <w:rPr>
                      <w:rFonts w:ascii="Times New Roman" w:hAnsi="Times New Roman" w:eastAsia="Times New Roman" w:cs="Times New Roman"/>
                      <w:spacing w:val="-1"/>
                      <w:position w:val="6"/>
                      <w:sz w:val="14"/>
                      <w:szCs w:val="14"/>
                    </w:rPr>
                    <w:t>3</w:t>
                  </w:r>
                </w:p>
              </w:tc>
              <w:tc>
                <w:tcPr>
                  <w:tcW w:w="967" w:type="dxa"/>
                  <w:vAlign w:val="top"/>
                </w:tcPr>
                <w:p w14:paraId="560B0DCC">
                  <w:pPr>
                    <w:spacing w:before="114" w:line="189" w:lineRule="auto"/>
                    <w:ind w:left="6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30.0</w:t>
                  </w:r>
                </w:p>
              </w:tc>
              <w:tc>
                <w:tcPr>
                  <w:tcW w:w="1096" w:type="dxa"/>
                  <w:vAlign w:val="top"/>
                </w:tcPr>
                <w:p w14:paraId="31A7172B">
                  <w:pPr>
                    <w:pStyle w:val="6"/>
                    <w:spacing w:before="76" w:line="221" w:lineRule="auto"/>
                    <w:ind w:left="64"/>
                    <w:rPr>
                      <w:sz w:val="22"/>
                      <w:szCs w:val="22"/>
                    </w:rPr>
                  </w:pPr>
                  <w:r>
                    <w:rPr>
                      <w:spacing w:val="-3"/>
                      <w:sz w:val="22"/>
                      <w:szCs w:val="22"/>
                    </w:rPr>
                    <w:t>达标</w:t>
                  </w:r>
                </w:p>
              </w:tc>
            </w:tr>
          </w:tbl>
          <w:p w14:paraId="57163F49">
            <w:pPr>
              <w:spacing w:line="259" w:lineRule="auto"/>
              <w:rPr>
                <w:rFonts w:ascii="Arial"/>
                <w:sz w:val="21"/>
              </w:rPr>
            </w:pPr>
          </w:p>
          <w:p w14:paraId="3F190BE3">
            <w:pPr>
              <w:spacing w:line="260" w:lineRule="auto"/>
              <w:rPr>
                <w:rFonts w:ascii="Arial"/>
                <w:sz w:val="21"/>
              </w:rPr>
            </w:pPr>
          </w:p>
          <w:p w14:paraId="547F8C5E">
            <w:pPr>
              <w:pStyle w:val="6"/>
              <w:spacing w:before="82" w:line="340" w:lineRule="auto"/>
              <w:ind w:left="110" w:right="103" w:firstLine="518"/>
              <w:jc w:val="both"/>
            </w:pPr>
            <w:r>
              <w:rPr>
                <w:spacing w:val="3"/>
              </w:rPr>
              <w:t>根据上表</w:t>
            </w:r>
            <w:r>
              <w:rPr>
                <w:spacing w:val="-34"/>
              </w:rPr>
              <w:t xml:space="preserve"> </w:t>
            </w:r>
            <w:r>
              <w:rPr>
                <w:rFonts w:ascii="Times New Roman" w:hAnsi="Times New Roman" w:eastAsia="Times New Roman" w:cs="Times New Roman"/>
                <w:spacing w:val="3"/>
              </w:rPr>
              <w:t>3.1-</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 xml:space="preserve">1 </w:t>
            </w:r>
            <w:r>
              <w:rPr>
                <w:spacing w:val="3"/>
              </w:rPr>
              <w:t>可知，九龙坡区</w:t>
            </w:r>
            <w:r>
              <w:rPr>
                <w:spacing w:val="-55"/>
              </w:rPr>
              <w:t xml:space="preserve"> </w:t>
            </w:r>
            <w:r>
              <w:rPr>
                <w:rFonts w:ascii="Times New Roman" w:hAnsi="Times New Roman" w:eastAsia="Times New Roman" w:cs="Times New Roman"/>
                <w:spacing w:val="3"/>
              </w:rPr>
              <w:t xml:space="preserve">2024 </w:t>
            </w:r>
            <w:r>
              <w:rPr>
                <w:spacing w:val="3"/>
              </w:rPr>
              <w:t>年大气基本污染物浓度均达到</w:t>
            </w:r>
            <w:r>
              <w:rPr>
                <w:spacing w:val="8"/>
              </w:rPr>
              <w:t>《环境空气质量标准》（</w:t>
            </w:r>
            <w:r>
              <w:rPr>
                <w:rFonts w:ascii="Times New Roman" w:hAnsi="Times New Roman" w:eastAsia="Times New Roman" w:cs="Times New Roman"/>
              </w:rPr>
              <w:t>GB</w:t>
            </w:r>
            <w:r>
              <w:rPr>
                <w:rFonts w:ascii="Times New Roman" w:hAnsi="Times New Roman" w:eastAsia="Times New Roman" w:cs="Times New Roman"/>
                <w:spacing w:val="8"/>
              </w:rPr>
              <w:t>3095-2012</w:t>
            </w:r>
            <w:r>
              <w:rPr>
                <w:spacing w:val="8"/>
              </w:rPr>
              <w:t>）中二级标准，属于环境空气质</w:t>
            </w:r>
            <w:r>
              <w:rPr>
                <w:spacing w:val="5"/>
              </w:rPr>
              <w:t>量达标区。</w:t>
            </w:r>
          </w:p>
          <w:p w14:paraId="29FB996F">
            <w:pPr>
              <w:pStyle w:val="6"/>
              <w:spacing w:before="1" w:line="225" w:lineRule="auto"/>
              <w:ind w:left="639"/>
            </w:pPr>
            <w:r>
              <w:rPr>
                <w:spacing w:val="8"/>
              </w:rPr>
              <w:t>（</w:t>
            </w:r>
            <w:r>
              <w:rPr>
                <w:rFonts w:ascii="Times New Roman" w:hAnsi="Times New Roman" w:eastAsia="Times New Roman" w:cs="Times New Roman"/>
                <w:spacing w:val="8"/>
              </w:rPr>
              <w:t>2</w:t>
            </w:r>
            <w:r>
              <w:rPr>
                <w:spacing w:val="8"/>
              </w:rPr>
              <w:t>）特征因子环境空气质量现状</w:t>
            </w:r>
          </w:p>
          <w:p w14:paraId="1A2AF31B">
            <w:pPr>
              <w:pStyle w:val="6"/>
              <w:spacing w:before="154" w:line="320" w:lineRule="auto"/>
              <w:ind w:left="110" w:firstLine="518"/>
            </w:pPr>
            <w:r>
              <w:rPr>
                <w:spacing w:val="5"/>
              </w:rPr>
              <w:t>根据《建设项目环境影响报告表编制技术指南》（污染类</w:t>
            </w:r>
            <w:r>
              <w:rPr>
                <w:spacing w:val="-47"/>
              </w:rPr>
              <w:t>）（</w:t>
            </w:r>
            <w:r>
              <w:rPr>
                <w:spacing w:val="5"/>
              </w:rPr>
              <w:t>试行）</w:t>
            </w:r>
            <w:r>
              <w:rPr>
                <w:spacing w:val="7"/>
              </w:rPr>
              <w:t>可知，大气特征污染物现状监测指标种类以国</w:t>
            </w:r>
            <w:r>
              <w:rPr>
                <w:spacing w:val="6"/>
              </w:rPr>
              <w:t>家、地方环境空气质量标</w:t>
            </w:r>
            <w:r>
              <w:rPr>
                <w:spacing w:val="7"/>
              </w:rPr>
              <w:t>准为准，本评价对非甲烷总烃进行环境空气质</w:t>
            </w:r>
            <w:r>
              <w:rPr>
                <w:spacing w:val="6"/>
              </w:rPr>
              <w:t>量现状评价。为了解项目</w:t>
            </w:r>
            <w:r>
              <w:rPr>
                <w:spacing w:val="7"/>
              </w:rPr>
              <w:t>地区的环境空气质量现状，本次评价通过引用</w:t>
            </w:r>
            <w:r>
              <w:rPr>
                <w:spacing w:val="6"/>
              </w:rPr>
              <w:t>监测数据对项目区域的特</w:t>
            </w:r>
            <w:r>
              <w:rPr>
                <w:spacing w:val="7"/>
              </w:rPr>
              <w:t>征污染因子进行评价。</w:t>
            </w:r>
          </w:p>
        </w:tc>
      </w:tr>
    </w:tbl>
    <w:p w14:paraId="15707AF4">
      <w:pPr>
        <w:pStyle w:val="2"/>
        <w:rPr>
          <w:sz w:val="21"/>
        </w:rPr>
      </w:pPr>
    </w:p>
    <w:p w14:paraId="57EB6EC9">
      <w:pPr>
        <w:rPr>
          <w:sz w:val="21"/>
          <w:szCs w:val="21"/>
        </w:rPr>
        <w:sectPr>
          <w:footerReference r:id="rId55" w:type="default"/>
          <w:pgSz w:w="11907" w:h="16840"/>
          <w:pgMar w:top="400" w:right="1449" w:bottom="1008" w:left="1448" w:header="0" w:footer="770" w:gutter="0"/>
          <w:cols w:space="720" w:num="1"/>
        </w:sectPr>
      </w:pPr>
    </w:p>
    <w:p w14:paraId="5E3708EF">
      <w:pPr>
        <w:spacing w:before="19"/>
      </w:pPr>
    </w:p>
    <w:p w14:paraId="4995D696">
      <w:pPr>
        <w:spacing w:before="19"/>
      </w:pPr>
    </w:p>
    <w:p w14:paraId="3D658821">
      <w:pPr>
        <w:spacing w:before="19"/>
      </w:pPr>
    </w:p>
    <w:p w14:paraId="088205FD">
      <w:pPr>
        <w:spacing w:before="18"/>
      </w:pPr>
    </w:p>
    <w:p w14:paraId="5312B4AC">
      <w:pPr>
        <w:spacing w:before="1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78989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76" w:hRule="atLeast"/>
        </w:trPr>
        <w:tc>
          <w:tcPr>
            <w:tcW w:w="808" w:type="dxa"/>
            <w:tcBorders>
              <w:right w:val="single" w:color="000000" w:sz="2" w:space="0"/>
            </w:tcBorders>
            <w:vAlign w:val="top"/>
          </w:tcPr>
          <w:p w14:paraId="55E9D910">
            <w:pPr>
              <w:rPr>
                <w:rFonts w:ascii="Arial"/>
                <w:sz w:val="21"/>
              </w:rPr>
            </w:pPr>
          </w:p>
        </w:tc>
        <w:tc>
          <w:tcPr>
            <w:tcW w:w="8186" w:type="dxa"/>
            <w:tcBorders>
              <w:left w:val="single" w:color="000000" w:sz="2" w:space="0"/>
            </w:tcBorders>
            <w:vAlign w:val="top"/>
          </w:tcPr>
          <w:p w14:paraId="5BF2EDA3">
            <w:pPr>
              <w:pStyle w:val="6"/>
              <w:spacing w:before="146" w:line="340" w:lineRule="auto"/>
              <w:ind w:left="111" w:right="103" w:firstLine="518"/>
              <w:jc w:val="both"/>
            </w:pPr>
            <w:r>
              <w:rPr>
                <w:spacing w:val="8"/>
              </w:rPr>
              <w:t>本项目位于重庆市九龙坡区石堰村八社</w:t>
            </w:r>
            <w:r>
              <w:rPr>
                <w:rFonts w:ascii="Times New Roman" w:hAnsi="Times New Roman" w:eastAsia="Times New Roman" w:cs="Times New Roman"/>
                <w:spacing w:val="8"/>
              </w:rPr>
              <w:t>(</w:t>
            </w:r>
            <w:r>
              <w:rPr>
                <w:spacing w:val="8"/>
              </w:rPr>
              <w:t>乔鹤佳苑小区旁</w:t>
            </w:r>
            <w:r>
              <w:rPr>
                <w:rFonts w:ascii="Times New Roman" w:hAnsi="Times New Roman" w:eastAsia="Times New Roman" w:cs="Times New Roman"/>
                <w:spacing w:val="8"/>
              </w:rPr>
              <w:t>)</w:t>
            </w:r>
            <w:r>
              <w:rPr>
                <w:rFonts w:ascii="Times New Roman" w:hAnsi="Times New Roman" w:eastAsia="Times New Roman" w:cs="Times New Roman"/>
                <w:spacing w:val="-27"/>
              </w:rPr>
              <w:t xml:space="preserve"> </w:t>
            </w:r>
            <w:r>
              <w:rPr>
                <w:spacing w:val="8"/>
              </w:rPr>
              <w:t>，项目特</w:t>
            </w:r>
            <w:r>
              <w:rPr>
                <w:spacing w:val="7"/>
              </w:rPr>
              <w:t>征因子为非甲烷总烃。本次评价非甲烷总烃引用重庆大</w:t>
            </w:r>
            <w:r>
              <w:rPr>
                <w:spacing w:val="6"/>
              </w:rPr>
              <w:t>安检测技术有限</w:t>
            </w:r>
            <w:r>
              <w:rPr>
                <w:spacing w:val="5"/>
              </w:rPr>
              <w:t>公司对“重庆市九龙工业园区规划环境影响评价项目</w:t>
            </w:r>
            <w:r>
              <w:rPr>
                <w:spacing w:val="-70"/>
              </w:rPr>
              <w:t xml:space="preserve"> </w:t>
            </w:r>
            <w:r>
              <w:rPr>
                <w:spacing w:val="5"/>
              </w:rPr>
              <w:t>”监测的现状监测</w:t>
            </w:r>
            <w:r>
              <w:rPr>
                <w:spacing w:val="2"/>
              </w:rPr>
              <w:t>数据“渝大安（环）检〔</w:t>
            </w:r>
            <w:r>
              <w:rPr>
                <w:rFonts w:ascii="Times New Roman" w:hAnsi="Times New Roman" w:eastAsia="Times New Roman" w:cs="Times New Roman"/>
                <w:spacing w:val="2"/>
              </w:rPr>
              <w:t>2023</w:t>
            </w:r>
            <w:r>
              <w:rPr>
                <w:spacing w:val="2"/>
              </w:rPr>
              <w:t>〕第</w:t>
            </w:r>
            <w:r>
              <w:rPr>
                <w:spacing w:val="-37"/>
              </w:rPr>
              <w:t xml:space="preserve"> </w:t>
            </w:r>
            <w:r>
              <w:rPr>
                <w:rFonts w:ascii="Times New Roman" w:hAnsi="Times New Roman" w:eastAsia="Times New Roman" w:cs="Times New Roman"/>
              </w:rPr>
              <w:t>HP</w:t>
            </w:r>
            <w:r>
              <w:rPr>
                <w:rFonts w:ascii="Times New Roman" w:hAnsi="Times New Roman" w:eastAsia="Times New Roman" w:cs="Times New Roman"/>
                <w:spacing w:val="2"/>
              </w:rPr>
              <w:t>038-</w:t>
            </w:r>
            <w:r>
              <w:rPr>
                <w:rFonts w:ascii="Times New Roman" w:hAnsi="Times New Roman" w:eastAsia="Times New Roman" w:cs="Times New Roman"/>
                <w:spacing w:val="-3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1"/>
                <w:w w:val="101"/>
              </w:rPr>
              <w:t xml:space="preserve"> </w:t>
            </w:r>
            <w:r>
              <w:rPr>
                <w:spacing w:val="2"/>
              </w:rPr>
              <w:t>号</w:t>
            </w:r>
            <w:r>
              <w:rPr>
                <w:spacing w:val="-91"/>
              </w:rPr>
              <w:t xml:space="preserve"> </w:t>
            </w:r>
            <w:r>
              <w:rPr>
                <w:spacing w:val="2"/>
              </w:rPr>
              <w:t>”，作为本次评价特征因</w:t>
            </w:r>
            <w:r>
              <w:rPr>
                <w:spacing w:val="8"/>
              </w:rPr>
              <w:t>子环境质量现状依据。引用点位距离在</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rPr>
              <w:t>km</w:t>
            </w:r>
            <w:r>
              <w:rPr>
                <w:rFonts w:ascii="Times New Roman" w:hAnsi="Times New Roman" w:eastAsia="Times New Roman" w:cs="Times New Roman"/>
                <w:spacing w:val="19"/>
              </w:rPr>
              <w:t xml:space="preserve"> </w:t>
            </w:r>
            <w:r>
              <w:rPr>
                <w:spacing w:val="8"/>
              </w:rPr>
              <w:t>范围内，监测时间为</w:t>
            </w:r>
            <w:r>
              <w:rPr>
                <w:spacing w:val="-55"/>
              </w:rPr>
              <w:t xml:space="preserve"> </w:t>
            </w:r>
            <w:r>
              <w:rPr>
                <w:rFonts w:ascii="Times New Roman" w:hAnsi="Times New Roman" w:eastAsia="Times New Roman" w:cs="Times New Roman"/>
                <w:spacing w:val="8"/>
              </w:rPr>
              <w:t>2023</w:t>
            </w:r>
            <w:r>
              <w:rPr>
                <w:spacing w:val="6"/>
              </w:rPr>
              <w:t>年</w:t>
            </w:r>
            <w:r>
              <w:rPr>
                <w:spacing w:val="-54"/>
              </w:rPr>
              <w:t xml:space="preserve"> </w:t>
            </w:r>
            <w:r>
              <w:rPr>
                <w:rFonts w:ascii="Times New Roman" w:hAnsi="Times New Roman" w:eastAsia="Times New Roman" w:cs="Times New Roman"/>
                <w:spacing w:val="6"/>
              </w:rPr>
              <w:t>4</w:t>
            </w:r>
            <w:r>
              <w:rPr>
                <w:rFonts w:ascii="Times New Roman" w:hAnsi="Times New Roman" w:eastAsia="Times New Roman" w:cs="Times New Roman"/>
                <w:spacing w:val="24"/>
              </w:rPr>
              <w:t xml:space="preserve"> </w:t>
            </w:r>
            <w:r>
              <w:rPr>
                <w:spacing w:val="6"/>
              </w:rPr>
              <w:t>月</w:t>
            </w:r>
            <w:r>
              <w:rPr>
                <w:spacing w:val="-50"/>
              </w:rPr>
              <w:t xml:space="preserve"> </w:t>
            </w:r>
            <w:r>
              <w:rPr>
                <w:rFonts w:ascii="Times New Roman" w:hAnsi="Times New Roman" w:eastAsia="Times New Roman" w:cs="Times New Roman"/>
                <w:spacing w:val="6"/>
              </w:rPr>
              <w:t>24</w:t>
            </w:r>
            <w:r>
              <w:rPr>
                <w:rFonts w:ascii="Times New Roman" w:hAnsi="Times New Roman" w:eastAsia="Times New Roman" w:cs="Times New Roman"/>
                <w:spacing w:val="62"/>
              </w:rPr>
              <w:t xml:space="preserve"> </w:t>
            </w:r>
            <w:r>
              <w:rPr>
                <w:spacing w:val="6"/>
              </w:rPr>
              <w:t>日</w:t>
            </w:r>
            <w:r>
              <w:rPr>
                <w:rFonts w:ascii="Times New Roman" w:hAnsi="Times New Roman" w:eastAsia="Times New Roman" w:cs="Times New Roman"/>
                <w:spacing w:val="6"/>
              </w:rPr>
              <w:t>~30</w:t>
            </w:r>
            <w:r>
              <w:rPr>
                <w:rFonts w:ascii="Times New Roman" w:hAnsi="Times New Roman" w:eastAsia="Times New Roman" w:cs="Times New Roman"/>
                <w:spacing w:val="62"/>
              </w:rPr>
              <w:t xml:space="preserve"> </w:t>
            </w:r>
            <w:r>
              <w:rPr>
                <w:spacing w:val="6"/>
              </w:rPr>
              <w:t>日，连续监测</w:t>
            </w:r>
            <w:r>
              <w:rPr>
                <w:spacing w:val="-46"/>
              </w:rPr>
              <w:t xml:space="preserve"> </w:t>
            </w:r>
            <w:r>
              <w:rPr>
                <w:rFonts w:ascii="Times New Roman" w:hAnsi="Times New Roman" w:eastAsia="Times New Roman" w:cs="Times New Roman"/>
                <w:spacing w:val="6"/>
              </w:rPr>
              <w:t>7</w:t>
            </w:r>
            <w:r>
              <w:rPr>
                <w:rFonts w:ascii="Times New Roman" w:hAnsi="Times New Roman" w:eastAsia="Times New Roman" w:cs="Times New Roman"/>
                <w:spacing w:val="23"/>
              </w:rPr>
              <w:t xml:space="preserve"> </w:t>
            </w:r>
            <w:r>
              <w:rPr>
                <w:spacing w:val="6"/>
              </w:rPr>
              <w:t>天，监</w:t>
            </w:r>
            <w:r>
              <w:rPr>
                <w:spacing w:val="5"/>
              </w:rPr>
              <w:t>测小时值。引用点位位于本项</w:t>
            </w:r>
            <w:r>
              <w:rPr>
                <w:spacing w:val="6"/>
              </w:rPr>
              <w:t>目西南侧，与本项目距离约</w:t>
            </w:r>
            <w:r>
              <w:rPr>
                <w:spacing w:val="-39"/>
              </w:rPr>
              <w:t xml:space="preserve"> </w:t>
            </w:r>
            <w:r>
              <w:rPr>
                <w:rFonts w:ascii="Times New Roman" w:hAnsi="Times New Roman" w:eastAsia="Times New Roman" w:cs="Times New Roman"/>
                <w:spacing w:val="6"/>
              </w:rPr>
              <w:t>3.3</w:t>
            </w:r>
            <w:r>
              <w:rPr>
                <w:rFonts w:ascii="Times New Roman" w:hAnsi="Times New Roman" w:eastAsia="Times New Roman" w:cs="Times New Roman"/>
              </w:rPr>
              <w:t>km</w:t>
            </w:r>
            <w:r>
              <w:rPr>
                <w:rFonts w:ascii="Times New Roman" w:hAnsi="Times New Roman" w:eastAsia="Times New Roman" w:cs="Times New Roman"/>
                <w:spacing w:val="-28"/>
              </w:rPr>
              <w:t xml:space="preserve"> </w:t>
            </w:r>
            <w:r>
              <w:rPr>
                <w:spacing w:val="6"/>
              </w:rPr>
              <w:t>，监测点位的监测时间在</w:t>
            </w:r>
            <w:r>
              <w:rPr>
                <w:spacing w:val="-47"/>
              </w:rPr>
              <w:t xml:space="preserve"> </w:t>
            </w:r>
            <w:r>
              <w:rPr>
                <w:rFonts w:ascii="Times New Roman" w:hAnsi="Times New Roman" w:eastAsia="Times New Roman" w:cs="Times New Roman"/>
                <w:spacing w:val="6"/>
              </w:rPr>
              <w:t xml:space="preserve">3 </w:t>
            </w:r>
            <w:r>
              <w:rPr>
                <w:spacing w:val="6"/>
              </w:rPr>
              <w:t>年有效期</w:t>
            </w:r>
            <w:r>
              <w:rPr>
                <w:spacing w:val="7"/>
              </w:rPr>
              <w:t>内，引用数据有效。</w:t>
            </w:r>
          </w:p>
          <w:p w14:paraId="7EFD81B8">
            <w:pPr>
              <w:pStyle w:val="6"/>
              <w:spacing w:before="1" w:line="223" w:lineRule="auto"/>
              <w:ind w:left="627"/>
            </w:pPr>
            <w:r>
              <w:rPr>
                <w:spacing w:val="8"/>
              </w:rPr>
              <w:t>①监测基本情况</w:t>
            </w:r>
          </w:p>
          <w:p w14:paraId="590BA3A2">
            <w:pPr>
              <w:pStyle w:val="6"/>
              <w:spacing w:before="158" w:line="225" w:lineRule="auto"/>
              <w:ind w:left="629"/>
            </w:pPr>
            <w:r>
              <w:rPr>
                <w:spacing w:val="8"/>
              </w:rPr>
              <w:t>监测布点：</w:t>
            </w:r>
            <w:r>
              <w:rPr>
                <w:rFonts w:ascii="Times New Roman" w:hAnsi="Times New Roman" w:eastAsia="Times New Roman" w:cs="Times New Roman"/>
                <w:spacing w:val="8"/>
              </w:rPr>
              <w:t xml:space="preserve">B3 </w:t>
            </w:r>
            <w:r>
              <w:rPr>
                <w:spacing w:val="8"/>
              </w:rPr>
              <w:t>加油站西南侧（和平小学处）</w:t>
            </w:r>
          </w:p>
          <w:p w14:paraId="715AF8F0">
            <w:pPr>
              <w:pStyle w:val="6"/>
              <w:spacing w:before="155" w:line="227" w:lineRule="auto"/>
              <w:ind w:left="629"/>
            </w:pPr>
            <w:r>
              <w:rPr>
                <w:spacing w:val="8"/>
              </w:rPr>
              <w:t>监测因子：非甲烷总烃</w:t>
            </w:r>
          </w:p>
          <w:p w14:paraId="7F965EA4">
            <w:pPr>
              <w:pStyle w:val="6"/>
              <w:spacing w:before="152" w:line="340" w:lineRule="auto"/>
              <w:ind w:left="111" w:right="103" w:firstLine="518"/>
            </w:pPr>
            <w:r>
              <w:rPr>
                <w:spacing w:val="-2"/>
              </w:rPr>
              <w:t>监测时间与频率：</w:t>
            </w:r>
            <w:r>
              <w:rPr>
                <w:rFonts w:ascii="Times New Roman" w:hAnsi="Times New Roman" w:eastAsia="Times New Roman" w:cs="Times New Roman"/>
                <w:spacing w:val="-2"/>
              </w:rPr>
              <w:t xml:space="preserve">2023 </w:t>
            </w:r>
            <w:r>
              <w:rPr>
                <w:spacing w:val="-2"/>
              </w:rPr>
              <w:t>年</w:t>
            </w:r>
            <w:r>
              <w:rPr>
                <w:spacing w:val="-46"/>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18"/>
                <w:w w:val="101"/>
              </w:rPr>
              <w:t xml:space="preserve"> </w:t>
            </w:r>
            <w:r>
              <w:rPr>
                <w:spacing w:val="-2"/>
              </w:rPr>
              <w:t>月</w:t>
            </w:r>
            <w:r>
              <w:rPr>
                <w:spacing w:val="-52"/>
              </w:rPr>
              <w:t xml:space="preserve"> </w:t>
            </w:r>
            <w:r>
              <w:rPr>
                <w:rFonts w:ascii="Times New Roman" w:hAnsi="Times New Roman" w:eastAsia="Times New Roman" w:cs="Times New Roman"/>
                <w:spacing w:val="-2"/>
              </w:rPr>
              <w:t xml:space="preserve">24  </w:t>
            </w:r>
            <w:r>
              <w:rPr>
                <w:spacing w:val="-2"/>
              </w:rPr>
              <w:t>日</w:t>
            </w:r>
            <w:r>
              <w:rPr>
                <w:rFonts w:ascii="Times New Roman" w:hAnsi="Times New Roman" w:eastAsia="Times New Roman" w:cs="Times New Roman"/>
                <w:spacing w:val="-2"/>
              </w:rPr>
              <w:t>~2023</w:t>
            </w:r>
            <w:r>
              <w:rPr>
                <w:rFonts w:ascii="Times New Roman" w:hAnsi="Times New Roman" w:eastAsia="Times New Roman" w:cs="Times New Roman"/>
                <w:spacing w:val="16"/>
              </w:rPr>
              <w:t xml:space="preserve"> </w:t>
            </w:r>
            <w:r>
              <w:rPr>
                <w:spacing w:val="-2"/>
              </w:rPr>
              <w:t>年</w:t>
            </w:r>
            <w:r>
              <w:rPr>
                <w:spacing w:val="-56"/>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19"/>
              </w:rPr>
              <w:t xml:space="preserve"> </w:t>
            </w:r>
            <w:r>
              <w:rPr>
                <w:spacing w:val="-2"/>
              </w:rPr>
              <w:t>月</w:t>
            </w:r>
            <w:r>
              <w:rPr>
                <w:spacing w:val="-47"/>
              </w:rPr>
              <w:t xml:space="preserve"> </w:t>
            </w:r>
            <w:r>
              <w:rPr>
                <w:rFonts w:ascii="Times New Roman" w:hAnsi="Times New Roman" w:eastAsia="Times New Roman" w:cs="Times New Roman"/>
                <w:spacing w:val="-2"/>
              </w:rPr>
              <w:t xml:space="preserve">30  </w:t>
            </w:r>
            <w:r>
              <w:rPr>
                <w:spacing w:val="-2"/>
              </w:rPr>
              <w:t>日，连续</w:t>
            </w:r>
            <w:r>
              <w:rPr>
                <w:spacing w:val="-48"/>
              </w:rPr>
              <w:t xml:space="preserve"> </w:t>
            </w:r>
            <w:r>
              <w:rPr>
                <w:rFonts w:ascii="Times New Roman" w:hAnsi="Times New Roman" w:eastAsia="Times New Roman" w:cs="Times New Roman"/>
                <w:spacing w:val="-2"/>
              </w:rPr>
              <w:t>7</w:t>
            </w:r>
            <w:r>
              <w:rPr>
                <w:rFonts w:ascii="Times New Roman" w:hAnsi="Times New Roman" w:eastAsia="Times New Roman" w:cs="Times New Roman"/>
                <w:spacing w:val="17"/>
                <w:w w:val="101"/>
              </w:rPr>
              <w:t xml:space="preserve"> </w:t>
            </w:r>
            <w:r>
              <w:rPr>
                <w:spacing w:val="-2"/>
              </w:rPr>
              <w:t>天</w:t>
            </w:r>
            <w:r>
              <w:rPr>
                <w:spacing w:val="2"/>
              </w:rPr>
              <w:t>监测，每天</w:t>
            </w:r>
            <w:r>
              <w:rPr>
                <w:spacing w:val="-42"/>
              </w:rPr>
              <w:t xml:space="preserve"> </w:t>
            </w:r>
            <w:r>
              <w:rPr>
                <w:rFonts w:ascii="Times New Roman" w:hAnsi="Times New Roman" w:eastAsia="Times New Roman" w:cs="Times New Roman"/>
                <w:spacing w:val="2"/>
              </w:rPr>
              <w:t>8</w:t>
            </w:r>
            <w:r>
              <w:rPr>
                <w:rFonts w:ascii="Times New Roman" w:hAnsi="Times New Roman" w:eastAsia="Times New Roman" w:cs="Times New Roman"/>
                <w:spacing w:val="20"/>
              </w:rPr>
              <w:t xml:space="preserve"> </w:t>
            </w:r>
            <w:r>
              <w:rPr>
                <w:spacing w:val="2"/>
              </w:rPr>
              <w:t>次。</w:t>
            </w:r>
          </w:p>
          <w:p w14:paraId="622CAA63">
            <w:pPr>
              <w:pStyle w:val="6"/>
              <w:spacing w:line="225" w:lineRule="auto"/>
              <w:ind w:left="1841"/>
            </w:pPr>
            <w:r>
              <w:rPr>
                <w:spacing w:val="6"/>
              </w:rPr>
              <w:t>表</w:t>
            </w:r>
            <w:r>
              <w:rPr>
                <w:spacing w:val="-40"/>
              </w:rPr>
              <w:t xml:space="preserve"> </w:t>
            </w:r>
            <w:r>
              <w:rPr>
                <w:rFonts w:ascii="Times New Roman" w:hAnsi="Times New Roman" w:eastAsia="Times New Roman" w:cs="Times New Roman"/>
                <w:spacing w:val="6"/>
              </w:rPr>
              <w:t xml:space="preserve">3.1-2    </w:t>
            </w:r>
            <w:r>
              <w:rPr>
                <w:spacing w:val="6"/>
              </w:rPr>
              <w:t>其他污染物监测点位基本信息</w:t>
            </w:r>
          </w:p>
          <w:p w14:paraId="68F6ACA6">
            <w:pPr>
              <w:spacing w:line="90" w:lineRule="auto"/>
              <w:rPr>
                <w:rFonts w:ascii="Arial"/>
                <w:sz w:val="2"/>
              </w:rPr>
            </w:pPr>
          </w:p>
          <w:tbl>
            <w:tblPr>
              <w:tblStyle w:val="5"/>
              <w:tblW w:w="7968"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0"/>
              <w:gridCol w:w="818"/>
              <w:gridCol w:w="819"/>
              <w:gridCol w:w="1393"/>
              <w:gridCol w:w="1393"/>
              <w:gridCol w:w="1085"/>
              <w:gridCol w:w="1130"/>
            </w:tblGrid>
            <w:tr w14:paraId="389E1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7" w:hRule="atLeast"/>
              </w:trPr>
              <w:tc>
                <w:tcPr>
                  <w:tcW w:w="1330" w:type="dxa"/>
                  <w:vMerge w:val="restart"/>
                  <w:tcBorders>
                    <w:bottom w:val="nil"/>
                  </w:tcBorders>
                  <w:vAlign w:val="top"/>
                </w:tcPr>
                <w:p w14:paraId="127CA2FC">
                  <w:pPr>
                    <w:pStyle w:val="6"/>
                    <w:spacing w:before="267" w:line="222" w:lineRule="auto"/>
                    <w:ind w:left="117"/>
                    <w:rPr>
                      <w:sz w:val="22"/>
                      <w:szCs w:val="22"/>
                    </w:rPr>
                  </w:pPr>
                  <w:r>
                    <w:rPr>
                      <w:spacing w:val="-2"/>
                      <w:sz w:val="22"/>
                      <w:szCs w:val="22"/>
                    </w:rPr>
                    <w:t>监测点名称</w:t>
                  </w:r>
                </w:p>
              </w:tc>
              <w:tc>
                <w:tcPr>
                  <w:tcW w:w="1637" w:type="dxa"/>
                  <w:gridSpan w:val="2"/>
                  <w:vAlign w:val="top"/>
                </w:tcPr>
                <w:p w14:paraId="7D083EE8">
                  <w:pPr>
                    <w:pStyle w:val="6"/>
                    <w:spacing w:before="78" w:line="221" w:lineRule="auto"/>
                    <w:ind w:left="112"/>
                    <w:rPr>
                      <w:rFonts w:ascii="Times New Roman" w:hAnsi="Times New Roman" w:eastAsia="Times New Roman" w:cs="Times New Roman"/>
                      <w:sz w:val="22"/>
                      <w:szCs w:val="22"/>
                    </w:rPr>
                  </w:pPr>
                  <w:r>
                    <w:rPr>
                      <w:spacing w:val="-2"/>
                      <w:sz w:val="22"/>
                      <w:szCs w:val="22"/>
                    </w:rPr>
                    <w:t>监测点坐标</w:t>
                  </w:r>
                  <w:r>
                    <w:rPr>
                      <w:rFonts w:ascii="Times New Roman" w:hAnsi="Times New Roman" w:eastAsia="Times New Roman" w:cs="Times New Roman"/>
                      <w:spacing w:val="-2"/>
                      <w:sz w:val="22"/>
                      <w:szCs w:val="22"/>
                    </w:rPr>
                    <w:t>/m</w:t>
                  </w:r>
                </w:p>
              </w:tc>
              <w:tc>
                <w:tcPr>
                  <w:tcW w:w="1393" w:type="dxa"/>
                  <w:vMerge w:val="restart"/>
                  <w:tcBorders>
                    <w:bottom w:val="nil"/>
                  </w:tcBorders>
                  <w:vAlign w:val="top"/>
                </w:tcPr>
                <w:p w14:paraId="52E3D8F2">
                  <w:pPr>
                    <w:pStyle w:val="6"/>
                    <w:spacing w:before="268" w:line="221" w:lineRule="auto"/>
                    <w:ind w:left="114"/>
                    <w:rPr>
                      <w:sz w:val="22"/>
                      <w:szCs w:val="22"/>
                    </w:rPr>
                  </w:pPr>
                  <w:r>
                    <w:rPr>
                      <w:spacing w:val="-3"/>
                      <w:sz w:val="22"/>
                      <w:szCs w:val="22"/>
                    </w:rPr>
                    <w:t>监测因子</w:t>
                  </w:r>
                </w:p>
              </w:tc>
              <w:tc>
                <w:tcPr>
                  <w:tcW w:w="1393" w:type="dxa"/>
                  <w:vMerge w:val="restart"/>
                  <w:tcBorders>
                    <w:bottom w:val="nil"/>
                  </w:tcBorders>
                  <w:vAlign w:val="top"/>
                </w:tcPr>
                <w:p w14:paraId="73F00157">
                  <w:pPr>
                    <w:pStyle w:val="6"/>
                    <w:spacing w:before="267" w:line="222" w:lineRule="auto"/>
                    <w:ind w:left="115"/>
                    <w:rPr>
                      <w:sz w:val="22"/>
                      <w:szCs w:val="22"/>
                    </w:rPr>
                  </w:pPr>
                  <w:r>
                    <w:rPr>
                      <w:spacing w:val="-3"/>
                      <w:sz w:val="22"/>
                      <w:szCs w:val="22"/>
                    </w:rPr>
                    <w:t>监测时段</w:t>
                  </w:r>
                </w:p>
              </w:tc>
              <w:tc>
                <w:tcPr>
                  <w:tcW w:w="1085" w:type="dxa"/>
                  <w:vMerge w:val="restart"/>
                  <w:tcBorders>
                    <w:bottom w:val="nil"/>
                  </w:tcBorders>
                  <w:vAlign w:val="top"/>
                </w:tcPr>
                <w:p w14:paraId="5BCDE3A4">
                  <w:pPr>
                    <w:pStyle w:val="6"/>
                    <w:spacing w:before="125" w:line="242" w:lineRule="auto"/>
                    <w:ind w:left="116" w:right="100"/>
                    <w:rPr>
                      <w:sz w:val="22"/>
                      <w:szCs w:val="22"/>
                    </w:rPr>
                  </w:pPr>
                  <w:r>
                    <w:rPr>
                      <w:spacing w:val="-6"/>
                      <w:sz w:val="22"/>
                      <w:szCs w:val="22"/>
                    </w:rPr>
                    <w:t>相 对</w:t>
                  </w:r>
                  <w:r>
                    <w:rPr>
                      <w:spacing w:val="6"/>
                      <w:sz w:val="22"/>
                      <w:szCs w:val="22"/>
                    </w:rPr>
                    <w:t xml:space="preserve"> </w:t>
                  </w:r>
                  <w:r>
                    <w:rPr>
                      <w:spacing w:val="-6"/>
                      <w:sz w:val="22"/>
                      <w:szCs w:val="22"/>
                    </w:rPr>
                    <w:t>厂</w:t>
                  </w:r>
                  <w:r>
                    <w:rPr>
                      <w:spacing w:val="-3"/>
                      <w:sz w:val="22"/>
                      <w:szCs w:val="22"/>
                    </w:rPr>
                    <w:t>址方位</w:t>
                  </w:r>
                </w:p>
              </w:tc>
              <w:tc>
                <w:tcPr>
                  <w:tcW w:w="1130" w:type="dxa"/>
                  <w:vMerge w:val="restart"/>
                  <w:tcBorders>
                    <w:bottom w:val="nil"/>
                  </w:tcBorders>
                  <w:vAlign w:val="top"/>
                </w:tcPr>
                <w:p w14:paraId="4D86F444">
                  <w:pPr>
                    <w:pStyle w:val="6"/>
                    <w:spacing w:before="124" w:line="242" w:lineRule="auto"/>
                    <w:ind w:left="115" w:right="107"/>
                    <w:rPr>
                      <w:rFonts w:ascii="Times New Roman" w:hAnsi="Times New Roman" w:eastAsia="Times New Roman" w:cs="Times New Roman"/>
                      <w:sz w:val="22"/>
                      <w:szCs w:val="22"/>
                    </w:rPr>
                  </w:pPr>
                  <w:r>
                    <w:rPr>
                      <w:spacing w:val="5"/>
                      <w:sz w:val="22"/>
                      <w:szCs w:val="22"/>
                    </w:rPr>
                    <w:t>相对厂界</w:t>
                  </w:r>
                  <w:r>
                    <w:rPr>
                      <w:spacing w:val="-2"/>
                      <w:sz w:val="22"/>
                      <w:szCs w:val="22"/>
                    </w:rPr>
                    <w:t>距离</w:t>
                  </w:r>
                  <w:r>
                    <w:rPr>
                      <w:rFonts w:ascii="Times New Roman" w:hAnsi="Times New Roman" w:eastAsia="Times New Roman" w:cs="Times New Roman"/>
                      <w:spacing w:val="-2"/>
                      <w:sz w:val="22"/>
                      <w:szCs w:val="22"/>
                    </w:rPr>
                    <w:t>/m</w:t>
                  </w:r>
                </w:p>
              </w:tc>
            </w:tr>
            <w:tr w14:paraId="30BDA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330" w:type="dxa"/>
                  <w:vMerge w:val="continue"/>
                  <w:tcBorders>
                    <w:top w:val="nil"/>
                  </w:tcBorders>
                  <w:vAlign w:val="top"/>
                </w:tcPr>
                <w:p w14:paraId="652935A1">
                  <w:pPr>
                    <w:rPr>
                      <w:rFonts w:ascii="Arial"/>
                      <w:sz w:val="21"/>
                    </w:rPr>
                  </w:pPr>
                </w:p>
              </w:tc>
              <w:tc>
                <w:tcPr>
                  <w:tcW w:w="818" w:type="dxa"/>
                  <w:vAlign w:val="top"/>
                </w:tcPr>
                <w:p w14:paraId="54D757DF">
                  <w:pPr>
                    <w:spacing w:before="117" w:line="186" w:lineRule="auto"/>
                    <w:ind w:left="104"/>
                    <w:rPr>
                      <w:rFonts w:ascii="Times New Roman" w:hAnsi="Times New Roman" w:eastAsia="Times New Roman" w:cs="Times New Roman"/>
                      <w:sz w:val="22"/>
                      <w:szCs w:val="22"/>
                    </w:rPr>
                  </w:pPr>
                  <w:r>
                    <w:rPr>
                      <w:rFonts w:ascii="Times New Roman" w:hAnsi="Times New Roman" w:eastAsia="Times New Roman" w:cs="Times New Roman"/>
                      <w:sz w:val="22"/>
                      <w:szCs w:val="22"/>
                    </w:rPr>
                    <w:t>X</w:t>
                  </w:r>
                </w:p>
              </w:tc>
              <w:tc>
                <w:tcPr>
                  <w:tcW w:w="819" w:type="dxa"/>
                  <w:vAlign w:val="top"/>
                </w:tcPr>
                <w:p w14:paraId="3D872F16">
                  <w:pPr>
                    <w:spacing w:before="117" w:line="186" w:lineRule="auto"/>
                    <w:ind w:left="107"/>
                    <w:rPr>
                      <w:rFonts w:ascii="Times New Roman" w:hAnsi="Times New Roman" w:eastAsia="Times New Roman" w:cs="Times New Roman"/>
                      <w:sz w:val="22"/>
                      <w:szCs w:val="22"/>
                    </w:rPr>
                  </w:pPr>
                  <w:r>
                    <w:rPr>
                      <w:rFonts w:ascii="Times New Roman" w:hAnsi="Times New Roman" w:eastAsia="Times New Roman" w:cs="Times New Roman"/>
                      <w:sz w:val="22"/>
                      <w:szCs w:val="22"/>
                    </w:rPr>
                    <w:t>Y</w:t>
                  </w:r>
                </w:p>
              </w:tc>
              <w:tc>
                <w:tcPr>
                  <w:tcW w:w="1393" w:type="dxa"/>
                  <w:vMerge w:val="continue"/>
                  <w:tcBorders>
                    <w:top w:val="nil"/>
                  </w:tcBorders>
                  <w:vAlign w:val="top"/>
                </w:tcPr>
                <w:p w14:paraId="3683E2A6">
                  <w:pPr>
                    <w:rPr>
                      <w:rFonts w:ascii="Arial"/>
                      <w:sz w:val="21"/>
                    </w:rPr>
                  </w:pPr>
                </w:p>
              </w:tc>
              <w:tc>
                <w:tcPr>
                  <w:tcW w:w="1393" w:type="dxa"/>
                  <w:vMerge w:val="continue"/>
                  <w:tcBorders>
                    <w:top w:val="nil"/>
                  </w:tcBorders>
                  <w:vAlign w:val="top"/>
                </w:tcPr>
                <w:p w14:paraId="4381295E">
                  <w:pPr>
                    <w:rPr>
                      <w:rFonts w:ascii="Arial"/>
                      <w:sz w:val="21"/>
                    </w:rPr>
                  </w:pPr>
                </w:p>
              </w:tc>
              <w:tc>
                <w:tcPr>
                  <w:tcW w:w="1085" w:type="dxa"/>
                  <w:vMerge w:val="continue"/>
                  <w:tcBorders>
                    <w:top w:val="nil"/>
                  </w:tcBorders>
                  <w:vAlign w:val="top"/>
                </w:tcPr>
                <w:p w14:paraId="0C4CF367">
                  <w:pPr>
                    <w:rPr>
                      <w:rFonts w:ascii="Arial"/>
                      <w:sz w:val="21"/>
                    </w:rPr>
                  </w:pPr>
                </w:p>
              </w:tc>
              <w:tc>
                <w:tcPr>
                  <w:tcW w:w="1130" w:type="dxa"/>
                  <w:vMerge w:val="continue"/>
                  <w:tcBorders>
                    <w:top w:val="nil"/>
                  </w:tcBorders>
                  <w:vAlign w:val="top"/>
                </w:tcPr>
                <w:p w14:paraId="7A38A05F">
                  <w:pPr>
                    <w:rPr>
                      <w:rFonts w:ascii="Arial"/>
                      <w:sz w:val="21"/>
                    </w:rPr>
                  </w:pPr>
                </w:p>
              </w:tc>
            </w:tr>
            <w:tr w14:paraId="6AD69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330" w:type="dxa"/>
                  <w:vAlign w:val="top"/>
                </w:tcPr>
                <w:p w14:paraId="7E5374C8">
                  <w:pPr>
                    <w:pStyle w:val="6"/>
                    <w:spacing w:before="178" w:line="222" w:lineRule="auto"/>
                    <w:ind w:left="117"/>
                    <w:rPr>
                      <w:sz w:val="22"/>
                      <w:szCs w:val="22"/>
                    </w:rPr>
                  </w:pPr>
                  <w:r>
                    <w:rPr>
                      <w:spacing w:val="-2"/>
                      <w:sz w:val="22"/>
                      <w:szCs w:val="22"/>
                    </w:rPr>
                    <w:t>和平小学处</w:t>
                  </w:r>
                </w:p>
              </w:tc>
              <w:tc>
                <w:tcPr>
                  <w:tcW w:w="818" w:type="dxa"/>
                  <w:vAlign w:val="top"/>
                </w:tcPr>
                <w:p w14:paraId="0229EFE1">
                  <w:pPr>
                    <w:spacing w:before="214" w:line="189" w:lineRule="auto"/>
                    <w:ind w:left="11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-800</w:t>
                  </w:r>
                </w:p>
              </w:tc>
              <w:tc>
                <w:tcPr>
                  <w:tcW w:w="819" w:type="dxa"/>
                  <w:vAlign w:val="top"/>
                </w:tcPr>
                <w:p w14:paraId="6432DD9A">
                  <w:pPr>
                    <w:spacing w:before="214" w:line="189" w:lineRule="auto"/>
                    <w:ind w:left="11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-3300</w:t>
                  </w:r>
                </w:p>
              </w:tc>
              <w:tc>
                <w:tcPr>
                  <w:tcW w:w="1393" w:type="dxa"/>
                  <w:vAlign w:val="top"/>
                </w:tcPr>
                <w:p w14:paraId="7A75BF62">
                  <w:pPr>
                    <w:pStyle w:val="6"/>
                    <w:spacing w:before="178" w:line="221" w:lineRule="auto"/>
                    <w:ind w:left="117"/>
                    <w:rPr>
                      <w:sz w:val="22"/>
                      <w:szCs w:val="22"/>
                    </w:rPr>
                  </w:pPr>
                  <w:r>
                    <w:rPr>
                      <w:spacing w:val="-3"/>
                      <w:sz w:val="22"/>
                      <w:szCs w:val="22"/>
                    </w:rPr>
                    <w:t>非甲烷总烃</w:t>
                  </w:r>
                </w:p>
              </w:tc>
              <w:tc>
                <w:tcPr>
                  <w:tcW w:w="1393" w:type="dxa"/>
                  <w:vAlign w:val="top"/>
                </w:tcPr>
                <w:p w14:paraId="3A13073B">
                  <w:pPr>
                    <w:pStyle w:val="6"/>
                    <w:spacing w:before="35" w:line="220" w:lineRule="auto"/>
                    <w:ind w:left="111"/>
                    <w:rPr>
                      <w:sz w:val="22"/>
                      <w:szCs w:val="22"/>
                    </w:rPr>
                  </w:pPr>
                  <w:r>
                    <w:rPr>
                      <w:rFonts w:ascii="Times New Roman" w:hAnsi="Times New Roman" w:eastAsia="Times New Roman" w:cs="Times New Roman"/>
                      <w:spacing w:val="-3"/>
                      <w:sz w:val="22"/>
                      <w:szCs w:val="22"/>
                    </w:rPr>
                    <w:t>2023</w:t>
                  </w:r>
                  <w:r>
                    <w:rPr>
                      <w:rFonts w:ascii="Times New Roman" w:hAnsi="Times New Roman" w:eastAsia="Times New Roman" w:cs="Times New Roman"/>
                      <w:spacing w:val="12"/>
                      <w:sz w:val="22"/>
                      <w:szCs w:val="22"/>
                    </w:rPr>
                    <w:t xml:space="preserve"> </w:t>
                  </w:r>
                  <w:r>
                    <w:rPr>
                      <w:spacing w:val="-3"/>
                      <w:sz w:val="22"/>
                      <w:szCs w:val="22"/>
                    </w:rPr>
                    <w:t>年</w:t>
                  </w:r>
                  <w:r>
                    <w:rPr>
                      <w:spacing w:val="-51"/>
                      <w:sz w:val="22"/>
                      <w:szCs w:val="22"/>
                    </w:rPr>
                    <w:t xml:space="preserve"> </w:t>
                  </w:r>
                  <w:r>
                    <w:rPr>
                      <w:rFonts w:ascii="Times New Roman" w:hAnsi="Times New Roman" w:eastAsia="Times New Roman" w:cs="Times New Roman"/>
                      <w:spacing w:val="-3"/>
                      <w:sz w:val="22"/>
                      <w:szCs w:val="22"/>
                    </w:rPr>
                    <w:t>4</w:t>
                  </w:r>
                  <w:r>
                    <w:rPr>
                      <w:rFonts w:ascii="Times New Roman" w:hAnsi="Times New Roman" w:eastAsia="Times New Roman" w:cs="Times New Roman"/>
                      <w:spacing w:val="11"/>
                      <w:sz w:val="22"/>
                      <w:szCs w:val="22"/>
                    </w:rPr>
                    <w:t xml:space="preserve"> </w:t>
                  </w:r>
                  <w:r>
                    <w:rPr>
                      <w:spacing w:val="-3"/>
                      <w:sz w:val="22"/>
                      <w:szCs w:val="22"/>
                    </w:rPr>
                    <w:t>月</w:t>
                  </w:r>
                </w:p>
                <w:p w14:paraId="33EBB354">
                  <w:pPr>
                    <w:pStyle w:val="6"/>
                    <w:spacing w:before="23" w:line="208" w:lineRule="auto"/>
                    <w:ind w:left="111"/>
                    <w:rPr>
                      <w:sz w:val="22"/>
                      <w:szCs w:val="22"/>
                    </w:rPr>
                  </w:pPr>
                  <w:r>
                    <w:rPr>
                      <w:rFonts w:ascii="Times New Roman" w:hAnsi="Times New Roman" w:eastAsia="Times New Roman" w:cs="Times New Roman"/>
                      <w:spacing w:val="-1"/>
                      <w:sz w:val="22"/>
                      <w:szCs w:val="22"/>
                    </w:rPr>
                    <w:t>24~30</w:t>
                  </w:r>
                  <w:r>
                    <w:rPr>
                      <w:rFonts w:ascii="Times New Roman" w:hAnsi="Times New Roman" w:eastAsia="Times New Roman" w:cs="Times New Roman"/>
                      <w:spacing w:val="47"/>
                      <w:sz w:val="22"/>
                      <w:szCs w:val="22"/>
                    </w:rPr>
                    <w:t xml:space="preserve"> </w:t>
                  </w:r>
                  <w:r>
                    <w:rPr>
                      <w:spacing w:val="-1"/>
                      <w:sz w:val="22"/>
                      <w:szCs w:val="22"/>
                    </w:rPr>
                    <w:t>日</w:t>
                  </w:r>
                </w:p>
              </w:tc>
              <w:tc>
                <w:tcPr>
                  <w:tcW w:w="1085" w:type="dxa"/>
                  <w:vAlign w:val="top"/>
                </w:tcPr>
                <w:p w14:paraId="60DC5D2D">
                  <w:pPr>
                    <w:pStyle w:val="6"/>
                    <w:spacing w:before="179" w:line="220" w:lineRule="auto"/>
                    <w:ind w:left="121"/>
                    <w:rPr>
                      <w:sz w:val="22"/>
                      <w:szCs w:val="22"/>
                    </w:rPr>
                  </w:pPr>
                  <w:r>
                    <w:rPr>
                      <w:spacing w:val="-5"/>
                      <w:sz w:val="22"/>
                      <w:szCs w:val="22"/>
                    </w:rPr>
                    <w:t>西南侧</w:t>
                  </w:r>
                </w:p>
              </w:tc>
              <w:tc>
                <w:tcPr>
                  <w:tcW w:w="1130" w:type="dxa"/>
                  <w:vAlign w:val="top"/>
                </w:tcPr>
                <w:p w14:paraId="41C71B0F">
                  <w:pPr>
                    <w:spacing w:before="214" w:line="189" w:lineRule="auto"/>
                    <w:ind w:left="11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3300</w:t>
                  </w:r>
                </w:p>
              </w:tc>
            </w:tr>
          </w:tbl>
          <w:p w14:paraId="73F8A9DD">
            <w:pPr>
              <w:spacing w:line="260" w:lineRule="auto"/>
              <w:rPr>
                <w:rFonts w:ascii="Arial"/>
                <w:sz w:val="21"/>
              </w:rPr>
            </w:pPr>
          </w:p>
          <w:p w14:paraId="51498AFD">
            <w:pPr>
              <w:spacing w:line="260" w:lineRule="auto"/>
              <w:rPr>
                <w:rFonts w:ascii="Arial"/>
                <w:sz w:val="21"/>
              </w:rPr>
            </w:pPr>
          </w:p>
          <w:p w14:paraId="5AC90F6C">
            <w:pPr>
              <w:pStyle w:val="6"/>
              <w:spacing w:before="81" w:line="225" w:lineRule="auto"/>
              <w:ind w:left="639"/>
            </w:pPr>
            <w:r>
              <w:rPr>
                <w:spacing w:val="7"/>
              </w:rPr>
              <w:t>（</w:t>
            </w:r>
            <w:r>
              <w:rPr>
                <w:rFonts w:ascii="Times New Roman" w:hAnsi="Times New Roman" w:eastAsia="Times New Roman" w:cs="Times New Roman"/>
                <w:spacing w:val="7"/>
              </w:rPr>
              <w:t>2</w:t>
            </w:r>
            <w:r>
              <w:rPr>
                <w:spacing w:val="7"/>
              </w:rPr>
              <w:t>）评价标准与方法</w:t>
            </w:r>
          </w:p>
          <w:p w14:paraId="408BD7B3">
            <w:pPr>
              <w:pStyle w:val="6"/>
              <w:spacing w:before="155" w:line="340" w:lineRule="auto"/>
              <w:ind w:left="128" w:right="103" w:firstLine="504"/>
            </w:pPr>
            <w:r>
              <w:rPr>
                <w:spacing w:val="11"/>
              </w:rPr>
              <w:t>非甲烷总烃参照执行河北省地方标准《环境空气质量</w:t>
            </w:r>
            <w:r>
              <w:rPr>
                <w:spacing w:val="10"/>
              </w:rPr>
              <w:t xml:space="preserve"> 非甲烷总烃</w:t>
            </w:r>
            <w:r>
              <w:rPr>
                <w:spacing w:val="6"/>
              </w:rPr>
              <w:t>限值》（</w:t>
            </w:r>
            <w:r>
              <w:rPr>
                <w:rFonts w:ascii="Times New Roman" w:hAnsi="Times New Roman" w:eastAsia="Times New Roman" w:cs="Times New Roman"/>
              </w:rPr>
              <w:t>DB</w:t>
            </w:r>
            <w:r>
              <w:rPr>
                <w:rFonts w:ascii="Times New Roman" w:hAnsi="Times New Roman" w:eastAsia="Times New Roman" w:cs="Times New Roman"/>
                <w:spacing w:val="6"/>
              </w:rPr>
              <w:t>13/1577-2012</w:t>
            </w:r>
            <w:r>
              <w:rPr>
                <w:spacing w:val="6"/>
              </w:rPr>
              <w:t>）二级标准限值。</w:t>
            </w:r>
          </w:p>
          <w:p w14:paraId="0334362D">
            <w:pPr>
              <w:pStyle w:val="6"/>
              <w:spacing w:before="3" w:line="339" w:lineRule="auto"/>
              <w:ind w:left="109" w:right="103" w:firstLine="519"/>
              <w:jc w:val="both"/>
            </w:pPr>
            <w:r>
              <w:rPr>
                <w:spacing w:val="16"/>
              </w:rPr>
              <w:t>环境空气质量现状评价方法采用导则推荐的最大浓</w:t>
            </w:r>
            <w:r>
              <w:rPr>
                <w:spacing w:val="15"/>
              </w:rPr>
              <w:t>度占标率进行</w:t>
            </w:r>
            <w:r>
              <w:rPr>
                <w:spacing w:val="7"/>
              </w:rPr>
              <w:t>评价。当取值时间最大浓度值占相应标准浓度限值的百分比</w:t>
            </w:r>
            <w:r>
              <w:rPr>
                <w:spacing w:val="6"/>
              </w:rPr>
              <w:t>大于或等于</w:t>
            </w:r>
            <w:r>
              <w:rPr>
                <w:rFonts w:ascii="Times New Roman" w:hAnsi="Times New Roman" w:eastAsia="Times New Roman" w:cs="Times New Roman"/>
                <w:spacing w:val="7"/>
              </w:rPr>
              <w:t>100</w:t>
            </w:r>
            <w:r>
              <w:rPr>
                <w:spacing w:val="7"/>
              </w:rPr>
              <w:t>％时，表明环境空气质量超标。</w:t>
            </w:r>
          </w:p>
          <w:p w14:paraId="64BF7F8B">
            <w:pPr>
              <w:pStyle w:val="6"/>
              <w:spacing w:line="224" w:lineRule="auto"/>
              <w:ind w:left="627"/>
            </w:pPr>
            <w:r>
              <w:rPr>
                <w:spacing w:val="7"/>
              </w:rPr>
              <w:t>评价公式如下：</w:t>
            </w:r>
          </w:p>
          <w:p w14:paraId="010016BC">
            <w:pPr>
              <w:spacing w:before="111" w:line="348" w:lineRule="exact"/>
              <w:ind w:left="3387"/>
              <w:rPr>
                <w:rFonts w:ascii="Times New Roman" w:hAnsi="Times New Roman" w:eastAsia="Times New Roman" w:cs="Times New Roman"/>
                <w:sz w:val="25"/>
                <w:szCs w:val="25"/>
              </w:rPr>
            </w:pPr>
            <w:r>
              <w:rPr>
                <w:rFonts w:ascii="Times New Roman" w:hAnsi="Times New Roman" w:eastAsia="Times New Roman" w:cs="Times New Roman"/>
                <w:position w:val="4"/>
                <w:sz w:val="25"/>
                <w:szCs w:val="25"/>
              </w:rPr>
              <w:t>P</w:t>
            </w:r>
            <w:r>
              <w:rPr>
                <w:rFonts w:ascii="Times New Roman" w:hAnsi="Times New Roman" w:eastAsia="Times New Roman" w:cs="Times New Roman"/>
                <w:i/>
                <w:iCs/>
                <w:position w:val="4"/>
                <w:sz w:val="25"/>
                <w:szCs w:val="25"/>
              </w:rPr>
              <w:t>ij</w:t>
            </w:r>
            <w:r>
              <w:rPr>
                <w:rFonts w:ascii="Times New Roman" w:hAnsi="Times New Roman" w:eastAsia="Times New Roman" w:cs="Times New Roman"/>
                <w:spacing w:val="9"/>
                <w:position w:val="4"/>
                <w:sz w:val="25"/>
                <w:szCs w:val="25"/>
              </w:rPr>
              <w:t>=</w:t>
            </w:r>
            <w:r>
              <w:rPr>
                <w:rFonts w:ascii="Times New Roman" w:hAnsi="Times New Roman" w:eastAsia="Times New Roman" w:cs="Times New Roman"/>
                <w:position w:val="4"/>
                <w:sz w:val="25"/>
                <w:szCs w:val="25"/>
              </w:rPr>
              <w:t>C</w:t>
            </w:r>
            <w:r>
              <w:rPr>
                <w:rFonts w:ascii="Times New Roman" w:hAnsi="Times New Roman" w:eastAsia="Times New Roman" w:cs="Times New Roman"/>
                <w:i/>
                <w:iCs/>
                <w:position w:val="4"/>
                <w:sz w:val="25"/>
                <w:szCs w:val="25"/>
              </w:rPr>
              <w:t>ij</w:t>
            </w:r>
            <w:r>
              <w:rPr>
                <w:rFonts w:ascii="Times New Roman" w:hAnsi="Times New Roman" w:eastAsia="Times New Roman" w:cs="Times New Roman"/>
                <w:spacing w:val="9"/>
                <w:position w:val="4"/>
                <w:sz w:val="25"/>
                <w:szCs w:val="25"/>
              </w:rPr>
              <w:t>/</w:t>
            </w:r>
            <w:r>
              <w:rPr>
                <w:rFonts w:ascii="Times New Roman" w:hAnsi="Times New Roman" w:eastAsia="Times New Roman" w:cs="Times New Roman"/>
                <w:position w:val="4"/>
                <w:sz w:val="25"/>
                <w:szCs w:val="25"/>
              </w:rPr>
              <w:t>C</w:t>
            </w:r>
            <w:r>
              <w:rPr>
                <w:rFonts w:ascii="Times New Roman" w:hAnsi="Times New Roman" w:eastAsia="Times New Roman" w:cs="Times New Roman"/>
                <w:i/>
                <w:iCs/>
                <w:position w:val="4"/>
                <w:sz w:val="25"/>
                <w:szCs w:val="25"/>
              </w:rPr>
              <w:t>sj</w:t>
            </w:r>
            <w:r>
              <w:rPr>
                <w:rFonts w:ascii="Times New Roman" w:hAnsi="Times New Roman" w:eastAsia="Times New Roman" w:cs="Times New Roman"/>
                <w:spacing w:val="9"/>
                <w:position w:val="4"/>
                <w:sz w:val="25"/>
                <w:szCs w:val="25"/>
              </w:rPr>
              <w:t>×100%</w:t>
            </w:r>
          </w:p>
          <w:p w14:paraId="723F68F0">
            <w:pPr>
              <w:pStyle w:val="6"/>
              <w:spacing w:before="156" w:line="291" w:lineRule="auto"/>
              <w:ind w:left="110" w:right="103" w:firstLine="523"/>
            </w:pPr>
            <w:r>
              <w:rPr>
                <w:spacing w:val="10"/>
              </w:rPr>
              <w:t>式中：</w:t>
            </w:r>
            <w:r>
              <w:rPr>
                <w:rFonts w:ascii="Times New Roman" w:hAnsi="Times New Roman" w:eastAsia="Times New Roman" w:cs="Times New Roman"/>
              </w:rPr>
              <w:t>Pij</w:t>
            </w:r>
            <w:r>
              <w:rPr>
                <w:spacing w:val="10"/>
              </w:rPr>
              <w:t>——第</w:t>
            </w:r>
            <w:r>
              <w:rPr>
                <w:spacing w:val="-53"/>
              </w:rPr>
              <w:t xml:space="preserve"> </w:t>
            </w:r>
            <w:r>
              <w:rPr>
                <w:rFonts w:ascii="Times New Roman" w:hAnsi="Times New Roman" w:eastAsia="Times New Roman" w:cs="Times New Roman"/>
                <w:spacing w:val="10"/>
              </w:rPr>
              <w:t xml:space="preserve">i </w:t>
            </w:r>
            <w:r>
              <w:rPr>
                <w:spacing w:val="10"/>
              </w:rPr>
              <w:t>现状监测点第污染因子</w:t>
            </w:r>
            <w:r>
              <w:rPr>
                <w:rFonts w:ascii="Times New Roman" w:hAnsi="Times New Roman" w:eastAsia="Times New Roman" w:cs="Times New Roman"/>
                <w:spacing w:val="10"/>
              </w:rPr>
              <w:t>j</w:t>
            </w:r>
            <w:r>
              <w:rPr>
                <w:rFonts w:ascii="Times New Roman" w:hAnsi="Times New Roman" w:eastAsia="Times New Roman" w:cs="Times New Roman"/>
                <w:spacing w:val="36"/>
                <w:w w:val="101"/>
              </w:rPr>
              <w:t xml:space="preserve"> </w:t>
            </w:r>
            <w:r>
              <w:rPr>
                <w:spacing w:val="10"/>
              </w:rPr>
              <w:t>的最大浓度占标</w:t>
            </w:r>
            <w:r>
              <w:rPr>
                <w:spacing w:val="9"/>
              </w:rPr>
              <w:t>率，其</w:t>
            </w:r>
            <w:r>
              <w:rPr>
                <w:spacing w:val="6"/>
              </w:rPr>
              <w:t xml:space="preserve">值在 </w:t>
            </w:r>
            <w:r>
              <w:rPr>
                <w:rFonts w:ascii="Times New Roman" w:hAnsi="Times New Roman" w:eastAsia="Times New Roman" w:cs="Times New Roman"/>
                <w:spacing w:val="6"/>
              </w:rPr>
              <w:t>0</w:t>
            </w:r>
            <w:r>
              <w:rPr>
                <w:spacing w:val="6"/>
              </w:rPr>
              <w:t>～</w:t>
            </w:r>
            <w:r>
              <w:rPr>
                <w:rFonts w:ascii="Times New Roman" w:hAnsi="Times New Roman" w:eastAsia="Times New Roman" w:cs="Times New Roman"/>
                <w:spacing w:val="6"/>
              </w:rPr>
              <w:t>100%</w:t>
            </w:r>
            <w:r>
              <w:rPr>
                <w:spacing w:val="6"/>
              </w:rPr>
              <w:t>之间为满足标准，大于</w:t>
            </w:r>
            <w:r>
              <w:rPr>
                <w:spacing w:val="-15"/>
              </w:rPr>
              <w:t xml:space="preserve"> </w:t>
            </w:r>
            <w:r>
              <w:rPr>
                <w:rFonts w:ascii="Times New Roman" w:hAnsi="Times New Roman" w:eastAsia="Times New Roman" w:cs="Times New Roman"/>
                <w:spacing w:val="6"/>
              </w:rPr>
              <w:t>100%</w:t>
            </w:r>
            <w:r>
              <w:rPr>
                <w:spacing w:val="6"/>
              </w:rPr>
              <w:t>则为超标；</w:t>
            </w:r>
          </w:p>
        </w:tc>
      </w:tr>
    </w:tbl>
    <w:p w14:paraId="58E51F6E">
      <w:pPr>
        <w:pStyle w:val="2"/>
        <w:rPr>
          <w:sz w:val="21"/>
        </w:rPr>
      </w:pPr>
    </w:p>
    <w:p w14:paraId="331B29C1">
      <w:pPr>
        <w:rPr>
          <w:sz w:val="21"/>
          <w:szCs w:val="21"/>
        </w:rPr>
        <w:sectPr>
          <w:footerReference r:id="rId56" w:type="default"/>
          <w:pgSz w:w="11907" w:h="16840"/>
          <w:pgMar w:top="400" w:right="1449" w:bottom="1008" w:left="1448" w:header="0" w:footer="770" w:gutter="0"/>
          <w:cols w:space="720" w:num="1"/>
        </w:sectPr>
      </w:pPr>
    </w:p>
    <w:p w14:paraId="5DACB92A">
      <w:pPr>
        <w:spacing w:before="19"/>
      </w:pPr>
    </w:p>
    <w:p w14:paraId="70464B32">
      <w:pPr>
        <w:spacing w:before="19"/>
      </w:pPr>
    </w:p>
    <w:p w14:paraId="6C5337C4">
      <w:pPr>
        <w:spacing w:before="19"/>
      </w:pPr>
    </w:p>
    <w:p w14:paraId="26AC5B34">
      <w:pPr>
        <w:spacing w:before="18"/>
      </w:pPr>
    </w:p>
    <w:p w14:paraId="5BA95E38">
      <w:pPr>
        <w:spacing w:before="18"/>
      </w:pPr>
    </w:p>
    <w:tbl>
      <w:tblPr>
        <w:tblStyle w:val="5"/>
        <w:tblW w:w="900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97"/>
      </w:tblGrid>
      <w:tr w14:paraId="49E20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9" w:hRule="atLeast"/>
        </w:trPr>
        <w:tc>
          <w:tcPr>
            <w:tcW w:w="808" w:type="dxa"/>
            <w:tcBorders>
              <w:right w:val="single" w:color="000000" w:sz="2" w:space="0"/>
            </w:tcBorders>
            <w:vAlign w:val="top"/>
          </w:tcPr>
          <w:p w14:paraId="11C8D890">
            <w:pPr>
              <w:rPr>
                <w:rFonts w:ascii="Arial"/>
                <w:sz w:val="21"/>
              </w:rPr>
            </w:pPr>
          </w:p>
        </w:tc>
        <w:tc>
          <w:tcPr>
            <w:tcW w:w="8197" w:type="dxa"/>
            <w:tcBorders>
              <w:left w:val="single" w:color="000000" w:sz="2" w:space="0"/>
            </w:tcBorders>
            <w:vAlign w:val="top"/>
          </w:tcPr>
          <w:p w14:paraId="48A4F4DC">
            <w:pPr>
              <w:pStyle w:val="6"/>
              <w:spacing w:before="149" w:line="323" w:lineRule="auto"/>
              <w:ind w:left="627" w:right="760"/>
            </w:pPr>
            <w:r>
              <w:rPr>
                <w:rFonts w:ascii="Times New Roman" w:hAnsi="Times New Roman" w:eastAsia="Times New Roman" w:cs="Times New Roman"/>
              </w:rPr>
              <w:t>Cij</w:t>
            </w:r>
            <w:r>
              <w:rPr>
                <w:spacing w:val="9"/>
              </w:rPr>
              <w:t>——第</w:t>
            </w:r>
            <w:r>
              <w:rPr>
                <w:spacing w:val="-50"/>
              </w:rPr>
              <w:t xml:space="preserve"> </w:t>
            </w:r>
            <w:r>
              <w:rPr>
                <w:rFonts w:ascii="Times New Roman" w:hAnsi="Times New Roman" w:eastAsia="Times New Roman" w:cs="Times New Roman"/>
                <w:spacing w:val="9"/>
              </w:rPr>
              <w:t xml:space="preserve">i </w:t>
            </w:r>
            <w:r>
              <w:rPr>
                <w:spacing w:val="9"/>
              </w:rPr>
              <w:t>现状监测点第污染因子</w:t>
            </w:r>
            <w:r>
              <w:rPr>
                <w:rFonts w:ascii="Times New Roman" w:hAnsi="Times New Roman" w:eastAsia="Times New Roman" w:cs="Times New Roman"/>
                <w:spacing w:val="9"/>
              </w:rPr>
              <w:t>j</w:t>
            </w:r>
            <w:r>
              <w:rPr>
                <w:rFonts w:ascii="Times New Roman" w:hAnsi="Times New Roman" w:eastAsia="Times New Roman" w:cs="Times New Roman"/>
                <w:spacing w:val="34"/>
              </w:rPr>
              <w:t xml:space="preserve"> </w:t>
            </w:r>
            <w:r>
              <w:rPr>
                <w:spacing w:val="9"/>
              </w:rPr>
              <w:t>的实测浓度（</w:t>
            </w:r>
            <w:r>
              <w:rPr>
                <w:rFonts w:ascii="Times New Roman" w:hAnsi="Times New Roman" w:eastAsia="Times New Roman" w:cs="Times New Roman"/>
              </w:rPr>
              <w:t>mg</w:t>
            </w:r>
            <w:r>
              <w:rPr>
                <w:rFonts w:ascii="Times New Roman" w:hAnsi="Times New Roman" w:eastAsia="Times New Roman" w:cs="Times New Roman"/>
                <w:spacing w:val="9"/>
              </w:rPr>
              <w:t>/m</w:t>
            </w:r>
            <w:r>
              <w:rPr>
                <w:rFonts w:ascii="Times New Roman" w:hAnsi="Times New Roman" w:eastAsia="Times New Roman" w:cs="Times New Roman"/>
                <w:spacing w:val="9"/>
                <w:position w:val="1"/>
                <w:sz w:val="16"/>
                <w:szCs w:val="16"/>
              </w:rPr>
              <w:t xml:space="preserve">3 </w:t>
            </w:r>
            <w:r>
              <w:rPr>
                <w:spacing w:val="-34"/>
                <w:position w:val="1"/>
              </w:rPr>
              <w:t>）</w:t>
            </w:r>
            <w:r>
              <w:rPr>
                <w:spacing w:val="-34"/>
              </w:rPr>
              <w:t>；</w:t>
            </w:r>
            <w:r>
              <w:t xml:space="preserve"> </w:t>
            </w:r>
            <w:r>
              <w:rPr>
                <w:rFonts w:ascii="Times New Roman" w:hAnsi="Times New Roman" w:eastAsia="Times New Roman" w:cs="Times New Roman"/>
              </w:rPr>
              <w:t>Csj</w:t>
            </w:r>
            <w:r>
              <w:rPr>
                <w:spacing w:val="10"/>
              </w:rPr>
              <w:t>——污染因子</w:t>
            </w:r>
            <w:r>
              <w:rPr>
                <w:rFonts w:ascii="Times New Roman" w:hAnsi="Times New Roman" w:eastAsia="Times New Roman" w:cs="Times New Roman"/>
                <w:spacing w:val="10"/>
              </w:rPr>
              <w:t>j</w:t>
            </w:r>
            <w:r>
              <w:rPr>
                <w:rFonts w:ascii="Times New Roman" w:hAnsi="Times New Roman" w:eastAsia="Times New Roman" w:cs="Times New Roman"/>
                <w:spacing w:val="40"/>
              </w:rPr>
              <w:t xml:space="preserve"> </w:t>
            </w:r>
            <w:r>
              <w:rPr>
                <w:spacing w:val="10"/>
              </w:rPr>
              <w:t>的环境质量标准（</w:t>
            </w:r>
            <w:r>
              <w:rPr>
                <w:rFonts w:ascii="Times New Roman" w:hAnsi="Times New Roman" w:eastAsia="Times New Roman" w:cs="Times New Roman"/>
              </w:rPr>
              <w:t>mg</w:t>
            </w:r>
            <w:r>
              <w:rPr>
                <w:rFonts w:ascii="Times New Roman" w:hAnsi="Times New Roman" w:eastAsia="Times New Roman" w:cs="Times New Roman"/>
                <w:spacing w:val="10"/>
              </w:rPr>
              <w:t>/m</w:t>
            </w:r>
            <w:r>
              <w:rPr>
                <w:rFonts w:ascii="Times New Roman" w:hAnsi="Times New Roman" w:eastAsia="Times New Roman" w:cs="Times New Roman"/>
                <w:spacing w:val="10"/>
                <w:position w:val="1"/>
                <w:sz w:val="16"/>
                <w:szCs w:val="16"/>
              </w:rPr>
              <w:t>3</w:t>
            </w:r>
            <w:r>
              <w:rPr>
                <w:spacing w:val="10"/>
                <w:position w:val="1"/>
              </w:rPr>
              <w:t>）</w:t>
            </w:r>
            <w:r>
              <w:rPr>
                <w:spacing w:val="10"/>
              </w:rPr>
              <w:t>。</w:t>
            </w:r>
          </w:p>
          <w:p w14:paraId="05BA35C8">
            <w:pPr>
              <w:pStyle w:val="6"/>
              <w:spacing w:before="24" w:line="225" w:lineRule="auto"/>
              <w:ind w:left="639"/>
            </w:pPr>
            <w:r>
              <w:rPr>
                <w:spacing w:val="7"/>
              </w:rPr>
              <w:t>（</w:t>
            </w:r>
            <w:r>
              <w:rPr>
                <w:rFonts w:ascii="Times New Roman" w:hAnsi="Times New Roman" w:eastAsia="Times New Roman" w:cs="Times New Roman"/>
                <w:spacing w:val="7"/>
              </w:rPr>
              <w:t>3</w:t>
            </w:r>
            <w:r>
              <w:rPr>
                <w:spacing w:val="7"/>
              </w:rPr>
              <w:t>）监测评价结果</w:t>
            </w:r>
          </w:p>
          <w:p w14:paraId="05F3A24D">
            <w:pPr>
              <w:pStyle w:val="6"/>
              <w:spacing w:before="156" w:line="225" w:lineRule="auto"/>
              <w:ind w:left="629"/>
            </w:pPr>
            <w:r>
              <w:rPr>
                <w:spacing w:val="5"/>
              </w:rPr>
              <w:t>监测及评价结果见表</w:t>
            </w:r>
            <w:r>
              <w:rPr>
                <w:spacing w:val="-36"/>
              </w:rPr>
              <w:t xml:space="preserve"> </w:t>
            </w:r>
            <w:r>
              <w:rPr>
                <w:rFonts w:ascii="Times New Roman" w:hAnsi="Times New Roman" w:eastAsia="Times New Roman" w:cs="Times New Roman"/>
                <w:spacing w:val="5"/>
              </w:rPr>
              <w:t>3.1-3</w:t>
            </w:r>
            <w:r>
              <w:rPr>
                <w:spacing w:val="5"/>
              </w:rPr>
              <w:t>。</w:t>
            </w:r>
          </w:p>
          <w:p w14:paraId="61DF80F1">
            <w:pPr>
              <w:pStyle w:val="6"/>
              <w:spacing w:before="157" w:line="219" w:lineRule="auto"/>
              <w:ind w:left="718"/>
            </w:pPr>
            <w:r>
              <w:rPr>
                <w:spacing w:val="7"/>
              </w:rPr>
              <w:t>表</w:t>
            </w:r>
            <w:r>
              <w:rPr>
                <w:spacing w:val="-47"/>
              </w:rPr>
              <w:t xml:space="preserve"> </w:t>
            </w:r>
            <w:r>
              <w:rPr>
                <w:rFonts w:ascii="Times New Roman" w:hAnsi="Times New Roman" w:eastAsia="Times New Roman" w:cs="Times New Roman"/>
                <w:spacing w:val="7"/>
              </w:rPr>
              <w:t xml:space="preserve">3.1-3    </w:t>
            </w:r>
            <w:r>
              <w:rPr>
                <w:spacing w:val="7"/>
              </w:rPr>
              <w:t>环境空气质量监控统计结果一览</w:t>
            </w:r>
            <w:r>
              <w:rPr>
                <w:spacing w:val="6"/>
              </w:rPr>
              <w:t>表  单位：</w:t>
            </w:r>
            <w:r>
              <w:rPr>
                <w:rFonts w:ascii="Times New Roman" w:hAnsi="Times New Roman" w:eastAsia="Times New Roman" w:cs="Times New Roman"/>
                <w:spacing w:val="6"/>
              </w:rPr>
              <w:t>µg/m</w:t>
            </w:r>
            <w:r>
              <w:rPr>
                <w:spacing w:val="6"/>
              </w:rPr>
              <w:t>³</w:t>
            </w:r>
          </w:p>
          <w:p w14:paraId="43083736">
            <w:pPr>
              <w:spacing w:line="16" w:lineRule="exact"/>
            </w:pPr>
          </w:p>
          <w:tbl>
            <w:tblPr>
              <w:tblStyle w:val="5"/>
              <w:tblW w:w="7968"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2"/>
              <w:gridCol w:w="704"/>
              <w:gridCol w:w="783"/>
              <w:gridCol w:w="911"/>
              <w:gridCol w:w="658"/>
              <w:gridCol w:w="801"/>
              <w:gridCol w:w="1054"/>
              <w:gridCol w:w="730"/>
              <w:gridCol w:w="656"/>
              <w:gridCol w:w="779"/>
            </w:tblGrid>
            <w:tr w14:paraId="14E54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92" w:type="dxa"/>
                  <w:vMerge w:val="restart"/>
                  <w:tcBorders>
                    <w:bottom w:val="nil"/>
                  </w:tcBorders>
                  <w:vAlign w:val="top"/>
                </w:tcPr>
                <w:p w14:paraId="6875A17C">
                  <w:pPr>
                    <w:spacing w:line="249" w:lineRule="auto"/>
                    <w:rPr>
                      <w:rFonts w:ascii="Arial"/>
                      <w:sz w:val="21"/>
                    </w:rPr>
                  </w:pPr>
                </w:p>
                <w:p w14:paraId="67E44C88">
                  <w:pPr>
                    <w:pStyle w:val="6"/>
                    <w:spacing w:before="71" w:line="242" w:lineRule="auto"/>
                    <w:ind w:left="116" w:right="106"/>
                    <w:rPr>
                      <w:sz w:val="22"/>
                      <w:szCs w:val="22"/>
                    </w:rPr>
                  </w:pPr>
                  <w:r>
                    <w:rPr>
                      <w:sz w:val="22"/>
                      <w:szCs w:val="22"/>
                    </w:rPr>
                    <w:t>监测点位</w:t>
                  </w:r>
                </w:p>
              </w:tc>
              <w:tc>
                <w:tcPr>
                  <w:tcW w:w="1487" w:type="dxa"/>
                  <w:gridSpan w:val="2"/>
                  <w:vAlign w:val="top"/>
                </w:tcPr>
                <w:p w14:paraId="706EE0A8">
                  <w:pPr>
                    <w:pStyle w:val="6"/>
                    <w:spacing w:before="37" w:line="222" w:lineRule="auto"/>
                    <w:ind w:left="105" w:right="105" w:firstLine="7"/>
                    <w:rPr>
                      <w:rFonts w:ascii="Times New Roman" w:hAnsi="Times New Roman" w:eastAsia="Times New Roman" w:cs="Times New Roman"/>
                      <w:sz w:val="22"/>
                      <w:szCs w:val="22"/>
                    </w:rPr>
                  </w:pPr>
                  <w:r>
                    <w:rPr>
                      <w:spacing w:val="32"/>
                      <w:sz w:val="22"/>
                      <w:szCs w:val="22"/>
                    </w:rPr>
                    <w:t>监测点坐标</w:t>
                  </w:r>
                  <w:r>
                    <w:rPr>
                      <w:rFonts w:ascii="Times New Roman" w:hAnsi="Times New Roman" w:eastAsia="Times New Roman" w:cs="Times New Roman"/>
                      <w:sz w:val="22"/>
                      <w:szCs w:val="22"/>
                    </w:rPr>
                    <w:t>m</w:t>
                  </w:r>
                </w:p>
              </w:tc>
              <w:tc>
                <w:tcPr>
                  <w:tcW w:w="911" w:type="dxa"/>
                  <w:vMerge w:val="restart"/>
                  <w:tcBorders>
                    <w:bottom w:val="nil"/>
                  </w:tcBorders>
                  <w:vAlign w:val="top"/>
                </w:tcPr>
                <w:p w14:paraId="770B3C8A">
                  <w:pPr>
                    <w:spacing w:line="391" w:lineRule="auto"/>
                    <w:rPr>
                      <w:rFonts w:ascii="Arial"/>
                      <w:sz w:val="21"/>
                    </w:rPr>
                  </w:pPr>
                </w:p>
                <w:p w14:paraId="3660D965">
                  <w:pPr>
                    <w:pStyle w:val="6"/>
                    <w:spacing w:before="71" w:line="221" w:lineRule="auto"/>
                    <w:ind w:left="115"/>
                    <w:rPr>
                      <w:sz w:val="22"/>
                      <w:szCs w:val="22"/>
                    </w:rPr>
                  </w:pPr>
                  <w:r>
                    <w:rPr>
                      <w:spacing w:val="-3"/>
                      <w:sz w:val="22"/>
                      <w:szCs w:val="22"/>
                    </w:rPr>
                    <w:t>污染物</w:t>
                  </w:r>
                </w:p>
              </w:tc>
              <w:tc>
                <w:tcPr>
                  <w:tcW w:w="658" w:type="dxa"/>
                  <w:vMerge w:val="restart"/>
                  <w:tcBorders>
                    <w:bottom w:val="nil"/>
                  </w:tcBorders>
                  <w:vAlign w:val="top"/>
                </w:tcPr>
                <w:p w14:paraId="59EC17B5">
                  <w:pPr>
                    <w:spacing w:line="247" w:lineRule="auto"/>
                    <w:rPr>
                      <w:rFonts w:ascii="Arial"/>
                      <w:sz w:val="21"/>
                    </w:rPr>
                  </w:pPr>
                </w:p>
                <w:p w14:paraId="00FCBE21">
                  <w:pPr>
                    <w:pStyle w:val="6"/>
                    <w:spacing w:before="72" w:line="243" w:lineRule="auto"/>
                    <w:ind w:left="124" w:right="105" w:hanging="11"/>
                    <w:rPr>
                      <w:sz w:val="22"/>
                      <w:szCs w:val="22"/>
                    </w:rPr>
                  </w:pPr>
                  <w:r>
                    <w:rPr>
                      <w:spacing w:val="-3"/>
                      <w:sz w:val="22"/>
                      <w:szCs w:val="22"/>
                    </w:rPr>
                    <w:t>平均</w:t>
                  </w:r>
                  <w:r>
                    <w:rPr>
                      <w:spacing w:val="-9"/>
                      <w:sz w:val="22"/>
                      <w:szCs w:val="22"/>
                    </w:rPr>
                    <w:t>时间</w:t>
                  </w:r>
                </w:p>
              </w:tc>
              <w:tc>
                <w:tcPr>
                  <w:tcW w:w="801" w:type="dxa"/>
                  <w:vMerge w:val="restart"/>
                  <w:tcBorders>
                    <w:bottom w:val="nil"/>
                  </w:tcBorders>
                  <w:vAlign w:val="top"/>
                </w:tcPr>
                <w:p w14:paraId="35D444F6">
                  <w:pPr>
                    <w:pStyle w:val="6"/>
                    <w:spacing w:before="193" w:line="219" w:lineRule="auto"/>
                    <w:ind w:left="113"/>
                    <w:rPr>
                      <w:sz w:val="22"/>
                      <w:szCs w:val="22"/>
                    </w:rPr>
                  </w:pPr>
                  <w:r>
                    <w:rPr>
                      <w:spacing w:val="-4"/>
                      <w:sz w:val="22"/>
                      <w:szCs w:val="22"/>
                    </w:rPr>
                    <w:t>评</w:t>
                  </w:r>
                  <w:r>
                    <w:rPr>
                      <w:spacing w:val="43"/>
                      <w:sz w:val="22"/>
                      <w:szCs w:val="22"/>
                    </w:rPr>
                    <w:t xml:space="preserve"> </w:t>
                  </w:r>
                  <w:r>
                    <w:rPr>
                      <w:spacing w:val="-4"/>
                      <w:sz w:val="22"/>
                      <w:szCs w:val="22"/>
                    </w:rPr>
                    <w:t>价</w:t>
                  </w:r>
                </w:p>
                <w:p w14:paraId="2033DF52">
                  <w:pPr>
                    <w:pStyle w:val="6"/>
                    <w:spacing w:before="23" w:line="239" w:lineRule="auto"/>
                    <w:ind w:left="105" w:right="168" w:firstLine="9"/>
                    <w:rPr>
                      <w:rFonts w:ascii="Times New Roman" w:hAnsi="Times New Roman" w:eastAsia="Times New Roman" w:cs="Times New Roman"/>
                      <w:sz w:val="14"/>
                      <w:szCs w:val="14"/>
                    </w:rPr>
                  </w:pPr>
                  <w:r>
                    <w:rPr>
                      <w:spacing w:val="-4"/>
                      <w:sz w:val="22"/>
                      <w:szCs w:val="22"/>
                    </w:rPr>
                    <w:t>标准</w:t>
                  </w:r>
                  <w:r>
                    <w:rPr>
                      <w:rFonts w:ascii="Times New Roman" w:hAnsi="Times New Roman" w:eastAsia="Times New Roman" w:cs="Times New Roman"/>
                      <w:spacing w:val="-1"/>
                      <w:sz w:val="22"/>
                      <w:szCs w:val="22"/>
                    </w:rPr>
                    <w:t>ug/m</w:t>
                  </w:r>
                  <w:r>
                    <w:rPr>
                      <w:rFonts w:ascii="Times New Roman" w:hAnsi="Times New Roman" w:eastAsia="Times New Roman" w:cs="Times New Roman"/>
                      <w:spacing w:val="-1"/>
                      <w:position w:val="6"/>
                      <w:sz w:val="14"/>
                      <w:szCs w:val="14"/>
                    </w:rPr>
                    <w:t>3</w:t>
                  </w:r>
                </w:p>
              </w:tc>
              <w:tc>
                <w:tcPr>
                  <w:tcW w:w="1054" w:type="dxa"/>
                  <w:vMerge w:val="restart"/>
                  <w:tcBorders>
                    <w:bottom w:val="nil"/>
                  </w:tcBorders>
                  <w:vAlign w:val="top"/>
                </w:tcPr>
                <w:p w14:paraId="2249E7BD">
                  <w:pPr>
                    <w:pStyle w:val="6"/>
                    <w:spacing w:before="193" w:line="239" w:lineRule="auto"/>
                    <w:ind w:left="106" w:right="102" w:firstLine="9"/>
                    <w:rPr>
                      <w:rFonts w:ascii="Times New Roman" w:hAnsi="Times New Roman" w:eastAsia="Times New Roman" w:cs="Times New Roman"/>
                      <w:sz w:val="14"/>
                      <w:szCs w:val="14"/>
                    </w:rPr>
                  </w:pPr>
                  <w:r>
                    <w:rPr>
                      <w:spacing w:val="-9"/>
                      <w:sz w:val="22"/>
                      <w:szCs w:val="22"/>
                    </w:rPr>
                    <w:t>监</w:t>
                  </w:r>
                  <w:r>
                    <w:rPr>
                      <w:spacing w:val="-11"/>
                      <w:sz w:val="22"/>
                      <w:szCs w:val="22"/>
                    </w:rPr>
                    <w:t xml:space="preserve"> </w:t>
                  </w:r>
                  <w:r>
                    <w:rPr>
                      <w:spacing w:val="-9"/>
                      <w:sz w:val="22"/>
                      <w:szCs w:val="22"/>
                    </w:rPr>
                    <w:t>测</w:t>
                  </w:r>
                  <w:r>
                    <w:rPr>
                      <w:spacing w:val="-13"/>
                      <w:sz w:val="22"/>
                      <w:szCs w:val="22"/>
                    </w:rPr>
                    <w:t xml:space="preserve"> </w:t>
                  </w:r>
                  <w:r>
                    <w:rPr>
                      <w:spacing w:val="-9"/>
                      <w:sz w:val="22"/>
                      <w:szCs w:val="22"/>
                    </w:rPr>
                    <w:t>浓</w:t>
                  </w:r>
                  <w:r>
                    <w:rPr>
                      <w:spacing w:val="-1"/>
                      <w:sz w:val="22"/>
                      <w:szCs w:val="22"/>
                    </w:rPr>
                    <w:t>度范围</w:t>
                  </w:r>
                  <w:r>
                    <w:rPr>
                      <w:sz w:val="22"/>
                      <w:szCs w:val="22"/>
                    </w:rPr>
                    <w:t xml:space="preserve"> </w:t>
                  </w:r>
                  <w:r>
                    <w:rPr>
                      <w:rFonts w:ascii="Times New Roman" w:hAnsi="Times New Roman" w:eastAsia="Times New Roman" w:cs="Times New Roman"/>
                      <w:sz w:val="22"/>
                      <w:szCs w:val="22"/>
                    </w:rPr>
                    <w:t>ug/m</w:t>
                  </w:r>
                  <w:r>
                    <w:rPr>
                      <w:rFonts w:ascii="Times New Roman" w:hAnsi="Times New Roman" w:eastAsia="Times New Roman" w:cs="Times New Roman"/>
                      <w:position w:val="6"/>
                      <w:sz w:val="14"/>
                      <w:szCs w:val="14"/>
                    </w:rPr>
                    <w:t>3</w:t>
                  </w:r>
                </w:p>
              </w:tc>
              <w:tc>
                <w:tcPr>
                  <w:tcW w:w="730" w:type="dxa"/>
                  <w:vMerge w:val="restart"/>
                  <w:tcBorders>
                    <w:bottom w:val="nil"/>
                  </w:tcBorders>
                  <w:vAlign w:val="top"/>
                </w:tcPr>
                <w:p w14:paraId="62937E6A">
                  <w:pPr>
                    <w:pStyle w:val="6"/>
                    <w:spacing w:before="38" w:line="220" w:lineRule="auto"/>
                    <w:ind w:left="119"/>
                    <w:rPr>
                      <w:sz w:val="22"/>
                      <w:szCs w:val="22"/>
                    </w:rPr>
                  </w:pPr>
                  <w:r>
                    <w:rPr>
                      <w:spacing w:val="-6"/>
                      <w:sz w:val="22"/>
                      <w:szCs w:val="22"/>
                    </w:rPr>
                    <w:t>最</w:t>
                  </w:r>
                  <w:r>
                    <w:rPr>
                      <w:spacing w:val="-27"/>
                      <w:sz w:val="22"/>
                      <w:szCs w:val="22"/>
                    </w:rPr>
                    <w:t xml:space="preserve"> </w:t>
                  </w:r>
                  <w:r>
                    <w:rPr>
                      <w:spacing w:val="-6"/>
                      <w:sz w:val="22"/>
                      <w:szCs w:val="22"/>
                    </w:rPr>
                    <w:t>大</w:t>
                  </w:r>
                </w:p>
                <w:p w14:paraId="233651B4">
                  <w:pPr>
                    <w:pStyle w:val="6"/>
                    <w:spacing w:before="20" w:line="221" w:lineRule="auto"/>
                    <w:ind w:left="116"/>
                    <w:rPr>
                      <w:sz w:val="22"/>
                      <w:szCs w:val="22"/>
                    </w:rPr>
                  </w:pPr>
                  <w:r>
                    <w:rPr>
                      <w:spacing w:val="-4"/>
                      <w:sz w:val="22"/>
                      <w:szCs w:val="22"/>
                    </w:rPr>
                    <w:t>浓</w:t>
                  </w:r>
                  <w:r>
                    <w:rPr>
                      <w:spacing w:val="-31"/>
                      <w:sz w:val="22"/>
                      <w:szCs w:val="22"/>
                    </w:rPr>
                    <w:t xml:space="preserve"> </w:t>
                  </w:r>
                  <w:r>
                    <w:rPr>
                      <w:spacing w:val="-4"/>
                      <w:sz w:val="22"/>
                      <w:szCs w:val="22"/>
                    </w:rPr>
                    <w:t>度</w:t>
                  </w:r>
                </w:p>
                <w:p w14:paraId="1800FD89">
                  <w:pPr>
                    <w:pStyle w:val="6"/>
                    <w:spacing w:before="22" w:line="221" w:lineRule="auto"/>
                    <w:ind w:left="153"/>
                    <w:rPr>
                      <w:sz w:val="22"/>
                      <w:szCs w:val="22"/>
                    </w:rPr>
                  </w:pPr>
                  <w:r>
                    <w:rPr>
                      <w:spacing w:val="-22"/>
                      <w:sz w:val="22"/>
                      <w:szCs w:val="22"/>
                    </w:rPr>
                    <w:t>占</w:t>
                  </w:r>
                  <w:r>
                    <w:rPr>
                      <w:spacing w:val="-29"/>
                      <w:sz w:val="22"/>
                      <w:szCs w:val="22"/>
                    </w:rPr>
                    <w:t xml:space="preserve"> </w:t>
                  </w:r>
                  <w:r>
                    <w:rPr>
                      <w:spacing w:val="-22"/>
                      <w:sz w:val="22"/>
                      <w:szCs w:val="22"/>
                    </w:rPr>
                    <w:t>标</w:t>
                  </w:r>
                </w:p>
                <w:p w14:paraId="74D39709">
                  <w:pPr>
                    <w:pStyle w:val="6"/>
                    <w:spacing w:before="22" w:line="205" w:lineRule="auto"/>
                    <w:ind w:left="118"/>
                    <w:rPr>
                      <w:rFonts w:ascii="Times New Roman" w:hAnsi="Times New Roman" w:eastAsia="Times New Roman" w:cs="Times New Roman"/>
                      <w:sz w:val="22"/>
                      <w:szCs w:val="22"/>
                    </w:rPr>
                  </w:pPr>
                  <w:r>
                    <w:rPr>
                      <w:spacing w:val="-5"/>
                      <w:sz w:val="22"/>
                      <w:szCs w:val="22"/>
                    </w:rPr>
                    <w:t>率</w:t>
                  </w:r>
                  <w:r>
                    <w:rPr>
                      <w:rFonts w:ascii="Times New Roman" w:hAnsi="Times New Roman" w:eastAsia="Times New Roman" w:cs="Times New Roman"/>
                      <w:spacing w:val="-5"/>
                      <w:sz w:val="22"/>
                      <w:szCs w:val="22"/>
                    </w:rPr>
                    <w:t>%</w:t>
                  </w:r>
                </w:p>
              </w:tc>
              <w:tc>
                <w:tcPr>
                  <w:tcW w:w="656" w:type="dxa"/>
                  <w:vMerge w:val="restart"/>
                  <w:tcBorders>
                    <w:bottom w:val="nil"/>
                  </w:tcBorders>
                  <w:vAlign w:val="top"/>
                </w:tcPr>
                <w:p w14:paraId="2E4B9C99">
                  <w:pPr>
                    <w:pStyle w:val="6"/>
                    <w:spacing w:before="193" w:line="242" w:lineRule="auto"/>
                    <w:ind w:left="117" w:right="101" w:hanging="2"/>
                    <w:rPr>
                      <w:sz w:val="22"/>
                      <w:szCs w:val="22"/>
                    </w:rPr>
                  </w:pPr>
                  <w:r>
                    <w:rPr>
                      <w:spacing w:val="-3"/>
                      <w:sz w:val="22"/>
                      <w:szCs w:val="22"/>
                    </w:rPr>
                    <w:t>超标</w:t>
                  </w:r>
                  <w:r>
                    <w:rPr>
                      <w:sz w:val="22"/>
                      <w:szCs w:val="22"/>
                    </w:rPr>
                    <w:t>率</w:t>
                  </w:r>
                </w:p>
                <w:p w14:paraId="5E4D718C">
                  <w:pPr>
                    <w:spacing w:before="16" w:line="189" w:lineRule="auto"/>
                    <w:ind w:left="11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79" w:type="dxa"/>
                  <w:vMerge w:val="restart"/>
                  <w:tcBorders>
                    <w:bottom w:val="nil"/>
                  </w:tcBorders>
                  <w:vAlign w:val="top"/>
                </w:tcPr>
                <w:p w14:paraId="767B0DF5">
                  <w:pPr>
                    <w:spacing w:line="248" w:lineRule="auto"/>
                    <w:rPr>
                      <w:rFonts w:ascii="Arial"/>
                      <w:sz w:val="21"/>
                    </w:rPr>
                  </w:pPr>
                </w:p>
                <w:p w14:paraId="52EB851E">
                  <w:pPr>
                    <w:pStyle w:val="6"/>
                    <w:spacing w:before="71" w:line="242" w:lineRule="auto"/>
                    <w:ind w:left="115" w:right="107" w:hanging="1"/>
                    <w:rPr>
                      <w:sz w:val="22"/>
                      <w:szCs w:val="22"/>
                    </w:rPr>
                  </w:pPr>
                  <w:r>
                    <w:rPr>
                      <w:spacing w:val="-8"/>
                      <w:sz w:val="22"/>
                      <w:szCs w:val="22"/>
                    </w:rPr>
                    <w:t>达</w:t>
                  </w:r>
                  <w:r>
                    <w:rPr>
                      <w:spacing w:val="16"/>
                      <w:sz w:val="22"/>
                      <w:szCs w:val="22"/>
                    </w:rPr>
                    <w:t xml:space="preserve"> </w:t>
                  </w:r>
                  <w:r>
                    <w:rPr>
                      <w:spacing w:val="-8"/>
                      <w:sz w:val="22"/>
                      <w:szCs w:val="22"/>
                    </w:rPr>
                    <w:t>标</w:t>
                  </w:r>
                  <w:r>
                    <w:rPr>
                      <w:spacing w:val="-4"/>
                      <w:sz w:val="22"/>
                      <w:szCs w:val="22"/>
                    </w:rPr>
                    <w:t>情况</w:t>
                  </w:r>
                </w:p>
              </w:tc>
            </w:tr>
            <w:tr w14:paraId="53D5A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892" w:type="dxa"/>
                  <w:vMerge w:val="continue"/>
                  <w:tcBorders>
                    <w:top w:val="nil"/>
                  </w:tcBorders>
                  <w:vAlign w:val="top"/>
                </w:tcPr>
                <w:p w14:paraId="1AD79E96">
                  <w:pPr>
                    <w:rPr>
                      <w:rFonts w:ascii="Arial"/>
                      <w:sz w:val="21"/>
                    </w:rPr>
                  </w:pPr>
                </w:p>
              </w:tc>
              <w:tc>
                <w:tcPr>
                  <w:tcW w:w="704" w:type="dxa"/>
                  <w:vAlign w:val="top"/>
                </w:tcPr>
                <w:p w14:paraId="1A9D8062">
                  <w:pPr>
                    <w:spacing w:before="226" w:line="186" w:lineRule="auto"/>
                    <w:ind w:left="105"/>
                    <w:rPr>
                      <w:rFonts w:ascii="Times New Roman" w:hAnsi="Times New Roman" w:eastAsia="Times New Roman" w:cs="Times New Roman"/>
                      <w:sz w:val="22"/>
                      <w:szCs w:val="22"/>
                    </w:rPr>
                  </w:pPr>
                  <w:r>
                    <w:rPr>
                      <w:rFonts w:ascii="Times New Roman" w:hAnsi="Times New Roman" w:eastAsia="Times New Roman" w:cs="Times New Roman"/>
                      <w:sz w:val="22"/>
                      <w:szCs w:val="22"/>
                    </w:rPr>
                    <w:t>X</w:t>
                  </w:r>
                </w:p>
              </w:tc>
              <w:tc>
                <w:tcPr>
                  <w:tcW w:w="783" w:type="dxa"/>
                  <w:vAlign w:val="top"/>
                </w:tcPr>
                <w:p w14:paraId="2A11F72C">
                  <w:pPr>
                    <w:spacing w:before="226" w:line="186" w:lineRule="auto"/>
                    <w:ind w:left="105"/>
                    <w:rPr>
                      <w:rFonts w:ascii="Times New Roman" w:hAnsi="Times New Roman" w:eastAsia="Times New Roman" w:cs="Times New Roman"/>
                      <w:sz w:val="22"/>
                      <w:szCs w:val="22"/>
                    </w:rPr>
                  </w:pPr>
                  <w:r>
                    <w:rPr>
                      <w:rFonts w:ascii="Times New Roman" w:hAnsi="Times New Roman" w:eastAsia="Times New Roman" w:cs="Times New Roman"/>
                      <w:sz w:val="22"/>
                      <w:szCs w:val="22"/>
                    </w:rPr>
                    <w:t>Y</w:t>
                  </w:r>
                </w:p>
              </w:tc>
              <w:tc>
                <w:tcPr>
                  <w:tcW w:w="911" w:type="dxa"/>
                  <w:vMerge w:val="continue"/>
                  <w:tcBorders>
                    <w:top w:val="nil"/>
                  </w:tcBorders>
                  <w:vAlign w:val="top"/>
                </w:tcPr>
                <w:p w14:paraId="6F9FBB47">
                  <w:pPr>
                    <w:rPr>
                      <w:rFonts w:ascii="Arial"/>
                      <w:sz w:val="21"/>
                    </w:rPr>
                  </w:pPr>
                </w:p>
              </w:tc>
              <w:tc>
                <w:tcPr>
                  <w:tcW w:w="658" w:type="dxa"/>
                  <w:vMerge w:val="continue"/>
                  <w:tcBorders>
                    <w:top w:val="nil"/>
                  </w:tcBorders>
                  <w:vAlign w:val="top"/>
                </w:tcPr>
                <w:p w14:paraId="6BF3471E">
                  <w:pPr>
                    <w:rPr>
                      <w:rFonts w:ascii="Arial"/>
                      <w:sz w:val="21"/>
                    </w:rPr>
                  </w:pPr>
                </w:p>
              </w:tc>
              <w:tc>
                <w:tcPr>
                  <w:tcW w:w="801" w:type="dxa"/>
                  <w:vMerge w:val="continue"/>
                  <w:tcBorders>
                    <w:top w:val="nil"/>
                  </w:tcBorders>
                  <w:vAlign w:val="top"/>
                </w:tcPr>
                <w:p w14:paraId="7AFBF3C9">
                  <w:pPr>
                    <w:rPr>
                      <w:rFonts w:ascii="Arial"/>
                      <w:sz w:val="21"/>
                    </w:rPr>
                  </w:pPr>
                </w:p>
              </w:tc>
              <w:tc>
                <w:tcPr>
                  <w:tcW w:w="1054" w:type="dxa"/>
                  <w:vMerge w:val="continue"/>
                  <w:tcBorders>
                    <w:top w:val="nil"/>
                  </w:tcBorders>
                  <w:vAlign w:val="top"/>
                </w:tcPr>
                <w:p w14:paraId="26F26939">
                  <w:pPr>
                    <w:rPr>
                      <w:rFonts w:ascii="Arial"/>
                      <w:sz w:val="21"/>
                    </w:rPr>
                  </w:pPr>
                </w:p>
              </w:tc>
              <w:tc>
                <w:tcPr>
                  <w:tcW w:w="730" w:type="dxa"/>
                  <w:vMerge w:val="continue"/>
                  <w:tcBorders>
                    <w:top w:val="nil"/>
                  </w:tcBorders>
                  <w:vAlign w:val="top"/>
                </w:tcPr>
                <w:p w14:paraId="28170EA4">
                  <w:pPr>
                    <w:rPr>
                      <w:rFonts w:ascii="Arial"/>
                      <w:sz w:val="21"/>
                    </w:rPr>
                  </w:pPr>
                </w:p>
              </w:tc>
              <w:tc>
                <w:tcPr>
                  <w:tcW w:w="656" w:type="dxa"/>
                  <w:vMerge w:val="continue"/>
                  <w:tcBorders>
                    <w:top w:val="nil"/>
                  </w:tcBorders>
                  <w:vAlign w:val="top"/>
                </w:tcPr>
                <w:p w14:paraId="1BB6FF80">
                  <w:pPr>
                    <w:rPr>
                      <w:rFonts w:ascii="Arial"/>
                      <w:sz w:val="21"/>
                    </w:rPr>
                  </w:pPr>
                </w:p>
              </w:tc>
              <w:tc>
                <w:tcPr>
                  <w:tcW w:w="779" w:type="dxa"/>
                  <w:vMerge w:val="continue"/>
                  <w:tcBorders>
                    <w:top w:val="nil"/>
                  </w:tcBorders>
                  <w:vAlign w:val="top"/>
                </w:tcPr>
                <w:p w14:paraId="2839F019">
                  <w:pPr>
                    <w:rPr>
                      <w:rFonts w:ascii="Arial"/>
                      <w:sz w:val="21"/>
                    </w:rPr>
                  </w:pPr>
                </w:p>
              </w:tc>
            </w:tr>
            <w:tr w14:paraId="6EEF5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892" w:type="dxa"/>
                  <w:vAlign w:val="top"/>
                </w:tcPr>
                <w:p w14:paraId="0C8EDAD2">
                  <w:pPr>
                    <w:pStyle w:val="6"/>
                    <w:spacing w:before="35" w:line="224" w:lineRule="auto"/>
                    <w:ind w:left="120" w:right="106" w:hanging="3"/>
                    <w:rPr>
                      <w:sz w:val="22"/>
                      <w:szCs w:val="22"/>
                    </w:rPr>
                  </w:pPr>
                  <w:r>
                    <w:rPr>
                      <w:sz w:val="22"/>
                      <w:szCs w:val="22"/>
                    </w:rPr>
                    <w:t>和平小</w:t>
                  </w:r>
                  <w:r>
                    <w:rPr>
                      <w:spacing w:val="-6"/>
                      <w:sz w:val="22"/>
                      <w:szCs w:val="22"/>
                    </w:rPr>
                    <w:t>学处</w:t>
                  </w:r>
                </w:p>
              </w:tc>
              <w:tc>
                <w:tcPr>
                  <w:tcW w:w="704" w:type="dxa"/>
                  <w:vAlign w:val="top"/>
                </w:tcPr>
                <w:p w14:paraId="4098327B">
                  <w:pPr>
                    <w:spacing w:before="215" w:line="189" w:lineRule="auto"/>
                    <w:ind w:left="11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-800</w:t>
                  </w:r>
                </w:p>
              </w:tc>
              <w:tc>
                <w:tcPr>
                  <w:tcW w:w="783" w:type="dxa"/>
                  <w:vAlign w:val="top"/>
                </w:tcPr>
                <w:p w14:paraId="7D527FCF">
                  <w:pPr>
                    <w:spacing w:before="215" w:line="189" w:lineRule="auto"/>
                    <w:ind w:left="11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-3300</w:t>
                  </w:r>
                </w:p>
              </w:tc>
              <w:tc>
                <w:tcPr>
                  <w:tcW w:w="911" w:type="dxa"/>
                  <w:vAlign w:val="top"/>
                </w:tcPr>
                <w:p w14:paraId="2C0ABAC9">
                  <w:pPr>
                    <w:pStyle w:val="6"/>
                    <w:spacing w:before="35" w:line="224" w:lineRule="auto"/>
                    <w:ind w:left="119" w:right="104" w:hanging="2"/>
                    <w:rPr>
                      <w:sz w:val="22"/>
                      <w:szCs w:val="22"/>
                    </w:rPr>
                  </w:pPr>
                  <w:r>
                    <w:rPr>
                      <w:spacing w:val="8"/>
                      <w:sz w:val="22"/>
                      <w:szCs w:val="22"/>
                    </w:rPr>
                    <w:t>非甲烷</w:t>
                  </w:r>
                  <w:r>
                    <w:rPr>
                      <w:spacing w:val="-7"/>
                      <w:sz w:val="22"/>
                      <w:szCs w:val="22"/>
                    </w:rPr>
                    <w:t>总烃</w:t>
                  </w:r>
                </w:p>
              </w:tc>
              <w:tc>
                <w:tcPr>
                  <w:tcW w:w="658" w:type="dxa"/>
                  <w:vAlign w:val="top"/>
                </w:tcPr>
                <w:p w14:paraId="72E37C9C">
                  <w:pPr>
                    <w:pStyle w:val="6"/>
                    <w:spacing w:before="35" w:line="222" w:lineRule="auto"/>
                    <w:ind w:left="120"/>
                    <w:rPr>
                      <w:sz w:val="22"/>
                      <w:szCs w:val="22"/>
                    </w:rPr>
                  </w:pPr>
                  <w:r>
                    <w:rPr>
                      <w:spacing w:val="-7"/>
                      <w:sz w:val="22"/>
                      <w:szCs w:val="22"/>
                    </w:rPr>
                    <w:t>小时</w:t>
                  </w:r>
                </w:p>
                <w:p w14:paraId="0A0B8A6B">
                  <w:pPr>
                    <w:pStyle w:val="6"/>
                    <w:spacing w:before="20" w:line="208" w:lineRule="auto"/>
                    <w:ind w:left="113"/>
                    <w:rPr>
                      <w:sz w:val="22"/>
                      <w:szCs w:val="22"/>
                    </w:rPr>
                  </w:pPr>
                  <w:r>
                    <w:rPr>
                      <w:spacing w:val="-3"/>
                      <w:sz w:val="22"/>
                      <w:szCs w:val="22"/>
                    </w:rPr>
                    <w:t>平均</w:t>
                  </w:r>
                </w:p>
              </w:tc>
              <w:tc>
                <w:tcPr>
                  <w:tcW w:w="801" w:type="dxa"/>
                  <w:vAlign w:val="top"/>
                </w:tcPr>
                <w:p w14:paraId="0AC341CE">
                  <w:pPr>
                    <w:spacing w:before="215" w:line="189" w:lineRule="auto"/>
                    <w:ind w:left="11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2000</w:t>
                  </w:r>
                </w:p>
              </w:tc>
              <w:tc>
                <w:tcPr>
                  <w:tcW w:w="1054" w:type="dxa"/>
                  <w:vAlign w:val="top"/>
                </w:tcPr>
                <w:p w14:paraId="7F7AF20D">
                  <w:pPr>
                    <w:spacing w:before="215" w:line="189" w:lineRule="auto"/>
                    <w:ind w:left="11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320-680</w:t>
                  </w:r>
                </w:p>
              </w:tc>
              <w:tc>
                <w:tcPr>
                  <w:tcW w:w="730" w:type="dxa"/>
                  <w:vAlign w:val="top"/>
                </w:tcPr>
                <w:p w14:paraId="23396967">
                  <w:pPr>
                    <w:spacing w:before="215" w:line="189" w:lineRule="auto"/>
                    <w:ind w:left="11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34.0</w:t>
                  </w:r>
                </w:p>
              </w:tc>
              <w:tc>
                <w:tcPr>
                  <w:tcW w:w="656" w:type="dxa"/>
                  <w:vAlign w:val="top"/>
                </w:tcPr>
                <w:p w14:paraId="438F92D8">
                  <w:pPr>
                    <w:spacing w:before="215" w:line="189" w:lineRule="auto"/>
                    <w:ind w:left="115"/>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779" w:type="dxa"/>
                  <w:vAlign w:val="top"/>
                </w:tcPr>
                <w:p w14:paraId="52656D1E">
                  <w:pPr>
                    <w:pStyle w:val="6"/>
                    <w:spacing w:before="177" w:line="221" w:lineRule="auto"/>
                    <w:ind w:left="114"/>
                    <w:rPr>
                      <w:sz w:val="22"/>
                      <w:szCs w:val="22"/>
                    </w:rPr>
                  </w:pPr>
                  <w:r>
                    <w:rPr>
                      <w:spacing w:val="-3"/>
                      <w:sz w:val="22"/>
                      <w:szCs w:val="22"/>
                    </w:rPr>
                    <w:t>达标</w:t>
                  </w:r>
                </w:p>
              </w:tc>
            </w:tr>
          </w:tbl>
          <w:p w14:paraId="0A325A20">
            <w:pPr>
              <w:spacing w:line="260" w:lineRule="auto"/>
              <w:rPr>
                <w:rFonts w:ascii="Arial"/>
                <w:sz w:val="21"/>
              </w:rPr>
            </w:pPr>
          </w:p>
          <w:p w14:paraId="7D125CEE">
            <w:pPr>
              <w:spacing w:line="260" w:lineRule="auto"/>
              <w:rPr>
                <w:rFonts w:ascii="Arial"/>
                <w:sz w:val="21"/>
              </w:rPr>
            </w:pPr>
          </w:p>
          <w:p w14:paraId="07EFEF5B">
            <w:pPr>
              <w:pStyle w:val="6"/>
              <w:spacing w:before="81" w:line="340" w:lineRule="auto"/>
              <w:ind w:left="114" w:right="116" w:firstLine="514"/>
            </w:pPr>
            <w:r>
              <w:rPr>
                <w:spacing w:val="9"/>
              </w:rPr>
              <w:t>根据表</w:t>
            </w:r>
            <w:r>
              <w:rPr>
                <w:spacing w:val="-47"/>
              </w:rPr>
              <w:t xml:space="preserve"> </w:t>
            </w:r>
            <w:r>
              <w:rPr>
                <w:rFonts w:ascii="Times New Roman" w:hAnsi="Times New Roman" w:eastAsia="Times New Roman" w:cs="Times New Roman"/>
                <w:spacing w:val="9"/>
              </w:rPr>
              <w:t xml:space="preserve">3.1-3 </w:t>
            </w:r>
            <w:r>
              <w:rPr>
                <w:spacing w:val="9"/>
              </w:rPr>
              <w:t>可知，项目所在区域非甲烷总烃</w:t>
            </w:r>
            <w:r>
              <w:rPr>
                <w:spacing w:val="8"/>
              </w:rPr>
              <w:t>满足《环境空气质量</w:t>
            </w:r>
            <w:r>
              <w:rPr>
                <w:spacing w:val="7"/>
              </w:rPr>
              <w:t>非甲烷总烃限值》（</w:t>
            </w:r>
            <w:r>
              <w:rPr>
                <w:rFonts w:ascii="Times New Roman" w:hAnsi="Times New Roman" w:eastAsia="Times New Roman" w:cs="Times New Roman"/>
              </w:rPr>
              <w:t>DB</w:t>
            </w:r>
            <w:r>
              <w:rPr>
                <w:rFonts w:ascii="Times New Roman" w:hAnsi="Times New Roman" w:eastAsia="Times New Roman" w:cs="Times New Roman"/>
                <w:spacing w:val="7"/>
              </w:rPr>
              <w:t>13/1577-2012</w:t>
            </w:r>
            <w:r>
              <w:rPr>
                <w:spacing w:val="7"/>
              </w:rPr>
              <w:t>）二级标准要求。</w:t>
            </w:r>
          </w:p>
          <w:p w14:paraId="517BF5FE">
            <w:pPr>
              <w:pStyle w:val="6"/>
              <w:spacing w:before="2" w:line="225" w:lineRule="auto"/>
              <w:ind w:left="104"/>
            </w:pPr>
            <w:r>
              <w:rPr>
                <w:rFonts w:ascii="Times New Roman" w:hAnsi="Times New Roman" w:eastAsia="Times New Roman" w:cs="Times New Roman"/>
                <w:b/>
                <w:bCs/>
                <w:spacing w:val="5"/>
              </w:rPr>
              <w:t xml:space="preserve">3.1.2 </w:t>
            </w:r>
            <w:r>
              <w:rPr>
                <w:b/>
                <w:bCs/>
                <w:spacing w:val="5"/>
              </w:rPr>
              <w:t>地表水环境</w:t>
            </w:r>
          </w:p>
          <w:p w14:paraId="33232C48">
            <w:pPr>
              <w:pStyle w:val="6"/>
              <w:spacing w:before="153" w:line="339" w:lineRule="auto"/>
              <w:ind w:left="111" w:firstLine="509"/>
            </w:pPr>
            <w:r>
              <w:rPr>
                <w:spacing w:val="4"/>
              </w:rPr>
              <w:t>本项目位于重庆市九龙坡区石堰村八社</w:t>
            </w:r>
            <w:r>
              <w:rPr>
                <w:rFonts w:ascii="Times New Roman" w:hAnsi="Times New Roman" w:eastAsia="Times New Roman" w:cs="Times New Roman"/>
                <w:spacing w:val="4"/>
              </w:rPr>
              <w:t>(</w:t>
            </w:r>
            <w:r>
              <w:rPr>
                <w:spacing w:val="4"/>
              </w:rPr>
              <w:t>乔鹤佳苑小区旁</w:t>
            </w:r>
            <w:r>
              <w:rPr>
                <w:rFonts w:ascii="Times New Roman" w:hAnsi="Times New Roman" w:eastAsia="Times New Roman" w:cs="Times New Roman"/>
                <w:spacing w:val="4"/>
              </w:rPr>
              <w:t>)</w:t>
            </w:r>
            <w:r>
              <w:rPr>
                <w:rFonts w:ascii="Times New Roman" w:hAnsi="Times New Roman" w:eastAsia="Times New Roman" w:cs="Times New Roman"/>
                <w:spacing w:val="-31"/>
              </w:rPr>
              <w:t xml:space="preserve"> </w:t>
            </w:r>
            <w:r>
              <w:rPr>
                <w:spacing w:val="4"/>
              </w:rPr>
              <w:t>，</w:t>
            </w:r>
            <w:r>
              <w:rPr>
                <w:spacing w:val="3"/>
              </w:rPr>
              <w:t>项目污</w:t>
            </w:r>
            <w:r>
              <w:t xml:space="preserve"> </w:t>
            </w:r>
            <w:r>
              <w:rPr>
                <w:spacing w:val="1"/>
              </w:rPr>
              <w:t>水纳污水体为跳蹬河。根据《重庆市大渡口区水生态环境保护“十四五</w:t>
            </w:r>
            <w:r>
              <w:rPr>
                <w:spacing w:val="-83"/>
              </w:rPr>
              <w:t xml:space="preserve"> </w:t>
            </w:r>
            <w:r>
              <w:rPr>
                <w:spacing w:val="1"/>
              </w:rPr>
              <w:t>”</w:t>
            </w:r>
            <w:r>
              <w:rPr>
                <w:spacing w:val="-6"/>
              </w:rPr>
              <w:t>规划》《重庆市大渡口区“三线一单</w:t>
            </w:r>
            <w:r>
              <w:rPr>
                <w:spacing w:val="-91"/>
              </w:rPr>
              <w:t xml:space="preserve"> </w:t>
            </w:r>
            <w:r>
              <w:rPr>
                <w:spacing w:val="-6"/>
              </w:rPr>
              <w:t>”生态环境分区管控调整方</w:t>
            </w:r>
            <w:r>
              <w:rPr>
                <w:spacing w:val="-7"/>
              </w:rPr>
              <w:t>案（</w:t>
            </w:r>
            <w:r>
              <w:rPr>
                <w:rFonts w:ascii="Times New Roman" w:hAnsi="Times New Roman" w:eastAsia="Times New Roman" w:cs="Times New Roman"/>
                <w:spacing w:val="-7"/>
              </w:rPr>
              <w:t>2023</w:t>
            </w:r>
            <w:r>
              <w:rPr>
                <w:spacing w:val="16"/>
              </w:rPr>
              <w:t>年）</w:t>
            </w:r>
            <w:r>
              <w:rPr>
                <w:spacing w:val="-37"/>
              </w:rPr>
              <w:t xml:space="preserve"> </w:t>
            </w:r>
            <w:r>
              <w:rPr>
                <w:spacing w:val="16"/>
              </w:rPr>
              <w:t>》</w:t>
            </w:r>
            <w:r>
              <w:rPr>
                <w:spacing w:val="-70"/>
              </w:rPr>
              <w:t xml:space="preserve"> </w:t>
            </w:r>
            <w:r>
              <w:rPr>
                <w:spacing w:val="16"/>
              </w:rPr>
              <w:t>，跳磴河水质到</w:t>
            </w:r>
            <w:r>
              <w:rPr>
                <w:spacing w:val="-35"/>
              </w:rPr>
              <w:t xml:space="preserve"> </w:t>
            </w:r>
            <w:r>
              <w:rPr>
                <w:rFonts w:ascii="Times New Roman" w:hAnsi="Times New Roman" w:eastAsia="Times New Roman" w:cs="Times New Roman"/>
                <w:spacing w:val="16"/>
              </w:rPr>
              <w:t>2025</w:t>
            </w:r>
            <w:r>
              <w:rPr>
                <w:rFonts w:ascii="Times New Roman" w:hAnsi="Times New Roman" w:eastAsia="Times New Roman" w:cs="Times New Roman"/>
                <w:spacing w:val="36"/>
                <w:w w:val="101"/>
              </w:rPr>
              <w:t xml:space="preserve"> </w:t>
            </w:r>
            <w:r>
              <w:rPr>
                <w:spacing w:val="16"/>
              </w:rPr>
              <w:t>年稳定达到《地表水环境质量标准》</w:t>
            </w:r>
          </w:p>
          <w:p w14:paraId="4C6EB1C1">
            <w:pPr>
              <w:pStyle w:val="6"/>
              <w:spacing w:before="3" w:line="226" w:lineRule="auto"/>
              <w:ind w:left="121"/>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3838-2002</w:t>
            </w:r>
            <w:r>
              <w:rPr>
                <w:spacing w:val="5"/>
              </w:rPr>
              <w:t>）</w:t>
            </w:r>
            <w:r>
              <w:rPr>
                <w:rFonts w:ascii="Times New Roman" w:hAnsi="Times New Roman" w:eastAsia="Times New Roman" w:cs="Times New Roman"/>
                <w:spacing w:val="5"/>
              </w:rPr>
              <w:t xml:space="preserve">V </w:t>
            </w:r>
            <w:r>
              <w:rPr>
                <w:spacing w:val="5"/>
              </w:rPr>
              <w:t>类标准。</w:t>
            </w:r>
          </w:p>
          <w:p w14:paraId="791603B9">
            <w:pPr>
              <w:pStyle w:val="6"/>
              <w:spacing w:before="153" w:line="334" w:lineRule="auto"/>
              <w:ind w:left="110" w:right="114" w:firstLine="519"/>
              <w:jc w:val="both"/>
            </w:pPr>
            <w:r>
              <w:rPr>
                <w:spacing w:val="16"/>
              </w:rPr>
              <w:t>本次评价引用重庆港庆测控技术有限公司对《重</w:t>
            </w:r>
            <w:r>
              <w:rPr>
                <w:spacing w:val="15"/>
              </w:rPr>
              <w:t>庆建桥工业园区</w:t>
            </w:r>
            <w:r>
              <w:rPr>
                <w:spacing w:val="-17"/>
              </w:rPr>
              <w:t>（</w:t>
            </w:r>
            <w:r>
              <w:rPr>
                <w:rFonts w:ascii="Times New Roman" w:hAnsi="Times New Roman" w:eastAsia="Times New Roman" w:cs="Times New Roman"/>
                <w:spacing w:val="-17"/>
              </w:rPr>
              <w:t>A</w:t>
            </w:r>
            <w:r>
              <w:rPr>
                <w:rFonts w:ascii="Times New Roman" w:hAnsi="Times New Roman" w:eastAsia="Times New Roman" w:cs="Times New Roman"/>
                <w:spacing w:val="31"/>
                <w:w w:val="101"/>
              </w:rPr>
              <w:t xml:space="preserve"> </w:t>
            </w:r>
            <w:r>
              <w:rPr>
                <w:spacing w:val="-17"/>
              </w:rPr>
              <w:t>区、</w:t>
            </w:r>
            <w:r>
              <w:rPr>
                <w:rFonts w:ascii="Times New Roman" w:hAnsi="Times New Roman" w:eastAsia="Times New Roman" w:cs="Times New Roman"/>
                <w:spacing w:val="-17"/>
              </w:rPr>
              <w:t>B</w:t>
            </w:r>
            <w:r>
              <w:rPr>
                <w:rFonts w:ascii="Times New Roman" w:hAnsi="Times New Roman" w:eastAsia="Times New Roman" w:cs="Times New Roman"/>
                <w:spacing w:val="32"/>
              </w:rPr>
              <w:t xml:space="preserve"> </w:t>
            </w:r>
            <w:r>
              <w:rPr>
                <w:spacing w:val="-17"/>
              </w:rPr>
              <w:t>区、</w:t>
            </w:r>
            <w:r>
              <w:rPr>
                <w:rFonts w:ascii="Times New Roman" w:hAnsi="Times New Roman" w:eastAsia="Times New Roman" w:cs="Times New Roman"/>
                <w:spacing w:val="-17"/>
              </w:rPr>
              <w:t>C</w:t>
            </w:r>
            <w:r>
              <w:rPr>
                <w:rFonts w:ascii="Times New Roman" w:hAnsi="Times New Roman" w:eastAsia="Times New Roman" w:cs="Times New Roman"/>
                <w:spacing w:val="31"/>
                <w:w w:val="101"/>
              </w:rPr>
              <w:t xml:space="preserve"> </w:t>
            </w:r>
            <w:r>
              <w:rPr>
                <w:spacing w:val="-17"/>
              </w:rPr>
              <w:t>区）环境影响评价目》（港庆（监）字〔</w:t>
            </w:r>
            <w:r>
              <w:rPr>
                <w:rFonts w:ascii="Times New Roman" w:hAnsi="Times New Roman" w:eastAsia="Times New Roman" w:cs="Times New Roman"/>
                <w:spacing w:val="-17"/>
              </w:rPr>
              <w:t>2023</w:t>
            </w:r>
            <w:r>
              <w:rPr>
                <w:spacing w:val="-18"/>
              </w:rPr>
              <w:t>〕第</w:t>
            </w:r>
            <w:r>
              <w:rPr>
                <w:spacing w:val="-48"/>
              </w:rPr>
              <w:t xml:space="preserve"> </w:t>
            </w:r>
            <w:r>
              <w:rPr>
                <w:rFonts w:ascii="Times New Roman" w:hAnsi="Times New Roman" w:eastAsia="Times New Roman" w:cs="Times New Roman"/>
                <w:spacing w:val="-18"/>
              </w:rPr>
              <w:t>04096-HP</w:t>
            </w:r>
            <w:r>
              <w:rPr>
                <w:spacing w:val="7"/>
              </w:rPr>
              <w:t>号）监测报告中地表水现状监测数据对项目所在区域地表</w:t>
            </w:r>
            <w:r>
              <w:rPr>
                <w:spacing w:val="6"/>
              </w:rPr>
              <w:t>水环境质量进</w:t>
            </w:r>
            <w:r>
              <w:rPr>
                <w:spacing w:val="-1"/>
              </w:rPr>
              <w:t>行评价。监测时间为</w:t>
            </w:r>
            <w:r>
              <w:rPr>
                <w:spacing w:val="-55"/>
              </w:rPr>
              <w:t xml:space="preserve"> </w:t>
            </w:r>
            <w:r>
              <w:rPr>
                <w:rFonts w:ascii="Times New Roman" w:hAnsi="Times New Roman" w:eastAsia="Times New Roman" w:cs="Times New Roman"/>
                <w:spacing w:val="-1"/>
                <w:sz w:val="28"/>
                <w:szCs w:val="28"/>
              </w:rPr>
              <w:t xml:space="preserve">2023 </w:t>
            </w:r>
            <w:r>
              <w:rPr>
                <w:spacing w:val="-1"/>
                <w:sz w:val="28"/>
                <w:szCs w:val="28"/>
              </w:rPr>
              <w:t>年</w:t>
            </w:r>
            <w:r>
              <w:rPr>
                <w:spacing w:val="-59"/>
                <w:sz w:val="28"/>
                <w:szCs w:val="28"/>
              </w:rPr>
              <w:t xml:space="preserve"> </w:t>
            </w:r>
            <w:r>
              <w:rPr>
                <w:rFonts w:ascii="Times New Roman" w:hAnsi="Times New Roman" w:eastAsia="Times New Roman" w:cs="Times New Roman"/>
                <w:spacing w:val="-1"/>
                <w:sz w:val="28"/>
                <w:szCs w:val="28"/>
              </w:rPr>
              <w:t>04</w:t>
            </w:r>
            <w:r>
              <w:rPr>
                <w:rFonts w:ascii="Times New Roman" w:hAnsi="Times New Roman" w:eastAsia="Times New Roman" w:cs="Times New Roman"/>
                <w:spacing w:val="19"/>
                <w:sz w:val="28"/>
                <w:szCs w:val="28"/>
              </w:rPr>
              <w:t xml:space="preserve"> </w:t>
            </w:r>
            <w:r>
              <w:rPr>
                <w:spacing w:val="-1"/>
                <w:sz w:val="28"/>
                <w:szCs w:val="28"/>
              </w:rPr>
              <w:t>月</w:t>
            </w:r>
            <w:r>
              <w:rPr>
                <w:spacing w:val="-65"/>
                <w:sz w:val="28"/>
                <w:szCs w:val="28"/>
              </w:rPr>
              <w:t xml:space="preserve"> </w:t>
            </w:r>
            <w:r>
              <w:rPr>
                <w:rFonts w:ascii="Times New Roman" w:hAnsi="Times New Roman" w:eastAsia="Times New Roman" w:cs="Times New Roman"/>
                <w:spacing w:val="-1"/>
                <w:sz w:val="28"/>
                <w:szCs w:val="28"/>
              </w:rPr>
              <w:t xml:space="preserve">26  </w:t>
            </w:r>
            <w:r>
              <w:rPr>
                <w:spacing w:val="-1"/>
                <w:sz w:val="28"/>
                <w:szCs w:val="28"/>
              </w:rPr>
              <w:t>日至</w:t>
            </w:r>
            <w:r>
              <w:rPr>
                <w:spacing w:val="-60"/>
                <w:sz w:val="28"/>
                <w:szCs w:val="28"/>
              </w:rPr>
              <w:t xml:space="preserve"> </w:t>
            </w:r>
            <w:r>
              <w:rPr>
                <w:rFonts w:ascii="Times New Roman" w:hAnsi="Times New Roman" w:eastAsia="Times New Roman" w:cs="Times New Roman"/>
                <w:spacing w:val="-1"/>
                <w:sz w:val="28"/>
                <w:szCs w:val="28"/>
              </w:rPr>
              <w:t xml:space="preserve">04 </w:t>
            </w:r>
            <w:r>
              <w:rPr>
                <w:spacing w:val="-1"/>
                <w:sz w:val="28"/>
                <w:szCs w:val="28"/>
              </w:rPr>
              <w:t>月</w:t>
            </w:r>
            <w:r>
              <w:rPr>
                <w:spacing w:val="-65"/>
                <w:sz w:val="28"/>
                <w:szCs w:val="28"/>
              </w:rPr>
              <w:t xml:space="preserve"> </w:t>
            </w:r>
            <w:r>
              <w:rPr>
                <w:rFonts w:ascii="Times New Roman" w:hAnsi="Times New Roman" w:eastAsia="Times New Roman" w:cs="Times New Roman"/>
                <w:spacing w:val="-1"/>
                <w:sz w:val="28"/>
                <w:szCs w:val="28"/>
              </w:rPr>
              <w:t xml:space="preserve">28  </w:t>
            </w:r>
            <w:r>
              <w:rPr>
                <w:spacing w:val="-1"/>
                <w:sz w:val="28"/>
                <w:szCs w:val="28"/>
              </w:rPr>
              <w:t>日</w:t>
            </w:r>
            <w:r>
              <w:rPr>
                <w:spacing w:val="-1"/>
              </w:rPr>
              <w:t>，监测至今区</w:t>
            </w:r>
            <w:r>
              <w:rPr>
                <w:spacing w:val="7"/>
              </w:rPr>
              <w:t>域内尚未新增排放同类污染物的较大污染源，地表水环境</w:t>
            </w:r>
            <w:r>
              <w:rPr>
                <w:spacing w:val="6"/>
              </w:rPr>
              <w:t>质量现状变化</w:t>
            </w:r>
            <w:r>
              <w:rPr>
                <w:spacing w:val="7"/>
              </w:rPr>
              <w:t>不大。因此，本次评价引用的地表水监测数据能反映区域</w:t>
            </w:r>
            <w:r>
              <w:rPr>
                <w:spacing w:val="6"/>
              </w:rPr>
              <w:t>地表水环境质</w:t>
            </w:r>
            <w:r>
              <w:rPr>
                <w:spacing w:val="8"/>
              </w:rPr>
              <w:t>量现状，监测资料引用合理可行。</w:t>
            </w:r>
          </w:p>
          <w:p w14:paraId="79AC5B34">
            <w:pPr>
              <w:pStyle w:val="6"/>
              <w:spacing w:before="1" w:line="227" w:lineRule="auto"/>
              <w:ind w:left="639"/>
            </w:pPr>
            <w:r>
              <w:rPr>
                <w:spacing w:val="6"/>
              </w:rPr>
              <w:t>（</w:t>
            </w:r>
            <w:r>
              <w:rPr>
                <w:rFonts w:ascii="Times New Roman" w:hAnsi="Times New Roman" w:eastAsia="Times New Roman" w:cs="Times New Roman"/>
                <w:spacing w:val="6"/>
              </w:rPr>
              <w:t>1</w:t>
            </w:r>
            <w:r>
              <w:rPr>
                <w:spacing w:val="6"/>
              </w:rPr>
              <w:t>）监测点位</w:t>
            </w:r>
          </w:p>
          <w:p w14:paraId="110D812D">
            <w:pPr>
              <w:pStyle w:val="6"/>
              <w:spacing w:before="152" w:line="291" w:lineRule="auto"/>
              <w:ind w:left="103" w:right="114" w:firstLine="528"/>
            </w:pPr>
            <w:r>
              <w:rPr>
                <w:spacing w:val="13"/>
              </w:rPr>
              <w:t>建桥园区</w:t>
            </w:r>
            <w:r>
              <w:rPr>
                <w:spacing w:val="-36"/>
              </w:rPr>
              <w:t xml:space="preserve"> </w:t>
            </w:r>
            <w:r>
              <w:rPr>
                <w:rFonts w:ascii="Times New Roman" w:hAnsi="Times New Roman" w:eastAsia="Times New Roman" w:cs="Times New Roman"/>
                <w:spacing w:val="13"/>
              </w:rPr>
              <w:t>C</w:t>
            </w:r>
            <w:r>
              <w:rPr>
                <w:rFonts w:ascii="Times New Roman" w:hAnsi="Times New Roman" w:eastAsia="Times New Roman" w:cs="Times New Roman"/>
                <w:spacing w:val="42"/>
              </w:rPr>
              <w:t xml:space="preserve"> </w:t>
            </w:r>
            <w:r>
              <w:rPr>
                <w:spacing w:val="13"/>
              </w:rPr>
              <w:t>区工业废水集中处理设施排污口上游</w:t>
            </w:r>
            <w:r>
              <w:rPr>
                <w:spacing w:val="-36"/>
              </w:rPr>
              <w:t xml:space="preserve"> </w:t>
            </w:r>
            <w:r>
              <w:rPr>
                <w:rFonts w:ascii="Times New Roman" w:hAnsi="Times New Roman" w:eastAsia="Times New Roman" w:cs="Times New Roman"/>
                <w:spacing w:val="13"/>
              </w:rPr>
              <w:t>500m</w:t>
            </w:r>
            <w:r>
              <w:rPr>
                <w:rFonts w:ascii="Times New Roman" w:hAnsi="Times New Roman" w:eastAsia="Times New Roman" w:cs="Times New Roman"/>
                <w:spacing w:val="-19"/>
              </w:rPr>
              <w:t xml:space="preserve"> </w:t>
            </w:r>
            <w:r>
              <w:rPr>
                <w:spacing w:val="13"/>
              </w:rPr>
              <w:t>，编号为</w:t>
            </w:r>
            <w:r>
              <w:rPr>
                <w:rFonts w:ascii="Times New Roman" w:hAnsi="Times New Roman" w:eastAsia="Times New Roman" w:cs="Times New Roman"/>
                <w:spacing w:val="11"/>
              </w:rPr>
              <w:t>W1</w:t>
            </w:r>
            <w:r>
              <w:rPr>
                <w:spacing w:val="11"/>
              </w:rPr>
              <w:t>；跳磴河例行监测断面（沟口村例行断面，大九污水处理厂排污口</w:t>
            </w:r>
          </w:p>
        </w:tc>
      </w:tr>
    </w:tbl>
    <w:p w14:paraId="75DA2E68">
      <w:pPr>
        <w:pStyle w:val="2"/>
        <w:rPr>
          <w:sz w:val="21"/>
        </w:rPr>
      </w:pPr>
    </w:p>
    <w:p w14:paraId="07AFFB19">
      <w:pPr>
        <w:rPr>
          <w:sz w:val="21"/>
          <w:szCs w:val="21"/>
        </w:rPr>
        <w:sectPr>
          <w:footerReference r:id="rId57" w:type="default"/>
          <w:pgSz w:w="11907" w:h="16840"/>
          <w:pgMar w:top="400" w:right="1438" w:bottom="1008" w:left="1448" w:header="0" w:footer="770" w:gutter="0"/>
          <w:cols w:space="720" w:num="1"/>
        </w:sectPr>
      </w:pPr>
    </w:p>
    <w:p w14:paraId="1E79BA93">
      <w:pPr>
        <w:spacing w:before="19"/>
      </w:pPr>
      <w:r>
        <w:pict>
          <v:shape id="_x0000_s1031" o:spid="_x0000_s1031" style="position:absolute;left:0pt;margin-left:118.3pt;margin-top:732.4pt;height:0.5pt;width:398.7pt;mso-position-horizontal-relative:page;mso-position-vertical-relative:page;z-index:-251648000;mso-width-relative:page;mso-height-relative:page;" filled="f" stroked="t" coordsize="7974,10" o:allowincell="f" path="m0,4l7973,4e">
            <v:fill on="f" focussize="0,0"/>
            <v:stroke weight="0.48pt" color="#000000" miterlimit="2" joinstyle="bevel"/>
            <v:imagedata o:title=""/>
            <o:lock v:ext="edit"/>
          </v:shape>
        </w:pict>
      </w:r>
    </w:p>
    <w:p w14:paraId="1B3F59B8">
      <w:pPr>
        <w:spacing w:before="19"/>
      </w:pPr>
    </w:p>
    <w:p w14:paraId="6C887BF0">
      <w:pPr>
        <w:spacing w:before="19"/>
      </w:pPr>
    </w:p>
    <w:p w14:paraId="3E47D873">
      <w:pPr>
        <w:spacing w:before="18"/>
      </w:pPr>
    </w:p>
    <w:p w14:paraId="49B6AD22">
      <w:pPr>
        <w:spacing w:before="1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13"/>
        <w:gridCol w:w="686"/>
        <w:gridCol w:w="1800"/>
        <w:gridCol w:w="1104"/>
        <w:gridCol w:w="1143"/>
        <w:gridCol w:w="908"/>
        <w:gridCol w:w="1108"/>
        <w:gridCol w:w="1202"/>
        <w:gridCol w:w="122"/>
      </w:tblGrid>
      <w:tr w14:paraId="69111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3" w:hRule="atLeast"/>
        </w:trPr>
        <w:tc>
          <w:tcPr>
            <w:tcW w:w="808" w:type="dxa"/>
            <w:vMerge w:val="restart"/>
            <w:tcBorders>
              <w:top w:val="single" w:color="000000" w:sz="6" w:space="0"/>
              <w:left w:val="single" w:color="000000" w:sz="6" w:space="0"/>
              <w:bottom w:val="nil"/>
            </w:tcBorders>
            <w:vAlign w:val="top"/>
          </w:tcPr>
          <w:p w14:paraId="2F3ED7D1">
            <w:pPr>
              <w:rPr>
                <w:rFonts w:ascii="Arial"/>
                <w:sz w:val="21"/>
              </w:rPr>
            </w:pPr>
          </w:p>
        </w:tc>
        <w:tc>
          <w:tcPr>
            <w:tcW w:w="8186" w:type="dxa"/>
            <w:gridSpan w:val="9"/>
            <w:tcBorders>
              <w:top w:val="single" w:color="000000" w:sz="6" w:space="0"/>
              <w:bottom w:val="nil"/>
              <w:right w:val="single" w:color="000000" w:sz="6" w:space="0"/>
            </w:tcBorders>
            <w:vAlign w:val="top"/>
          </w:tcPr>
          <w:p w14:paraId="0605F084">
            <w:pPr>
              <w:pStyle w:val="6"/>
              <w:spacing w:before="150" w:line="226" w:lineRule="auto"/>
              <w:ind w:left="118"/>
            </w:pPr>
            <w:r>
              <w:rPr>
                <w:spacing w:val="4"/>
              </w:rPr>
              <w:t>下游约</w:t>
            </w:r>
            <w:r>
              <w:rPr>
                <w:spacing w:val="-54"/>
              </w:rPr>
              <w:t xml:space="preserve"> </w:t>
            </w:r>
            <w:r>
              <w:rPr>
                <w:rFonts w:ascii="Times New Roman" w:hAnsi="Times New Roman" w:eastAsia="Times New Roman" w:cs="Times New Roman"/>
                <w:spacing w:val="4"/>
              </w:rPr>
              <w:t>2000m</w:t>
            </w:r>
            <w:r>
              <w:rPr>
                <w:spacing w:val="17"/>
              </w:rPr>
              <w:t>），</w:t>
            </w:r>
            <w:r>
              <w:rPr>
                <w:spacing w:val="4"/>
              </w:rPr>
              <w:t>编号为</w:t>
            </w:r>
            <w:r>
              <w:rPr>
                <w:spacing w:val="-56"/>
              </w:rPr>
              <w:t xml:space="preserve"> </w:t>
            </w:r>
            <w:r>
              <w:rPr>
                <w:rFonts w:ascii="Times New Roman" w:hAnsi="Times New Roman" w:eastAsia="Times New Roman" w:cs="Times New Roman"/>
                <w:spacing w:val="4"/>
              </w:rPr>
              <w:t>W2</w:t>
            </w:r>
            <w:r>
              <w:rPr>
                <w:spacing w:val="4"/>
              </w:rPr>
              <w:t>；</w:t>
            </w:r>
          </w:p>
          <w:p w14:paraId="0899DAC8">
            <w:pPr>
              <w:pStyle w:val="6"/>
              <w:spacing w:before="154" w:line="227" w:lineRule="auto"/>
              <w:ind w:left="639"/>
            </w:pPr>
            <w:r>
              <w:rPr>
                <w:spacing w:val="6"/>
              </w:rPr>
              <w:t>（</w:t>
            </w:r>
            <w:r>
              <w:rPr>
                <w:rFonts w:ascii="Times New Roman" w:hAnsi="Times New Roman" w:eastAsia="Times New Roman" w:cs="Times New Roman"/>
                <w:spacing w:val="6"/>
              </w:rPr>
              <w:t>2</w:t>
            </w:r>
            <w:r>
              <w:rPr>
                <w:spacing w:val="6"/>
              </w:rPr>
              <w:t>）监测因子</w:t>
            </w:r>
          </w:p>
          <w:p w14:paraId="05DB1FCB">
            <w:pPr>
              <w:pStyle w:val="6"/>
              <w:spacing w:before="161" w:line="219" w:lineRule="auto"/>
              <w:ind w:left="617"/>
            </w:pPr>
            <w:r>
              <w:rPr>
                <w:rFonts w:ascii="Times New Roman" w:hAnsi="Times New Roman" w:eastAsia="Times New Roman" w:cs="Times New Roman"/>
              </w:rPr>
              <w:t>pH</w:t>
            </w:r>
            <w:r>
              <w:rPr>
                <w:rFonts w:ascii="Times New Roman" w:hAnsi="Times New Roman" w:eastAsia="Times New Roman" w:cs="Times New Roman"/>
                <w:spacing w:val="-30"/>
              </w:rPr>
              <w:t xml:space="preserve"> </w:t>
            </w:r>
            <w:r>
              <w:rPr>
                <w:spacing w:val="3"/>
              </w:rPr>
              <w:t>、</w:t>
            </w:r>
            <w:r>
              <w:rPr>
                <w:rFonts w:ascii="Times New Roman" w:hAnsi="Times New Roman" w:eastAsia="Times New Roman" w:cs="Times New Roman"/>
              </w:rPr>
              <w:t>COD</w:t>
            </w:r>
            <w:r>
              <w:rPr>
                <w:rFonts w:ascii="Times New Roman" w:hAnsi="Times New Roman" w:eastAsia="Times New Roman" w:cs="Times New Roman"/>
                <w:spacing w:val="-31"/>
              </w:rPr>
              <w:t xml:space="preserve"> </w:t>
            </w:r>
            <w:r>
              <w:rPr>
                <w:spacing w:val="3"/>
              </w:rPr>
              <w:t>、</w:t>
            </w:r>
            <w:r>
              <w:rPr>
                <w:rFonts w:ascii="Times New Roman" w:hAnsi="Times New Roman" w:eastAsia="Times New Roman" w:cs="Times New Roman"/>
              </w:rPr>
              <w:t>BOD</w:t>
            </w:r>
            <w:r>
              <w:rPr>
                <w:rFonts w:ascii="Times New Roman" w:hAnsi="Times New Roman" w:eastAsia="Times New Roman" w:cs="Times New Roman"/>
                <w:spacing w:val="3"/>
                <w:position w:val="-1"/>
                <w:sz w:val="16"/>
                <w:szCs w:val="16"/>
              </w:rPr>
              <w:t>5</w:t>
            </w:r>
            <w:r>
              <w:rPr>
                <w:rFonts w:ascii="Times New Roman" w:hAnsi="Times New Roman" w:eastAsia="Times New Roman" w:cs="Times New Roman"/>
                <w:spacing w:val="-12"/>
                <w:position w:val="-1"/>
                <w:sz w:val="16"/>
                <w:szCs w:val="16"/>
              </w:rPr>
              <w:t xml:space="preserve"> </w:t>
            </w:r>
            <w:r>
              <w:rPr>
                <w:spacing w:val="3"/>
              </w:rPr>
              <w:t>、</w:t>
            </w:r>
            <w:r>
              <w:rPr>
                <w:rFonts w:ascii="Times New Roman" w:hAnsi="Times New Roman" w:eastAsia="Times New Roman" w:cs="Times New Roman"/>
              </w:rPr>
              <w:t>NH</w:t>
            </w:r>
            <w:r>
              <w:rPr>
                <w:rFonts w:ascii="Times New Roman" w:hAnsi="Times New Roman" w:eastAsia="Times New Roman" w:cs="Times New Roman"/>
                <w:spacing w:val="3"/>
                <w:position w:val="-1"/>
                <w:sz w:val="16"/>
                <w:szCs w:val="16"/>
              </w:rPr>
              <w:t>3</w:t>
            </w:r>
            <w:r>
              <w:rPr>
                <w:rFonts w:ascii="Times New Roman" w:hAnsi="Times New Roman" w:eastAsia="Times New Roman" w:cs="Times New Roman"/>
                <w:spacing w:val="3"/>
              </w:rPr>
              <w:t>-N</w:t>
            </w:r>
            <w:r>
              <w:rPr>
                <w:rFonts w:ascii="Times New Roman" w:hAnsi="Times New Roman" w:eastAsia="Times New Roman" w:cs="Times New Roman"/>
                <w:spacing w:val="-34"/>
              </w:rPr>
              <w:t xml:space="preserve"> </w:t>
            </w:r>
            <w:r>
              <w:rPr>
                <w:spacing w:val="3"/>
              </w:rPr>
              <w:t>、石油类；</w:t>
            </w:r>
          </w:p>
          <w:p w14:paraId="63861274">
            <w:pPr>
              <w:pStyle w:val="6"/>
              <w:spacing w:before="163" w:line="225" w:lineRule="auto"/>
              <w:ind w:left="639"/>
            </w:pPr>
            <w:r>
              <w:rPr>
                <w:spacing w:val="6"/>
              </w:rPr>
              <w:t>（</w:t>
            </w:r>
            <w:r>
              <w:rPr>
                <w:rFonts w:ascii="Times New Roman" w:hAnsi="Times New Roman" w:eastAsia="Times New Roman" w:cs="Times New Roman"/>
                <w:spacing w:val="6"/>
              </w:rPr>
              <w:t>3</w:t>
            </w:r>
            <w:r>
              <w:rPr>
                <w:spacing w:val="6"/>
              </w:rPr>
              <w:t>）评价方法</w:t>
            </w:r>
          </w:p>
          <w:p w14:paraId="44681198">
            <w:pPr>
              <w:pStyle w:val="6"/>
              <w:spacing w:before="164" w:line="347" w:lineRule="auto"/>
              <w:ind w:left="2585" w:right="2682" w:hanging="1958"/>
              <w:rPr>
                <w:rFonts w:ascii="Times New Roman" w:hAnsi="Times New Roman" w:eastAsia="Times New Roman" w:cs="Times New Roman"/>
                <w:sz w:val="16"/>
                <w:szCs w:val="16"/>
              </w:rPr>
            </w:pPr>
            <w:r>
              <w:rPr>
                <w:spacing w:val="6"/>
              </w:rPr>
              <w:t>采用单因子指数法进行评价，其公式如下：</w:t>
            </w:r>
            <w:r>
              <w:t xml:space="preserve"> </w:t>
            </w:r>
            <w:r>
              <w:rPr>
                <w:rFonts w:ascii="Times New Roman" w:hAnsi="Times New Roman" w:eastAsia="Times New Roman" w:cs="Times New Roman"/>
                <w:spacing w:val="-1"/>
              </w:rPr>
              <w:t>S</w:t>
            </w:r>
            <w:r>
              <w:rPr>
                <w:rFonts w:ascii="Times New Roman" w:hAnsi="Times New Roman" w:eastAsia="Times New Roman" w:cs="Times New Roman"/>
                <w:spacing w:val="-1"/>
                <w:position w:val="-1"/>
                <w:sz w:val="16"/>
                <w:szCs w:val="16"/>
              </w:rPr>
              <w:t xml:space="preserve">i,j </w:t>
            </w:r>
            <w:r>
              <w:rPr>
                <w:spacing w:val="-1"/>
              </w:rPr>
              <w:t>＝</w:t>
            </w:r>
            <w:r>
              <w:rPr>
                <w:rFonts w:ascii="Times New Roman" w:hAnsi="Times New Roman" w:eastAsia="Times New Roman" w:cs="Times New Roman"/>
                <w:spacing w:val="-1"/>
              </w:rPr>
              <w:t>C</w:t>
            </w:r>
            <w:r>
              <w:rPr>
                <w:rFonts w:ascii="Times New Roman" w:hAnsi="Times New Roman" w:eastAsia="Times New Roman" w:cs="Times New Roman"/>
                <w:spacing w:val="-1"/>
                <w:position w:val="-1"/>
                <w:sz w:val="16"/>
                <w:szCs w:val="16"/>
              </w:rPr>
              <w:t>i,j</w:t>
            </w:r>
            <w:r>
              <w:rPr>
                <w:rFonts w:ascii="Times New Roman" w:hAnsi="Times New Roman" w:eastAsia="Times New Roman" w:cs="Times New Roman"/>
                <w:spacing w:val="-1"/>
              </w:rPr>
              <w:t>/C</w:t>
            </w:r>
            <w:r>
              <w:rPr>
                <w:rFonts w:ascii="Times New Roman" w:hAnsi="Times New Roman" w:eastAsia="Times New Roman" w:cs="Times New Roman"/>
                <w:spacing w:val="-1"/>
                <w:position w:val="-1"/>
                <w:sz w:val="16"/>
                <w:szCs w:val="16"/>
              </w:rPr>
              <w:t>si</w:t>
            </w:r>
          </w:p>
          <w:p w14:paraId="2793A895">
            <w:pPr>
              <w:pStyle w:val="6"/>
              <w:spacing w:line="220" w:lineRule="auto"/>
              <w:ind w:left="633"/>
            </w:pPr>
            <w:r>
              <w:rPr>
                <w:spacing w:val="9"/>
              </w:rPr>
              <w:t>式中：</w:t>
            </w:r>
            <w:r>
              <w:rPr>
                <w:rFonts w:ascii="Times New Roman" w:hAnsi="Times New Roman" w:eastAsia="Times New Roman" w:cs="Times New Roman"/>
              </w:rPr>
              <w:t>S</w:t>
            </w:r>
            <w:r>
              <w:rPr>
                <w:rFonts w:ascii="Times New Roman" w:hAnsi="Times New Roman" w:eastAsia="Times New Roman" w:cs="Times New Roman"/>
                <w:position w:val="-2"/>
                <w:sz w:val="16"/>
                <w:szCs w:val="16"/>
              </w:rPr>
              <w:t>i</w:t>
            </w:r>
            <w:r>
              <w:rPr>
                <w:rFonts w:ascii="Times New Roman" w:hAnsi="Times New Roman" w:eastAsia="Times New Roman" w:cs="Times New Roman"/>
                <w:spacing w:val="9"/>
                <w:position w:val="-2"/>
                <w:sz w:val="16"/>
                <w:szCs w:val="16"/>
              </w:rPr>
              <w:t>,j</w:t>
            </w:r>
            <w:r>
              <w:rPr>
                <w:rFonts w:ascii="Times New Roman" w:hAnsi="Times New Roman" w:eastAsia="Times New Roman" w:cs="Times New Roman"/>
                <w:spacing w:val="9"/>
              </w:rPr>
              <w:t>——</w:t>
            </w:r>
            <w:r>
              <w:rPr>
                <w:spacing w:val="9"/>
              </w:rPr>
              <w:t>单项水质参数</w:t>
            </w:r>
            <w:r>
              <w:rPr>
                <w:spacing w:val="-49"/>
              </w:rPr>
              <w:t xml:space="preserve"> </w:t>
            </w:r>
            <w:r>
              <w:rPr>
                <w:rFonts w:ascii="Times New Roman" w:hAnsi="Times New Roman" w:eastAsia="Times New Roman" w:cs="Times New Roman"/>
                <w:spacing w:val="9"/>
              </w:rPr>
              <w:t xml:space="preserve">i </w:t>
            </w:r>
            <w:r>
              <w:rPr>
                <w:spacing w:val="9"/>
              </w:rPr>
              <w:t>在第</w:t>
            </w:r>
            <w:r>
              <w:rPr>
                <w:rFonts w:ascii="Times New Roman" w:hAnsi="Times New Roman" w:eastAsia="Times New Roman" w:cs="Times New Roman"/>
                <w:spacing w:val="9"/>
              </w:rPr>
              <w:t>j</w:t>
            </w:r>
            <w:r>
              <w:rPr>
                <w:rFonts w:ascii="Times New Roman" w:hAnsi="Times New Roman" w:eastAsia="Times New Roman" w:cs="Times New Roman"/>
                <w:spacing w:val="26"/>
              </w:rPr>
              <w:t xml:space="preserve"> </w:t>
            </w:r>
            <w:r>
              <w:rPr>
                <w:spacing w:val="9"/>
              </w:rPr>
              <w:t>点的标准指数；</w:t>
            </w:r>
          </w:p>
          <w:p w14:paraId="4E66C7FB">
            <w:pPr>
              <w:pStyle w:val="6"/>
              <w:spacing w:before="172" w:line="308" w:lineRule="auto"/>
              <w:ind w:left="1407" w:right="367"/>
            </w:pPr>
            <w:r>
              <w:rPr>
                <w:rFonts w:ascii="Times New Roman" w:hAnsi="Times New Roman" w:eastAsia="Times New Roman" w:cs="Times New Roman"/>
              </w:rPr>
              <w:t>C</w:t>
            </w:r>
            <w:r>
              <w:rPr>
                <w:rFonts w:ascii="Times New Roman" w:hAnsi="Times New Roman" w:eastAsia="Times New Roman" w:cs="Times New Roman"/>
                <w:position w:val="-1"/>
                <w:sz w:val="16"/>
                <w:szCs w:val="16"/>
              </w:rPr>
              <w:t>i</w:t>
            </w:r>
            <w:r>
              <w:rPr>
                <w:rFonts w:ascii="Times New Roman" w:hAnsi="Times New Roman" w:eastAsia="Times New Roman" w:cs="Times New Roman"/>
                <w:spacing w:val="9"/>
                <w:position w:val="-1"/>
                <w:sz w:val="16"/>
                <w:szCs w:val="16"/>
              </w:rPr>
              <w:t>,j</w:t>
            </w:r>
            <w:r>
              <w:rPr>
                <w:rFonts w:ascii="Times New Roman" w:hAnsi="Times New Roman" w:eastAsia="Times New Roman" w:cs="Times New Roman"/>
                <w:spacing w:val="9"/>
              </w:rPr>
              <w:t>——</w:t>
            </w:r>
            <w:r>
              <w:rPr>
                <w:spacing w:val="9"/>
              </w:rPr>
              <w:t>第</w:t>
            </w:r>
            <w:r>
              <w:rPr>
                <w:spacing w:val="-50"/>
              </w:rPr>
              <w:t xml:space="preserve"> </w:t>
            </w:r>
            <w:r>
              <w:rPr>
                <w:rFonts w:ascii="Times New Roman" w:hAnsi="Times New Roman" w:eastAsia="Times New Roman" w:cs="Times New Roman"/>
                <w:spacing w:val="9"/>
              </w:rPr>
              <w:t xml:space="preserve">i </w:t>
            </w:r>
            <w:r>
              <w:rPr>
                <w:spacing w:val="9"/>
              </w:rPr>
              <w:t>类污染物在第</w:t>
            </w:r>
            <w:r>
              <w:rPr>
                <w:rFonts w:ascii="Times New Roman" w:hAnsi="Times New Roman" w:eastAsia="Times New Roman" w:cs="Times New Roman"/>
                <w:spacing w:val="9"/>
              </w:rPr>
              <w:t>j</w:t>
            </w:r>
            <w:r>
              <w:rPr>
                <w:rFonts w:ascii="Times New Roman" w:hAnsi="Times New Roman" w:eastAsia="Times New Roman" w:cs="Times New Roman"/>
                <w:spacing w:val="28"/>
              </w:rPr>
              <w:t xml:space="preserve"> </w:t>
            </w:r>
            <w:r>
              <w:rPr>
                <w:spacing w:val="9"/>
              </w:rPr>
              <w:t>点的污染平均浓度（</w:t>
            </w:r>
            <w:r>
              <w:rPr>
                <w:rFonts w:ascii="Times New Roman" w:hAnsi="Times New Roman" w:eastAsia="Times New Roman" w:cs="Times New Roman"/>
              </w:rPr>
              <w:t>mg</w:t>
            </w:r>
            <w:r>
              <w:rPr>
                <w:rFonts w:ascii="Times New Roman" w:hAnsi="Times New Roman" w:eastAsia="Times New Roman" w:cs="Times New Roman"/>
                <w:spacing w:val="9"/>
              </w:rPr>
              <w:t>/L</w:t>
            </w:r>
            <w:r>
              <w:rPr>
                <w:spacing w:val="-15"/>
              </w:rPr>
              <w:t>）；</w:t>
            </w:r>
            <w:r>
              <w:t xml:space="preserve"> </w:t>
            </w:r>
            <w:r>
              <w:rPr>
                <w:rFonts w:ascii="Times New Roman" w:hAnsi="Times New Roman" w:eastAsia="Times New Roman" w:cs="Times New Roman"/>
              </w:rPr>
              <w:t>C</w:t>
            </w:r>
            <w:r>
              <w:rPr>
                <w:rFonts w:ascii="Times New Roman" w:hAnsi="Times New Roman" w:eastAsia="Times New Roman" w:cs="Times New Roman"/>
                <w:position w:val="-2"/>
                <w:sz w:val="16"/>
                <w:szCs w:val="16"/>
              </w:rPr>
              <w:t>si</w:t>
            </w:r>
            <w:r>
              <w:rPr>
                <w:rFonts w:ascii="Times New Roman" w:hAnsi="Times New Roman" w:eastAsia="Times New Roman" w:cs="Times New Roman"/>
                <w:spacing w:val="7"/>
              </w:rPr>
              <w:t>——</w:t>
            </w:r>
            <w:r>
              <w:rPr>
                <w:spacing w:val="7"/>
              </w:rPr>
              <w:t>第</w:t>
            </w:r>
            <w:r>
              <w:rPr>
                <w:spacing w:val="-36"/>
              </w:rPr>
              <w:t xml:space="preserve"> </w:t>
            </w:r>
            <w:r>
              <w:rPr>
                <w:rFonts w:ascii="Times New Roman" w:hAnsi="Times New Roman" w:eastAsia="Times New Roman" w:cs="Times New Roman"/>
                <w:spacing w:val="7"/>
              </w:rPr>
              <w:t xml:space="preserve">i </w:t>
            </w:r>
            <w:r>
              <w:rPr>
                <w:spacing w:val="7"/>
              </w:rPr>
              <w:t>类污染物的评价标准（</w:t>
            </w:r>
            <w:r>
              <w:rPr>
                <w:rFonts w:ascii="Times New Roman" w:hAnsi="Times New Roman" w:eastAsia="Times New Roman" w:cs="Times New Roman"/>
              </w:rPr>
              <w:t>mg</w:t>
            </w:r>
            <w:r>
              <w:rPr>
                <w:rFonts w:ascii="Times New Roman" w:hAnsi="Times New Roman" w:eastAsia="Times New Roman" w:cs="Times New Roman"/>
                <w:spacing w:val="7"/>
              </w:rPr>
              <w:t>/L</w:t>
            </w:r>
            <w:r>
              <w:rPr>
                <w:spacing w:val="7"/>
              </w:rPr>
              <w:t>）。</w:t>
            </w:r>
          </w:p>
        </w:tc>
      </w:tr>
      <w:tr w14:paraId="6C03E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2" w:hRule="atLeast"/>
        </w:trPr>
        <w:tc>
          <w:tcPr>
            <w:tcW w:w="808" w:type="dxa"/>
            <w:vMerge w:val="continue"/>
            <w:tcBorders>
              <w:top w:val="nil"/>
              <w:left w:val="single" w:color="000000" w:sz="6" w:space="0"/>
              <w:bottom w:val="nil"/>
            </w:tcBorders>
            <w:vAlign w:val="top"/>
          </w:tcPr>
          <w:p w14:paraId="69FDCC35">
            <w:pPr>
              <w:rPr>
                <w:rFonts w:ascii="Arial"/>
                <w:sz w:val="21"/>
              </w:rPr>
            </w:pPr>
          </w:p>
        </w:tc>
        <w:tc>
          <w:tcPr>
            <w:tcW w:w="2599" w:type="dxa"/>
            <w:gridSpan w:val="3"/>
            <w:tcBorders>
              <w:top w:val="nil"/>
              <w:bottom w:val="nil"/>
              <w:right w:val="nil"/>
            </w:tcBorders>
            <w:vAlign w:val="top"/>
          </w:tcPr>
          <w:p w14:paraId="30CEE9DB">
            <w:pPr>
              <w:pStyle w:val="6"/>
              <w:spacing w:before="104" w:line="219" w:lineRule="auto"/>
              <w:ind w:left="629"/>
            </w:pPr>
            <w:r>
              <w:rPr>
                <w:rFonts w:ascii="Times New Roman" w:hAnsi="Times New Roman" w:eastAsia="Times New Roman" w:cs="Times New Roman"/>
              </w:rPr>
              <w:t>pH</w:t>
            </w:r>
            <w:r>
              <w:rPr>
                <w:rFonts w:ascii="Times New Roman" w:hAnsi="Times New Roman" w:eastAsia="Times New Roman" w:cs="Times New Roman"/>
                <w:spacing w:val="8"/>
              </w:rPr>
              <w:t xml:space="preserve"> </w:t>
            </w:r>
            <w:r>
              <w:rPr>
                <w:spacing w:val="8"/>
              </w:rPr>
              <w:t>评价模式：</w:t>
            </w:r>
          </w:p>
          <w:p w14:paraId="356266D4">
            <w:pPr>
              <w:spacing w:line="257" w:lineRule="auto"/>
              <w:rPr>
                <w:rFonts w:ascii="Arial"/>
                <w:sz w:val="21"/>
              </w:rPr>
            </w:pPr>
          </w:p>
          <w:p w14:paraId="25AE67AF">
            <w:pPr>
              <w:spacing w:line="257" w:lineRule="auto"/>
              <w:rPr>
                <w:rFonts w:ascii="Arial"/>
                <w:sz w:val="21"/>
              </w:rPr>
            </w:pPr>
          </w:p>
          <w:p w14:paraId="4BC8670B">
            <w:pPr>
              <w:spacing w:line="257" w:lineRule="auto"/>
              <w:rPr>
                <w:rFonts w:ascii="Arial"/>
                <w:sz w:val="21"/>
              </w:rPr>
            </w:pPr>
          </w:p>
          <w:p w14:paraId="547B3E01">
            <w:pPr>
              <w:spacing w:line="257" w:lineRule="auto"/>
              <w:rPr>
                <w:rFonts w:ascii="Arial"/>
                <w:sz w:val="21"/>
              </w:rPr>
            </w:pPr>
          </w:p>
          <w:p w14:paraId="0F1F68B8">
            <w:pPr>
              <w:spacing w:line="257" w:lineRule="auto"/>
              <w:rPr>
                <w:rFonts w:ascii="Arial"/>
                <w:sz w:val="21"/>
              </w:rPr>
            </w:pPr>
          </w:p>
          <w:p w14:paraId="52FF80D5">
            <w:pPr>
              <w:spacing w:line="258" w:lineRule="auto"/>
              <w:rPr>
                <w:rFonts w:ascii="Arial"/>
                <w:sz w:val="21"/>
              </w:rPr>
            </w:pPr>
          </w:p>
          <w:p w14:paraId="135D4F6F">
            <w:pPr>
              <w:pStyle w:val="6"/>
              <w:spacing w:before="82" w:line="227" w:lineRule="auto"/>
              <w:ind w:left="633"/>
            </w:pPr>
            <w:r>
              <w:t>式中：</w:t>
            </w:r>
          </w:p>
        </w:tc>
        <w:tc>
          <w:tcPr>
            <w:tcW w:w="2247" w:type="dxa"/>
            <w:gridSpan w:val="2"/>
            <w:tcBorders>
              <w:top w:val="nil"/>
              <w:left w:val="nil"/>
              <w:bottom w:val="nil"/>
              <w:right w:val="nil"/>
            </w:tcBorders>
            <w:vAlign w:val="top"/>
          </w:tcPr>
          <w:p w14:paraId="1A8C29B1">
            <w:pPr>
              <w:spacing w:line="248" w:lineRule="auto"/>
              <w:rPr>
                <w:rFonts w:ascii="Arial"/>
                <w:sz w:val="21"/>
              </w:rPr>
            </w:pPr>
          </w:p>
          <w:p w14:paraId="6E4237A0">
            <w:pPr>
              <w:spacing w:line="604" w:lineRule="exact"/>
              <w:ind w:left="252"/>
            </w:pPr>
            <w:r>
              <w:rPr>
                <w:position w:val="-12"/>
              </w:rPr>
              <w:drawing>
                <wp:inline distT="0" distB="0" distL="0" distR="0">
                  <wp:extent cx="1160145" cy="38354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43"/>
                          <a:stretch>
                            <a:fillRect/>
                          </a:stretch>
                        </pic:blipFill>
                        <pic:spPr>
                          <a:xfrm>
                            <a:off x="0" y="0"/>
                            <a:ext cx="1160598" cy="383673"/>
                          </a:xfrm>
                          <a:prstGeom prst="rect">
                            <a:avLst/>
                          </a:prstGeom>
                        </pic:spPr>
                      </pic:pic>
                    </a:graphicData>
                  </a:graphic>
                </wp:inline>
              </w:drawing>
            </w:r>
          </w:p>
          <w:p w14:paraId="3826AE64">
            <w:pPr>
              <w:spacing w:line="353" w:lineRule="auto"/>
              <w:rPr>
                <w:rFonts w:ascii="Arial"/>
                <w:sz w:val="21"/>
              </w:rPr>
            </w:pPr>
          </w:p>
          <w:p w14:paraId="1F25F68D">
            <w:pPr>
              <w:spacing w:line="645" w:lineRule="exact"/>
              <w:ind w:left="252"/>
            </w:pPr>
            <w:r>
              <w:rPr>
                <w:position w:val="-13"/>
              </w:rPr>
              <w:drawing>
                <wp:inline distT="0" distB="0" distL="0" distR="0">
                  <wp:extent cx="1167130" cy="40957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44"/>
                          <a:stretch>
                            <a:fillRect/>
                          </a:stretch>
                        </pic:blipFill>
                        <pic:spPr>
                          <a:xfrm>
                            <a:off x="0" y="0"/>
                            <a:ext cx="1167735" cy="409688"/>
                          </a:xfrm>
                          <a:prstGeom prst="rect">
                            <a:avLst/>
                          </a:prstGeom>
                        </pic:spPr>
                      </pic:pic>
                    </a:graphicData>
                  </a:graphic>
                </wp:inline>
              </w:drawing>
            </w:r>
          </w:p>
        </w:tc>
        <w:tc>
          <w:tcPr>
            <w:tcW w:w="3340" w:type="dxa"/>
            <w:gridSpan w:val="4"/>
            <w:tcBorders>
              <w:top w:val="nil"/>
              <w:left w:val="nil"/>
              <w:bottom w:val="nil"/>
              <w:right w:val="single" w:color="000000" w:sz="6" w:space="0"/>
            </w:tcBorders>
            <w:vAlign w:val="top"/>
          </w:tcPr>
          <w:p w14:paraId="6A11DA8F">
            <w:pPr>
              <w:spacing w:line="429" w:lineRule="auto"/>
              <w:rPr>
                <w:rFonts w:ascii="Arial"/>
                <w:sz w:val="21"/>
              </w:rPr>
            </w:pPr>
          </w:p>
          <w:p w14:paraId="71E789CA">
            <w:pPr>
              <w:spacing w:before="72" w:line="195" w:lineRule="auto"/>
              <w:ind w:left="939"/>
              <w:rPr>
                <w:rFonts w:ascii="Times New Roman" w:hAnsi="Times New Roman" w:eastAsia="Times New Roman" w:cs="Times New Roman"/>
                <w:sz w:val="25"/>
                <w:szCs w:val="25"/>
              </w:rPr>
            </w:pPr>
            <w:r>
              <w:rPr>
                <w:rFonts w:ascii="Times New Roman" w:hAnsi="Times New Roman" w:eastAsia="Times New Roman" w:cs="Times New Roman"/>
                <w:sz w:val="25"/>
                <w:szCs w:val="25"/>
              </w:rPr>
              <w:t>pH</w:t>
            </w:r>
            <w:r>
              <w:rPr>
                <w:rFonts w:ascii="Times New Roman" w:hAnsi="Times New Roman" w:eastAsia="Times New Roman" w:cs="Times New Roman"/>
                <w:position w:val="-1"/>
                <w:sz w:val="16"/>
                <w:szCs w:val="16"/>
              </w:rPr>
              <w:t>j</w:t>
            </w:r>
            <w:r>
              <w:rPr>
                <w:rFonts w:ascii="Times New Roman" w:hAnsi="Times New Roman" w:eastAsia="Times New Roman" w:cs="Times New Roman"/>
                <w:spacing w:val="7"/>
                <w:sz w:val="25"/>
                <w:szCs w:val="25"/>
              </w:rPr>
              <w:t>≥7.0</w:t>
            </w:r>
          </w:p>
          <w:p w14:paraId="3B585626">
            <w:pPr>
              <w:spacing w:line="298" w:lineRule="auto"/>
              <w:rPr>
                <w:rFonts w:ascii="Arial"/>
                <w:sz w:val="21"/>
              </w:rPr>
            </w:pPr>
          </w:p>
          <w:p w14:paraId="36EBD353">
            <w:pPr>
              <w:spacing w:line="298" w:lineRule="auto"/>
              <w:rPr>
                <w:rFonts w:ascii="Arial"/>
                <w:sz w:val="21"/>
              </w:rPr>
            </w:pPr>
          </w:p>
          <w:p w14:paraId="3C1D9E0C">
            <w:pPr>
              <w:pStyle w:val="6"/>
              <w:spacing w:before="82" w:line="221" w:lineRule="auto"/>
              <w:ind w:left="939"/>
              <w:rPr>
                <w:rFonts w:ascii="Times New Roman" w:hAnsi="Times New Roman" w:eastAsia="Times New Roman" w:cs="Times New Roman"/>
              </w:rPr>
            </w:pPr>
            <w:r>
              <w:rPr>
                <w:rFonts w:ascii="Times New Roman" w:hAnsi="Times New Roman" w:eastAsia="Times New Roman" w:cs="Times New Roman"/>
              </w:rPr>
              <w:t>pH</w:t>
            </w:r>
            <w:r>
              <w:rPr>
                <w:rFonts w:ascii="Times New Roman" w:hAnsi="Times New Roman" w:eastAsia="Times New Roman" w:cs="Times New Roman"/>
                <w:position w:val="-1"/>
                <w:sz w:val="16"/>
                <w:szCs w:val="16"/>
              </w:rPr>
              <w:t>j</w:t>
            </w:r>
            <w:r>
              <w:rPr>
                <w:spacing w:val="8"/>
              </w:rPr>
              <w:t>＜</w:t>
            </w:r>
            <w:r>
              <w:rPr>
                <w:rFonts w:ascii="Times New Roman" w:hAnsi="Times New Roman" w:eastAsia="Times New Roman" w:cs="Times New Roman"/>
                <w:spacing w:val="8"/>
              </w:rPr>
              <w:t>7.0</w:t>
            </w:r>
          </w:p>
        </w:tc>
      </w:tr>
      <w:tr w14:paraId="128D9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7" w:hRule="atLeast"/>
        </w:trPr>
        <w:tc>
          <w:tcPr>
            <w:tcW w:w="808" w:type="dxa"/>
            <w:vMerge w:val="continue"/>
            <w:tcBorders>
              <w:top w:val="nil"/>
              <w:left w:val="single" w:color="000000" w:sz="6" w:space="0"/>
              <w:bottom w:val="nil"/>
            </w:tcBorders>
            <w:vAlign w:val="top"/>
          </w:tcPr>
          <w:p w14:paraId="1F81AD97">
            <w:pPr>
              <w:rPr>
                <w:rFonts w:ascii="Arial"/>
                <w:sz w:val="21"/>
              </w:rPr>
            </w:pPr>
          </w:p>
        </w:tc>
        <w:tc>
          <w:tcPr>
            <w:tcW w:w="8186" w:type="dxa"/>
            <w:gridSpan w:val="9"/>
            <w:tcBorders>
              <w:top w:val="nil"/>
              <w:right w:val="single" w:color="000000" w:sz="6" w:space="0"/>
            </w:tcBorders>
            <w:vAlign w:val="top"/>
          </w:tcPr>
          <w:p w14:paraId="6D4606FA">
            <w:pPr>
              <w:pStyle w:val="6"/>
              <w:spacing w:before="112" w:line="221" w:lineRule="auto"/>
              <w:ind w:left="1414"/>
            </w:pPr>
            <w:r>
              <w:rPr>
                <w:rFonts w:ascii="Times New Roman" w:hAnsi="Times New Roman" w:eastAsia="Times New Roman" w:cs="Times New Roman"/>
              </w:rPr>
              <w:t>S</w:t>
            </w:r>
            <w:r>
              <w:rPr>
                <w:rFonts w:ascii="Times New Roman" w:hAnsi="Times New Roman" w:eastAsia="Times New Roman" w:cs="Times New Roman"/>
                <w:position w:val="-1"/>
                <w:sz w:val="16"/>
                <w:szCs w:val="16"/>
              </w:rPr>
              <w:t>pHj</w:t>
            </w:r>
            <w:r>
              <w:rPr>
                <w:rFonts w:ascii="Times New Roman" w:hAnsi="Times New Roman" w:eastAsia="Times New Roman" w:cs="Times New Roman"/>
                <w:spacing w:val="24"/>
                <w:position w:val="-1"/>
                <w:sz w:val="16"/>
                <w:szCs w:val="16"/>
              </w:rPr>
              <w:t xml:space="preserve"> </w:t>
            </w:r>
            <w:r>
              <w:rPr>
                <w:rFonts w:ascii="Times New Roman" w:hAnsi="Times New Roman" w:eastAsia="Times New Roman" w:cs="Times New Roman"/>
                <w:spacing w:val="7"/>
              </w:rPr>
              <w:t>——</w:t>
            </w:r>
            <w:r>
              <w:rPr>
                <w:rFonts w:ascii="Times New Roman" w:hAnsi="Times New Roman" w:eastAsia="Times New Roman" w:cs="Times New Roman"/>
              </w:rPr>
              <w:t>pH</w:t>
            </w:r>
            <w:r>
              <w:rPr>
                <w:rFonts w:ascii="Times New Roman" w:hAnsi="Times New Roman" w:eastAsia="Times New Roman" w:cs="Times New Roman"/>
                <w:spacing w:val="36"/>
              </w:rPr>
              <w:t xml:space="preserve"> </w:t>
            </w:r>
            <w:r>
              <w:rPr>
                <w:spacing w:val="7"/>
              </w:rPr>
              <w:t>的单项污染指数；</w:t>
            </w:r>
          </w:p>
          <w:p w14:paraId="260E6E90">
            <w:pPr>
              <w:pStyle w:val="6"/>
              <w:spacing w:before="170" w:line="221" w:lineRule="auto"/>
              <w:ind w:left="1388"/>
            </w:pPr>
            <w:r>
              <w:rPr>
                <w:rFonts w:ascii="Times New Roman" w:hAnsi="Times New Roman" w:eastAsia="Times New Roman" w:cs="Times New Roman"/>
              </w:rPr>
              <w:t>pH</w:t>
            </w:r>
            <w:r>
              <w:rPr>
                <w:rFonts w:ascii="Times New Roman" w:hAnsi="Times New Roman" w:eastAsia="Times New Roman" w:cs="Times New Roman"/>
                <w:position w:val="-2"/>
                <w:sz w:val="16"/>
                <w:szCs w:val="16"/>
              </w:rPr>
              <w:t>sd</w:t>
            </w:r>
            <w:r>
              <w:rPr>
                <w:rFonts w:ascii="Times New Roman" w:hAnsi="Times New Roman" w:eastAsia="Times New Roman" w:cs="Times New Roman"/>
                <w:spacing w:val="39"/>
                <w:w w:val="101"/>
                <w:position w:val="-2"/>
                <w:sz w:val="16"/>
                <w:szCs w:val="16"/>
              </w:rPr>
              <w:t xml:space="preserve"> </w:t>
            </w:r>
            <w:r>
              <w:rPr>
                <w:rFonts w:ascii="Times New Roman" w:hAnsi="Times New Roman" w:eastAsia="Times New Roman" w:cs="Times New Roman"/>
                <w:spacing w:val="10"/>
              </w:rPr>
              <w:t>——</w:t>
            </w:r>
            <w:r>
              <w:rPr>
                <w:spacing w:val="10"/>
              </w:rPr>
              <w:t>地表水水质标准中规定的</w:t>
            </w:r>
            <w:r>
              <w:rPr>
                <w:spacing w:val="-61"/>
              </w:rPr>
              <w:t xml:space="preserve"> </w:t>
            </w:r>
            <w:r>
              <w:rPr>
                <w:rFonts w:ascii="Times New Roman" w:hAnsi="Times New Roman" w:eastAsia="Times New Roman" w:cs="Times New Roman"/>
              </w:rPr>
              <w:t>pH</w:t>
            </w:r>
            <w:r>
              <w:rPr>
                <w:rFonts w:ascii="Times New Roman" w:hAnsi="Times New Roman" w:eastAsia="Times New Roman" w:cs="Times New Roman"/>
                <w:spacing w:val="10"/>
              </w:rPr>
              <w:t xml:space="preserve"> </w:t>
            </w:r>
            <w:r>
              <w:rPr>
                <w:spacing w:val="10"/>
              </w:rPr>
              <w:t>值下限；</w:t>
            </w:r>
          </w:p>
          <w:p w14:paraId="4A57D3A4">
            <w:pPr>
              <w:pStyle w:val="6"/>
              <w:spacing w:before="171" w:line="221" w:lineRule="auto"/>
              <w:ind w:left="1388"/>
            </w:pPr>
            <w:r>
              <w:rPr>
                <w:rFonts w:ascii="Times New Roman" w:hAnsi="Times New Roman" w:eastAsia="Times New Roman" w:cs="Times New Roman"/>
              </w:rPr>
              <w:t>pH</w:t>
            </w:r>
            <w:r>
              <w:rPr>
                <w:rFonts w:ascii="Times New Roman" w:hAnsi="Times New Roman" w:eastAsia="Times New Roman" w:cs="Times New Roman"/>
                <w:position w:val="-2"/>
                <w:sz w:val="16"/>
                <w:szCs w:val="16"/>
              </w:rPr>
              <w:t>su</w:t>
            </w:r>
            <w:r>
              <w:rPr>
                <w:rFonts w:ascii="Times New Roman" w:hAnsi="Times New Roman" w:eastAsia="Times New Roman" w:cs="Times New Roman"/>
                <w:spacing w:val="39"/>
                <w:w w:val="101"/>
                <w:position w:val="-2"/>
                <w:sz w:val="16"/>
                <w:szCs w:val="16"/>
              </w:rPr>
              <w:t xml:space="preserve"> </w:t>
            </w:r>
            <w:r>
              <w:rPr>
                <w:rFonts w:ascii="Times New Roman" w:hAnsi="Times New Roman" w:eastAsia="Times New Roman" w:cs="Times New Roman"/>
                <w:spacing w:val="10"/>
              </w:rPr>
              <w:t>——</w:t>
            </w:r>
            <w:r>
              <w:rPr>
                <w:spacing w:val="10"/>
              </w:rPr>
              <w:t>地表水水质标准中规定的</w:t>
            </w:r>
            <w:r>
              <w:rPr>
                <w:spacing w:val="-61"/>
              </w:rPr>
              <w:t xml:space="preserve"> </w:t>
            </w:r>
            <w:r>
              <w:rPr>
                <w:rFonts w:ascii="Times New Roman" w:hAnsi="Times New Roman" w:eastAsia="Times New Roman" w:cs="Times New Roman"/>
              </w:rPr>
              <w:t>pH</w:t>
            </w:r>
            <w:r>
              <w:rPr>
                <w:rFonts w:ascii="Times New Roman" w:hAnsi="Times New Roman" w:eastAsia="Times New Roman" w:cs="Times New Roman"/>
                <w:spacing w:val="10"/>
              </w:rPr>
              <w:t xml:space="preserve"> </w:t>
            </w:r>
            <w:r>
              <w:rPr>
                <w:spacing w:val="10"/>
              </w:rPr>
              <w:t>值上限；</w:t>
            </w:r>
          </w:p>
          <w:p w14:paraId="32CAAFFA">
            <w:pPr>
              <w:pStyle w:val="6"/>
              <w:spacing w:before="171" w:line="219" w:lineRule="auto"/>
              <w:ind w:left="1397"/>
            </w:pPr>
            <w:r>
              <w:rPr>
                <w:rFonts w:ascii="Times New Roman" w:hAnsi="Times New Roman" w:eastAsia="Times New Roman" w:cs="Times New Roman"/>
              </w:rPr>
              <w:t>pHj</w:t>
            </w:r>
            <w:r>
              <w:rPr>
                <w:rFonts w:ascii="Times New Roman" w:hAnsi="Times New Roman" w:eastAsia="Times New Roman" w:cs="Times New Roman"/>
                <w:spacing w:val="13"/>
              </w:rPr>
              <w:t xml:space="preserve"> ——</w:t>
            </w:r>
            <w:r>
              <w:rPr>
                <w:spacing w:val="13"/>
              </w:rPr>
              <w:t>在</w:t>
            </w:r>
            <w:r>
              <w:rPr>
                <w:rFonts w:ascii="Times New Roman" w:hAnsi="Times New Roman" w:eastAsia="Times New Roman" w:cs="Times New Roman"/>
                <w:spacing w:val="13"/>
              </w:rPr>
              <w:t xml:space="preserve">j </w:t>
            </w:r>
            <w:r>
              <w:rPr>
                <w:spacing w:val="13"/>
              </w:rPr>
              <w:t>监测点处实测</w:t>
            </w:r>
            <w:r>
              <w:rPr>
                <w:spacing w:val="-53"/>
              </w:rPr>
              <w:t xml:space="preserve"> </w:t>
            </w:r>
            <w:r>
              <w:rPr>
                <w:rFonts w:ascii="Times New Roman" w:hAnsi="Times New Roman" w:eastAsia="Times New Roman" w:cs="Times New Roman"/>
              </w:rPr>
              <w:t>pH</w:t>
            </w:r>
            <w:r>
              <w:rPr>
                <w:rFonts w:ascii="Times New Roman" w:hAnsi="Times New Roman" w:eastAsia="Times New Roman" w:cs="Times New Roman"/>
                <w:spacing w:val="13"/>
              </w:rPr>
              <w:t xml:space="preserve"> </w:t>
            </w:r>
            <w:r>
              <w:rPr>
                <w:spacing w:val="13"/>
              </w:rPr>
              <w:t>值。</w:t>
            </w:r>
          </w:p>
          <w:p w14:paraId="3887BE9E">
            <w:pPr>
              <w:pStyle w:val="6"/>
              <w:spacing w:before="146" w:line="225" w:lineRule="auto"/>
              <w:ind w:left="633"/>
            </w:pPr>
            <w:r>
              <w:rPr>
                <w:spacing w:val="3"/>
              </w:rPr>
              <w:t>具体监测评价结果见表</w:t>
            </w:r>
            <w:r>
              <w:rPr>
                <w:spacing w:val="-35"/>
              </w:rPr>
              <w:t xml:space="preserve"> </w:t>
            </w:r>
            <w:r>
              <w:rPr>
                <w:rFonts w:ascii="Times New Roman" w:hAnsi="Times New Roman" w:eastAsia="Times New Roman" w:cs="Times New Roman"/>
                <w:spacing w:val="3"/>
              </w:rPr>
              <w:t>3.2-</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w:t>
            </w:r>
            <w:r>
              <w:rPr>
                <w:spacing w:val="3"/>
              </w:rPr>
              <w:t>。</w:t>
            </w:r>
          </w:p>
          <w:p w14:paraId="5C3154C5">
            <w:pPr>
              <w:pStyle w:val="6"/>
              <w:spacing w:before="157" w:line="219" w:lineRule="auto"/>
              <w:ind w:left="109"/>
            </w:pPr>
            <w:r>
              <w:rPr>
                <w:spacing w:val="7"/>
              </w:rPr>
              <w:t>表</w:t>
            </w:r>
            <w:r>
              <w:rPr>
                <w:spacing w:val="-49"/>
              </w:rPr>
              <w:t xml:space="preserve"> </w:t>
            </w:r>
            <w:r>
              <w:rPr>
                <w:rFonts w:ascii="Times New Roman" w:hAnsi="Times New Roman" w:eastAsia="Times New Roman" w:cs="Times New Roman"/>
                <w:spacing w:val="7"/>
              </w:rPr>
              <w:t>3.2-</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 xml:space="preserve">1    </w:t>
            </w:r>
            <w:r>
              <w:rPr>
                <w:spacing w:val="7"/>
              </w:rPr>
              <w:t>地表水现状监测数据统计</w:t>
            </w:r>
            <w:r>
              <w:rPr>
                <w:spacing w:val="6"/>
              </w:rPr>
              <w:t>结果表  单位：</w:t>
            </w:r>
            <w:r>
              <w:rPr>
                <w:rFonts w:ascii="Times New Roman" w:hAnsi="Times New Roman" w:eastAsia="Times New Roman" w:cs="Times New Roman"/>
              </w:rPr>
              <w:t>mg</w:t>
            </w:r>
            <w:r>
              <w:rPr>
                <w:rFonts w:ascii="Times New Roman" w:hAnsi="Times New Roman" w:eastAsia="Times New Roman" w:cs="Times New Roman"/>
                <w:spacing w:val="6"/>
              </w:rPr>
              <w:t>/L</w:t>
            </w:r>
            <w:r>
              <w:rPr>
                <w:spacing w:val="6"/>
              </w:rPr>
              <w:t>（</w:t>
            </w:r>
            <w:r>
              <w:rPr>
                <w:rFonts w:ascii="Times New Roman" w:hAnsi="Times New Roman" w:eastAsia="Times New Roman" w:cs="Times New Roman"/>
              </w:rPr>
              <w:t>pH</w:t>
            </w:r>
            <w:r>
              <w:rPr>
                <w:rFonts w:ascii="Times New Roman" w:hAnsi="Times New Roman" w:eastAsia="Times New Roman" w:cs="Times New Roman"/>
                <w:spacing w:val="6"/>
              </w:rPr>
              <w:t xml:space="preserve"> </w:t>
            </w:r>
            <w:r>
              <w:rPr>
                <w:spacing w:val="6"/>
              </w:rPr>
              <w:t>无量纲）</w:t>
            </w:r>
          </w:p>
        </w:tc>
      </w:tr>
      <w:tr w14:paraId="313E2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08" w:type="dxa"/>
            <w:vMerge w:val="continue"/>
            <w:tcBorders>
              <w:top w:val="nil"/>
              <w:left w:val="single" w:color="000000" w:sz="6" w:space="0"/>
              <w:bottom w:val="nil"/>
            </w:tcBorders>
            <w:vAlign w:val="top"/>
          </w:tcPr>
          <w:p w14:paraId="2B72829F">
            <w:pPr>
              <w:rPr>
                <w:rFonts w:ascii="Arial"/>
                <w:sz w:val="21"/>
              </w:rPr>
            </w:pPr>
          </w:p>
        </w:tc>
        <w:tc>
          <w:tcPr>
            <w:tcW w:w="113" w:type="dxa"/>
            <w:tcBorders>
              <w:top w:val="nil"/>
              <w:bottom w:val="nil"/>
            </w:tcBorders>
            <w:vAlign w:val="top"/>
          </w:tcPr>
          <w:p w14:paraId="0C3E537C">
            <w:pPr>
              <w:rPr>
                <w:rFonts w:ascii="Arial"/>
                <w:sz w:val="21"/>
              </w:rPr>
            </w:pPr>
          </w:p>
        </w:tc>
        <w:tc>
          <w:tcPr>
            <w:tcW w:w="686" w:type="dxa"/>
            <w:vAlign w:val="top"/>
          </w:tcPr>
          <w:p w14:paraId="448AC30F">
            <w:pPr>
              <w:pStyle w:val="6"/>
              <w:spacing w:before="42" w:line="222" w:lineRule="auto"/>
              <w:ind w:left="122"/>
              <w:rPr>
                <w:sz w:val="22"/>
                <w:szCs w:val="22"/>
              </w:rPr>
            </w:pPr>
            <w:r>
              <w:rPr>
                <w:spacing w:val="-4"/>
                <w:sz w:val="22"/>
                <w:szCs w:val="22"/>
              </w:rPr>
              <w:t>地表</w:t>
            </w:r>
          </w:p>
          <w:p w14:paraId="7C09AA33">
            <w:pPr>
              <w:pStyle w:val="6"/>
              <w:spacing w:before="19" w:line="200" w:lineRule="auto"/>
              <w:ind w:left="125"/>
              <w:rPr>
                <w:sz w:val="22"/>
                <w:szCs w:val="22"/>
              </w:rPr>
            </w:pPr>
            <w:r>
              <w:rPr>
                <w:spacing w:val="-5"/>
                <w:sz w:val="22"/>
                <w:szCs w:val="22"/>
              </w:rPr>
              <w:t>水体</w:t>
            </w:r>
          </w:p>
        </w:tc>
        <w:tc>
          <w:tcPr>
            <w:tcW w:w="1800" w:type="dxa"/>
            <w:vAlign w:val="top"/>
          </w:tcPr>
          <w:p w14:paraId="462B2FD7">
            <w:pPr>
              <w:pStyle w:val="6"/>
              <w:spacing w:before="184" w:line="220" w:lineRule="auto"/>
              <w:ind w:left="462"/>
              <w:rPr>
                <w:sz w:val="22"/>
                <w:szCs w:val="22"/>
              </w:rPr>
            </w:pPr>
            <w:r>
              <w:rPr>
                <w:spacing w:val="-3"/>
                <w:sz w:val="22"/>
                <w:szCs w:val="22"/>
              </w:rPr>
              <w:t>监测断面</w:t>
            </w:r>
          </w:p>
        </w:tc>
        <w:tc>
          <w:tcPr>
            <w:tcW w:w="1104" w:type="dxa"/>
            <w:vAlign w:val="top"/>
          </w:tcPr>
          <w:p w14:paraId="147C51E6">
            <w:pPr>
              <w:pStyle w:val="6"/>
              <w:spacing w:before="184" w:line="221" w:lineRule="auto"/>
              <w:ind w:left="116"/>
              <w:rPr>
                <w:sz w:val="22"/>
                <w:szCs w:val="22"/>
              </w:rPr>
            </w:pPr>
            <w:r>
              <w:rPr>
                <w:spacing w:val="-3"/>
                <w:sz w:val="22"/>
                <w:szCs w:val="22"/>
              </w:rPr>
              <w:t>监测因子</w:t>
            </w:r>
          </w:p>
        </w:tc>
        <w:tc>
          <w:tcPr>
            <w:tcW w:w="1143" w:type="dxa"/>
            <w:vAlign w:val="top"/>
          </w:tcPr>
          <w:p w14:paraId="11A1A85E">
            <w:pPr>
              <w:pStyle w:val="6"/>
              <w:spacing w:before="184" w:line="221" w:lineRule="auto"/>
              <w:ind w:left="138"/>
              <w:rPr>
                <w:sz w:val="22"/>
                <w:szCs w:val="22"/>
              </w:rPr>
            </w:pPr>
            <w:r>
              <w:rPr>
                <w:spacing w:val="-3"/>
                <w:sz w:val="22"/>
                <w:szCs w:val="22"/>
              </w:rPr>
              <w:t>监测结果</w:t>
            </w:r>
          </w:p>
        </w:tc>
        <w:tc>
          <w:tcPr>
            <w:tcW w:w="908" w:type="dxa"/>
            <w:vAlign w:val="top"/>
          </w:tcPr>
          <w:p w14:paraId="0B7195CA">
            <w:pPr>
              <w:pStyle w:val="6"/>
              <w:spacing w:before="184" w:line="217" w:lineRule="auto"/>
              <w:ind w:left="118"/>
              <w:rPr>
                <w:rFonts w:ascii="Times New Roman" w:hAnsi="Times New Roman" w:eastAsia="Times New Roman" w:cs="Times New Roman"/>
                <w:sz w:val="14"/>
                <w:szCs w:val="14"/>
              </w:rPr>
            </w:pPr>
            <w:r>
              <w:rPr>
                <w:spacing w:val="-5"/>
                <w:sz w:val="22"/>
                <w:szCs w:val="22"/>
              </w:rPr>
              <w:t>最大</w:t>
            </w:r>
            <w:r>
              <w:rPr>
                <w:spacing w:val="-45"/>
                <w:sz w:val="22"/>
                <w:szCs w:val="22"/>
              </w:rPr>
              <w:t xml:space="preserve"> </w:t>
            </w:r>
            <w:r>
              <w:rPr>
                <w:rFonts w:ascii="Times New Roman" w:hAnsi="Times New Roman" w:eastAsia="Times New Roman" w:cs="Times New Roman"/>
                <w:spacing w:val="-5"/>
                <w:sz w:val="22"/>
                <w:szCs w:val="22"/>
              </w:rPr>
              <w:t>S</w:t>
            </w:r>
            <w:r>
              <w:rPr>
                <w:rFonts w:ascii="Times New Roman" w:hAnsi="Times New Roman" w:eastAsia="Times New Roman" w:cs="Times New Roman"/>
                <w:spacing w:val="-5"/>
                <w:position w:val="-1"/>
                <w:sz w:val="14"/>
                <w:szCs w:val="14"/>
              </w:rPr>
              <w:t>ij</w:t>
            </w:r>
          </w:p>
        </w:tc>
        <w:tc>
          <w:tcPr>
            <w:tcW w:w="1108" w:type="dxa"/>
            <w:vAlign w:val="top"/>
          </w:tcPr>
          <w:p w14:paraId="02917658">
            <w:pPr>
              <w:pStyle w:val="6"/>
              <w:spacing w:before="184" w:line="220" w:lineRule="auto"/>
              <w:ind w:left="235"/>
              <w:rPr>
                <w:sz w:val="22"/>
                <w:szCs w:val="22"/>
              </w:rPr>
            </w:pPr>
            <w:r>
              <w:rPr>
                <w:spacing w:val="-3"/>
                <w:sz w:val="22"/>
                <w:szCs w:val="22"/>
              </w:rPr>
              <w:t>标准值</w:t>
            </w:r>
          </w:p>
        </w:tc>
        <w:tc>
          <w:tcPr>
            <w:tcW w:w="1202" w:type="dxa"/>
            <w:vAlign w:val="top"/>
          </w:tcPr>
          <w:p w14:paraId="45C4F59B">
            <w:pPr>
              <w:pStyle w:val="6"/>
              <w:spacing w:before="184" w:line="221" w:lineRule="auto"/>
              <w:ind w:left="172"/>
              <w:rPr>
                <w:sz w:val="22"/>
                <w:szCs w:val="22"/>
              </w:rPr>
            </w:pPr>
            <w:r>
              <w:rPr>
                <w:spacing w:val="-2"/>
                <w:sz w:val="22"/>
                <w:szCs w:val="22"/>
              </w:rPr>
              <w:t>达标情况</w:t>
            </w:r>
          </w:p>
        </w:tc>
        <w:tc>
          <w:tcPr>
            <w:tcW w:w="122" w:type="dxa"/>
            <w:tcBorders>
              <w:top w:val="nil"/>
              <w:bottom w:val="nil"/>
              <w:right w:val="single" w:color="000000" w:sz="6" w:space="0"/>
            </w:tcBorders>
            <w:vAlign w:val="top"/>
          </w:tcPr>
          <w:p w14:paraId="69A0E81B">
            <w:pPr>
              <w:rPr>
                <w:rFonts w:ascii="Arial"/>
                <w:sz w:val="21"/>
              </w:rPr>
            </w:pPr>
          </w:p>
        </w:tc>
      </w:tr>
      <w:tr w14:paraId="7E763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08" w:type="dxa"/>
            <w:vMerge w:val="continue"/>
            <w:tcBorders>
              <w:top w:val="nil"/>
              <w:left w:val="single" w:color="000000" w:sz="6" w:space="0"/>
              <w:bottom w:val="nil"/>
            </w:tcBorders>
            <w:vAlign w:val="top"/>
          </w:tcPr>
          <w:p w14:paraId="44D9EC37">
            <w:pPr>
              <w:rPr>
                <w:rFonts w:ascii="Arial"/>
                <w:sz w:val="21"/>
              </w:rPr>
            </w:pPr>
          </w:p>
        </w:tc>
        <w:tc>
          <w:tcPr>
            <w:tcW w:w="113" w:type="dxa"/>
            <w:tcBorders>
              <w:top w:val="nil"/>
              <w:bottom w:val="nil"/>
            </w:tcBorders>
            <w:vAlign w:val="top"/>
          </w:tcPr>
          <w:p w14:paraId="006E887E">
            <w:pPr>
              <w:rPr>
                <w:rFonts w:ascii="Arial"/>
                <w:sz w:val="21"/>
              </w:rPr>
            </w:pPr>
          </w:p>
        </w:tc>
        <w:tc>
          <w:tcPr>
            <w:tcW w:w="686" w:type="dxa"/>
            <w:vMerge w:val="restart"/>
            <w:tcBorders>
              <w:bottom w:val="nil"/>
            </w:tcBorders>
            <w:vAlign w:val="top"/>
          </w:tcPr>
          <w:p w14:paraId="16D227FA">
            <w:pPr>
              <w:spacing w:line="287" w:lineRule="auto"/>
              <w:rPr>
                <w:rFonts w:ascii="Arial"/>
                <w:sz w:val="21"/>
              </w:rPr>
            </w:pPr>
          </w:p>
          <w:p w14:paraId="494AC522">
            <w:pPr>
              <w:spacing w:line="287" w:lineRule="auto"/>
              <w:rPr>
                <w:rFonts w:ascii="Arial"/>
                <w:sz w:val="21"/>
              </w:rPr>
            </w:pPr>
          </w:p>
          <w:p w14:paraId="1BC01615">
            <w:pPr>
              <w:spacing w:line="288" w:lineRule="auto"/>
              <w:rPr>
                <w:rFonts w:ascii="Arial"/>
                <w:sz w:val="21"/>
              </w:rPr>
            </w:pPr>
          </w:p>
          <w:p w14:paraId="6BF899AB">
            <w:pPr>
              <w:spacing w:line="288" w:lineRule="auto"/>
              <w:rPr>
                <w:rFonts w:ascii="Arial"/>
                <w:sz w:val="21"/>
              </w:rPr>
            </w:pPr>
          </w:p>
          <w:p w14:paraId="436D35EE">
            <w:pPr>
              <w:pStyle w:val="6"/>
              <w:spacing w:before="71" w:line="243" w:lineRule="auto"/>
              <w:ind w:left="231" w:right="125" w:hanging="108"/>
              <w:rPr>
                <w:sz w:val="22"/>
                <w:szCs w:val="22"/>
              </w:rPr>
            </w:pPr>
            <w:r>
              <w:rPr>
                <w:spacing w:val="-4"/>
                <w:sz w:val="22"/>
                <w:szCs w:val="22"/>
              </w:rPr>
              <w:t>跳蹬</w:t>
            </w:r>
            <w:r>
              <w:rPr>
                <w:sz w:val="22"/>
                <w:szCs w:val="22"/>
              </w:rPr>
              <w:t>河</w:t>
            </w:r>
          </w:p>
        </w:tc>
        <w:tc>
          <w:tcPr>
            <w:tcW w:w="1800" w:type="dxa"/>
            <w:vMerge w:val="restart"/>
            <w:tcBorders>
              <w:bottom w:val="nil"/>
            </w:tcBorders>
            <w:vAlign w:val="top"/>
          </w:tcPr>
          <w:p w14:paraId="655F75FC">
            <w:pPr>
              <w:pStyle w:val="6"/>
              <w:spacing w:before="221" w:line="221" w:lineRule="auto"/>
              <w:ind w:left="116"/>
              <w:rPr>
                <w:sz w:val="22"/>
                <w:szCs w:val="22"/>
              </w:rPr>
            </w:pPr>
            <w:r>
              <w:rPr>
                <w:spacing w:val="-6"/>
                <w:sz w:val="22"/>
                <w:szCs w:val="22"/>
              </w:rPr>
              <w:t>建桥园区</w:t>
            </w:r>
            <w:r>
              <w:rPr>
                <w:spacing w:val="-47"/>
                <w:sz w:val="22"/>
                <w:szCs w:val="22"/>
              </w:rPr>
              <w:t xml:space="preserve"> </w:t>
            </w:r>
            <w:r>
              <w:rPr>
                <w:rFonts w:ascii="Times New Roman" w:hAnsi="Times New Roman" w:eastAsia="Times New Roman" w:cs="Times New Roman"/>
                <w:spacing w:val="-6"/>
                <w:sz w:val="22"/>
                <w:szCs w:val="22"/>
              </w:rPr>
              <w:t>C</w:t>
            </w:r>
            <w:r>
              <w:rPr>
                <w:rFonts w:ascii="Times New Roman" w:hAnsi="Times New Roman" w:eastAsia="Times New Roman" w:cs="Times New Roman"/>
                <w:spacing w:val="24"/>
                <w:sz w:val="22"/>
                <w:szCs w:val="22"/>
              </w:rPr>
              <w:t xml:space="preserve"> </w:t>
            </w:r>
            <w:r>
              <w:rPr>
                <w:spacing w:val="-6"/>
                <w:sz w:val="22"/>
                <w:szCs w:val="22"/>
              </w:rPr>
              <w:t>区工</w:t>
            </w:r>
          </w:p>
          <w:p w14:paraId="6327FC3F">
            <w:pPr>
              <w:pStyle w:val="6"/>
              <w:spacing w:before="22" w:line="220" w:lineRule="auto"/>
              <w:ind w:left="131"/>
              <w:rPr>
                <w:sz w:val="22"/>
                <w:szCs w:val="22"/>
              </w:rPr>
            </w:pPr>
            <w:r>
              <w:rPr>
                <w:spacing w:val="-1"/>
                <w:sz w:val="22"/>
                <w:szCs w:val="22"/>
              </w:rPr>
              <w:t>业废水集中处理</w:t>
            </w:r>
          </w:p>
          <w:p w14:paraId="48AED3BD">
            <w:pPr>
              <w:pStyle w:val="6"/>
              <w:spacing w:before="20" w:line="221" w:lineRule="auto"/>
              <w:ind w:left="112"/>
              <w:rPr>
                <w:sz w:val="22"/>
                <w:szCs w:val="22"/>
              </w:rPr>
            </w:pPr>
            <w:r>
              <w:rPr>
                <w:spacing w:val="-2"/>
                <w:sz w:val="22"/>
                <w:szCs w:val="22"/>
              </w:rPr>
              <w:t>设施排污口上游</w:t>
            </w:r>
          </w:p>
          <w:p w14:paraId="0D6F955F">
            <w:pPr>
              <w:spacing w:before="43" w:line="189" w:lineRule="auto"/>
              <w:ind w:left="65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500m</w:t>
            </w:r>
          </w:p>
        </w:tc>
        <w:tc>
          <w:tcPr>
            <w:tcW w:w="1104" w:type="dxa"/>
            <w:vAlign w:val="top"/>
          </w:tcPr>
          <w:p w14:paraId="273E6677">
            <w:pPr>
              <w:spacing w:before="82" w:line="176" w:lineRule="auto"/>
              <w:ind w:left="414"/>
              <w:rPr>
                <w:rFonts w:ascii="Times New Roman" w:hAnsi="Times New Roman" w:eastAsia="Times New Roman" w:cs="Times New Roman"/>
                <w:sz w:val="22"/>
                <w:szCs w:val="22"/>
              </w:rPr>
            </w:pPr>
            <w:r>
              <w:rPr>
                <w:rFonts w:ascii="Times New Roman" w:hAnsi="Times New Roman" w:eastAsia="Times New Roman" w:cs="Times New Roman"/>
                <w:sz w:val="22"/>
                <w:szCs w:val="22"/>
              </w:rPr>
              <w:t>pH</w:t>
            </w:r>
          </w:p>
        </w:tc>
        <w:tc>
          <w:tcPr>
            <w:tcW w:w="1143" w:type="dxa"/>
            <w:vAlign w:val="top"/>
          </w:tcPr>
          <w:p w14:paraId="22383E96">
            <w:pPr>
              <w:spacing w:before="84" w:line="191"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7.2~7.4</w:t>
            </w:r>
          </w:p>
        </w:tc>
        <w:tc>
          <w:tcPr>
            <w:tcW w:w="908" w:type="dxa"/>
            <w:vAlign w:val="top"/>
          </w:tcPr>
          <w:p w14:paraId="0E0019E1">
            <w:pPr>
              <w:spacing w:before="79" w:line="179" w:lineRule="auto"/>
              <w:ind w:left="32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0.2</w:t>
            </w:r>
          </w:p>
        </w:tc>
        <w:tc>
          <w:tcPr>
            <w:tcW w:w="1108" w:type="dxa"/>
            <w:vAlign w:val="top"/>
          </w:tcPr>
          <w:p w14:paraId="4ECAA995">
            <w:pPr>
              <w:spacing w:before="79" w:line="179" w:lineRule="auto"/>
              <w:ind w:left="39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6~9</w:t>
            </w:r>
          </w:p>
        </w:tc>
        <w:tc>
          <w:tcPr>
            <w:tcW w:w="1202" w:type="dxa"/>
            <w:vAlign w:val="top"/>
          </w:tcPr>
          <w:p w14:paraId="7A680DC4">
            <w:pPr>
              <w:pStyle w:val="6"/>
              <w:spacing w:before="43" w:line="188" w:lineRule="auto"/>
              <w:ind w:left="392"/>
              <w:rPr>
                <w:sz w:val="22"/>
                <w:szCs w:val="22"/>
              </w:rPr>
            </w:pPr>
            <w:r>
              <w:rPr>
                <w:spacing w:val="-3"/>
                <w:sz w:val="22"/>
                <w:szCs w:val="22"/>
              </w:rPr>
              <w:t>达标</w:t>
            </w:r>
          </w:p>
        </w:tc>
        <w:tc>
          <w:tcPr>
            <w:tcW w:w="122" w:type="dxa"/>
            <w:tcBorders>
              <w:top w:val="nil"/>
              <w:bottom w:val="nil"/>
              <w:right w:val="single" w:color="000000" w:sz="6" w:space="0"/>
            </w:tcBorders>
            <w:vAlign w:val="top"/>
          </w:tcPr>
          <w:p w14:paraId="0241C98E">
            <w:pPr>
              <w:rPr>
                <w:rFonts w:ascii="Arial"/>
                <w:sz w:val="21"/>
              </w:rPr>
            </w:pPr>
          </w:p>
        </w:tc>
      </w:tr>
      <w:tr w14:paraId="36DCF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808" w:type="dxa"/>
            <w:vMerge w:val="continue"/>
            <w:tcBorders>
              <w:top w:val="nil"/>
              <w:left w:val="single" w:color="000000" w:sz="6" w:space="0"/>
              <w:bottom w:val="nil"/>
            </w:tcBorders>
            <w:vAlign w:val="top"/>
          </w:tcPr>
          <w:p w14:paraId="29D688D9">
            <w:pPr>
              <w:rPr>
                <w:rFonts w:ascii="Arial"/>
                <w:sz w:val="21"/>
              </w:rPr>
            </w:pPr>
          </w:p>
        </w:tc>
        <w:tc>
          <w:tcPr>
            <w:tcW w:w="113" w:type="dxa"/>
            <w:tcBorders>
              <w:top w:val="nil"/>
              <w:bottom w:val="nil"/>
            </w:tcBorders>
            <w:vAlign w:val="top"/>
          </w:tcPr>
          <w:p w14:paraId="113F6607">
            <w:pPr>
              <w:rPr>
                <w:rFonts w:ascii="Arial"/>
                <w:sz w:val="21"/>
              </w:rPr>
            </w:pPr>
          </w:p>
        </w:tc>
        <w:tc>
          <w:tcPr>
            <w:tcW w:w="686" w:type="dxa"/>
            <w:vMerge w:val="continue"/>
            <w:tcBorders>
              <w:top w:val="nil"/>
              <w:bottom w:val="nil"/>
            </w:tcBorders>
            <w:vAlign w:val="top"/>
          </w:tcPr>
          <w:p w14:paraId="1ECCC847">
            <w:pPr>
              <w:rPr>
                <w:rFonts w:ascii="Arial"/>
                <w:sz w:val="21"/>
              </w:rPr>
            </w:pPr>
          </w:p>
        </w:tc>
        <w:tc>
          <w:tcPr>
            <w:tcW w:w="1800" w:type="dxa"/>
            <w:vMerge w:val="continue"/>
            <w:tcBorders>
              <w:top w:val="nil"/>
              <w:bottom w:val="nil"/>
            </w:tcBorders>
            <w:vAlign w:val="top"/>
          </w:tcPr>
          <w:p w14:paraId="70116D5F">
            <w:pPr>
              <w:rPr>
                <w:rFonts w:ascii="Arial"/>
                <w:sz w:val="21"/>
              </w:rPr>
            </w:pPr>
          </w:p>
        </w:tc>
        <w:tc>
          <w:tcPr>
            <w:tcW w:w="1104" w:type="dxa"/>
            <w:vAlign w:val="top"/>
          </w:tcPr>
          <w:p w14:paraId="2EB8CD43">
            <w:pPr>
              <w:spacing w:before="91" w:line="187" w:lineRule="auto"/>
              <w:ind w:left="32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COD</w:t>
            </w:r>
          </w:p>
        </w:tc>
        <w:tc>
          <w:tcPr>
            <w:tcW w:w="1143" w:type="dxa"/>
            <w:vAlign w:val="top"/>
          </w:tcPr>
          <w:p w14:paraId="516DB11F">
            <w:pPr>
              <w:spacing w:before="97"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18</w:t>
            </w:r>
          </w:p>
        </w:tc>
        <w:tc>
          <w:tcPr>
            <w:tcW w:w="908" w:type="dxa"/>
            <w:vAlign w:val="top"/>
          </w:tcPr>
          <w:p w14:paraId="12737E88">
            <w:pPr>
              <w:spacing w:before="91" w:line="187" w:lineRule="auto"/>
              <w:ind w:left="26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0.45</w:t>
            </w:r>
          </w:p>
        </w:tc>
        <w:tc>
          <w:tcPr>
            <w:tcW w:w="1108" w:type="dxa"/>
            <w:vAlign w:val="top"/>
          </w:tcPr>
          <w:p w14:paraId="4CC1043B">
            <w:pPr>
              <w:spacing w:before="91" w:line="187" w:lineRule="auto"/>
              <w:ind w:left="44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w:t>
            </w:r>
          </w:p>
        </w:tc>
        <w:tc>
          <w:tcPr>
            <w:tcW w:w="1202" w:type="dxa"/>
            <w:vAlign w:val="top"/>
          </w:tcPr>
          <w:p w14:paraId="36BE592D">
            <w:pPr>
              <w:pStyle w:val="6"/>
              <w:spacing w:before="55" w:line="196" w:lineRule="auto"/>
              <w:ind w:left="392"/>
              <w:rPr>
                <w:sz w:val="22"/>
                <w:szCs w:val="22"/>
              </w:rPr>
            </w:pPr>
            <w:r>
              <w:rPr>
                <w:spacing w:val="-3"/>
                <w:sz w:val="22"/>
                <w:szCs w:val="22"/>
              </w:rPr>
              <w:t>达标</w:t>
            </w:r>
          </w:p>
        </w:tc>
        <w:tc>
          <w:tcPr>
            <w:tcW w:w="122" w:type="dxa"/>
            <w:tcBorders>
              <w:top w:val="nil"/>
              <w:bottom w:val="nil"/>
              <w:right w:val="single" w:color="000000" w:sz="6" w:space="0"/>
            </w:tcBorders>
            <w:vAlign w:val="top"/>
          </w:tcPr>
          <w:p w14:paraId="6B57F630">
            <w:pPr>
              <w:rPr>
                <w:rFonts w:ascii="Arial"/>
                <w:sz w:val="21"/>
              </w:rPr>
            </w:pPr>
          </w:p>
        </w:tc>
      </w:tr>
      <w:tr w14:paraId="6C52F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08" w:type="dxa"/>
            <w:vMerge w:val="continue"/>
            <w:tcBorders>
              <w:top w:val="nil"/>
              <w:left w:val="single" w:color="000000" w:sz="6" w:space="0"/>
              <w:bottom w:val="nil"/>
            </w:tcBorders>
            <w:vAlign w:val="top"/>
          </w:tcPr>
          <w:p w14:paraId="5ED020E6">
            <w:pPr>
              <w:rPr>
                <w:rFonts w:ascii="Arial"/>
                <w:sz w:val="21"/>
              </w:rPr>
            </w:pPr>
          </w:p>
        </w:tc>
        <w:tc>
          <w:tcPr>
            <w:tcW w:w="113" w:type="dxa"/>
            <w:tcBorders>
              <w:top w:val="nil"/>
              <w:bottom w:val="nil"/>
            </w:tcBorders>
            <w:vAlign w:val="top"/>
          </w:tcPr>
          <w:p w14:paraId="33792B7A">
            <w:pPr>
              <w:rPr>
                <w:rFonts w:ascii="Arial"/>
                <w:sz w:val="21"/>
              </w:rPr>
            </w:pPr>
          </w:p>
        </w:tc>
        <w:tc>
          <w:tcPr>
            <w:tcW w:w="686" w:type="dxa"/>
            <w:vMerge w:val="continue"/>
            <w:tcBorders>
              <w:top w:val="nil"/>
              <w:bottom w:val="nil"/>
            </w:tcBorders>
            <w:vAlign w:val="top"/>
          </w:tcPr>
          <w:p w14:paraId="4F3F0F94">
            <w:pPr>
              <w:rPr>
                <w:rFonts w:ascii="Arial"/>
                <w:sz w:val="21"/>
              </w:rPr>
            </w:pPr>
          </w:p>
        </w:tc>
        <w:tc>
          <w:tcPr>
            <w:tcW w:w="1800" w:type="dxa"/>
            <w:vMerge w:val="continue"/>
            <w:tcBorders>
              <w:top w:val="nil"/>
              <w:bottom w:val="nil"/>
            </w:tcBorders>
            <w:vAlign w:val="top"/>
          </w:tcPr>
          <w:p w14:paraId="7B7CB6E6">
            <w:pPr>
              <w:rPr>
                <w:rFonts w:ascii="Arial"/>
                <w:sz w:val="21"/>
              </w:rPr>
            </w:pPr>
          </w:p>
        </w:tc>
        <w:tc>
          <w:tcPr>
            <w:tcW w:w="1104" w:type="dxa"/>
            <w:vAlign w:val="top"/>
          </w:tcPr>
          <w:p w14:paraId="42E09180">
            <w:pPr>
              <w:spacing w:before="85" w:line="178" w:lineRule="auto"/>
              <w:ind w:left="283"/>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BOD</w:t>
            </w:r>
            <w:r>
              <w:rPr>
                <w:rFonts w:ascii="Times New Roman" w:hAnsi="Times New Roman" w:eastAsia="Times New Roman" w:cs="Times New Roman"/>
                <w:spacing w:val="-1"/>
                <w:position w:val="-1"/>
                <w:sz w:val="14"/>
                <w:szCs w:val="14"/>
              </w:rPr>
              <w:t>5</w:t>
            </w:r>
          </w:p>
        </w:tc>
        <w:tc>
          <w:tcPr>
            <w:tcW w:w="1143" w:type="dxa"/>
            <w:vAlign w:val="top"/>
          </w:tcPr>
          <w:p w14:paraId="0D711CB1">
            <w:pPr>
              <w:spacing w:before="89" w:line="192"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3.4~3.8</w:t>
            </w:r>
          </w:p>
        </w:tc>
        <w:tc>
          <w:tcPr>
            <w:tcW w:w="908" w:type="dxa"/>
            <w:vAlign w:val="top"/>
          </w:tcPr>
          <w:p w14:paraId="01B959C4">
            <w:pPr>
              <w:spacing w:before="85" w:line="178" w:lineRule="auto"/>
              <w:ind w:left="26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0.38</w:t>
            </w:r>
          </w:p>
        </w:tc>
        <w:tc>
          <w:tcPr>
            <w:tcW w:w="1108" w:type="dxa"/>
            <w:vAlign w:val="top"/>
          </w:tcPr>
          <w:p w14:paraId="6C8C9DCA">
            <w:pPr>
              <w:spacing w:before="85" w:line="178" w:lineRule="auto"/>
              <w:ind w:left="470"/>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1202" w:type="dxa"/>
            <w:vAlign w:val="top"/>
          </w:tcPr>
          <w:p w14:paraId="3D607249">
            <w:pPr>
              <w:pStyle w:val="6"/>
              <w:spacing w:before="46" w:line="190" w:lineRule="auto"/>
              <w:ind w:left="392"/>
              <w:rPr>
                <w:sz w:val="22"/>
                <w:szCs w:val="22"/>
              </w:rPr>
            </w:pPr>
            <w:r>
              <w:rPr>
                <w:spacing w:val="-3"/>
                <w:sz w:val="22"/>
                <w:szCs w:val="22"/>
              </w:rPr>
              <w:t>达标</w:t>
            </w:r>
          </w:p>
        </w:tc>
        <w:tc>
          <w:tcPr>
            <w:tcW w:w="122" w:type="dxa"/>
            <w:tcBorders>
              <w:top w:val="nil"/>
              <w:bottom w:val="nil"/>
              <w:right w:val="single" w:color="000000" w:sz="6" w:space="0"/>
            </w:tcBorders>
            <w:vAlign w:val="top"/>
          </w:tcPr>
          <w:p w14:paraId="4BF9FA21">
            <w:pPr>
              <w:rPr>
                <w:rFonts w:ascii="Arial"/>
                <w:sz w:val="21"/>
              </w:rPr>
            </w:pPr>
          </w:p>
        </w:tc>
      </w:tr>
      <w:tr w14:paraId="4EFC2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08" w:type="dxa"/>
            <w:vMerge w:val="continue"/>
            <w:tcBorders>
              <w:top w:val="nil"/>
              <w:left w:val="single" w:color="000000" w:sz="6" w:space="0"/>
              <w:bottom w:val="nil"/>
            </w:tcBorders>
            <w:vAlign w:val="top"/>
          </w:tcPr>
          <w:p w14:paraId="01078249">
            <w:pPr>
              <w:rPr>
                <w:rFonts w:ascii="Arial"/>
                <w:sz w:val="21"/>
              </w:rPr>
            </w:pPr>
          </w:p>
        </w:tc>
        <w:tc>
          <w:tcPr>
            <w:tcW w:w="113" w:type="dxa"/>
            <w:tcBorders>
              <w:top w:val="nil"/>
              <w:bottom w:val="nil"/>
            </w:tcBorders>
            <w:vAlign w:val="top"/>
          </w:tcPr>
          <w:p w14:paraId="58B2C84A">
            <w:pPr>
              <w:rPr>
                <w:rFonts w:ascii="Arial"/>
                <w:sz w:val="21"/>
              </w:rPr>
            </w:pPr>
          </w:p>
        </w:tc>
        <w:tc>
          <w:tcPr>
            <w:tcW w:w="686" w:type="dxa"/>
            <w:vMerge w:val="continue"/>
            <w:tcBorders>
              <w:top w:val="nil"/>
              <w:bottom w:val="nil"/>
            </w:tcBorders>
            <w:vAlign w:val="top"/>
          </w:tcPr>
          <w:p w14:paraId="2AA68A1C">
            <w:pPr>
              <w:rPr>
                <w:rFonts w:ascii="Arial"/>
                <w:sz w:val="21"/>
              </w:rPr>
            </w:pPr>
          </w:p>
        </w:tc>
        <w:tc>
          <w:tcPr>
            <w:tcW w:w="1800" w:type="dxa"/>
            <w:vMerge w:val="continue"/>
            <w:tcBorders>
              <w:top w:val="nil"/>
              <w:bottom w:val="nil"/>
            </w:tcBorders>
            <w:vAlign w:val="top"/>
          </w:tcPr>
          <w:p w14:paraId="2CAE1937">
            <w:pPr>
              <w:rPr>
                <w:rFonts w:ascii="Arial"/>
                <w:sz w:val="21"/>
              </w:rPr>
            </w:pPr>
          </w:p>
        </w:tc>
        <w:tc>
          <w:tcPr>
            <w:tcW w:w="1104" w:type="dxa"/>
            <w:vAlign w:val="top"/>
          </w:tcPr>
          <w:p w14:paraId="3353EBFB">
            <w:pPr>
              <w:spacing w:before="92" w:line="170" w:lineRule="auto"/>
              <w:ind w:left="234"/>
              <w:rPr>
                <w:rFonts w:ascii="Times New Roman" w:hAnsi="Times New Roman" w:eastAsia="Times New Roman" w:cs="Times New Roman"/>
                <w:sz w:val="22"/>
                <w:szCs w:val="22"/>
              </w:rPr>
            </w:pPr>
            <w:r>
              <w:rPr>
                <w:rFonts w:ascii="Times New Roman" w:hAnsi="Times New Roman" w:eastAsia="Times New Roman" w:cs="Times New Roman"/>
                <w:sz w:val="22"/>
                <w:szCs w:val="22"/>
              </w:rPr>
              <w:t>NH</w:t>
            </w:r>
            <w:r>
              <w:rPr>
                <w:rFonts w:ascii="Times New Roman" w:hAnsi="Times New Roman" w:eastAsia="Times New Roman" w:cs="Times New Roman"/>
                <w:spacing w:val="1"/>
                <w:position w:val="-1"/>
                <w:sz w:val="14"/>
                <w:szCs w:val="14"/>
              </w:rPr>
              <w:t>3</w:t>
            </w:r>
            <w:r>
              <w:rPr>
                <w:rFonts w:ascii="Times New Roman" w:hAnsi="Times New Roman" w:eastAsia="Times New Roman" w:cs="Times New Roman"/>
                <w:spacing w:val="1"/>
                <w:sz w:val="22"/>
                <w:szCs w:val="22"/>
              </w:rPr>
              <w:t>-N</w:t>
            </w:r>
          </w:p>
        </w:tc>
        <w:tc>
          <w:tcPr>
            <w:tcW w:w="1143" w:type="dxa"/>
            <w:vAlign w:val="top"/>
          </w:tcPr>
          <w:p w14:paraId="5408C934">
            <w:pPr>
              <w:spacing w:before="90" w:line="172" w:lineRule="auto"/>
              <w:ind w:left="152"/>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1.32~</w:t>
            </w:r>
            <w:r>
              <w:rPr>
                <w:rFonts w:ascii="Times New Roman" w:hAnsi="Times New Roman" w:eastAsia="Times New Roman" w:cs="Times New Roman"/>
                <w:spacing w:val="-27"/>
                <w:sz w:val="22"/>
                <w:szCs w:val="22"/>
              </w:rPr>
              <w:t xml:space="preserve"> </w:t>
            </w:r>
            <w:r>
              <w:rPr>
                <w:rFonts w:ascii="Times New Roman" w:hAnsi="Times New Roman" w:eastAsia="Times New Roman" w:cs="Times New Roman"/>
                <w:spacing w:val="-6"/>
                <w:sz w:val="22"/>
                <w:szCs w:val="22"/>
              </w:rPr>
              <w:t>1.36</w:t>
            </w:r>
          </w:p>
        </w:tc>
        <w:tc>
          <w:tcPr>
            <w:tcW w:w="908" w:type="dxa"/>
            <w:vAlign w:val="top"/>
          </w:tcPr>
          <w:p w14:paraId="7A4CA9C0">
            <w:pPr>
              <w:spacing w:before="90" w:line="172" w:lineRule="auto"/>
              <w:ind w:left="26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0.68</w:t>
            </w:r>
          </w:p>
        </w:tc>
        <w:tc>
          <w:tcPr>
            <w:tcW w:w="1108" w:type="dxa"/>
            <w:vAlign w:val="top"/>
          </w:tcPr>
          <w:p w14:paraId="79BEF800">
            <w:pPr>
              <w:spacing w:before="90" w:line="172" w:lineRule="auto"/>
              <w:ind w:left="42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1202" w:type="dxa"/>
            <w:vAlign w:val="top"/>
          </w:tcPr>
          <w:p w14:paraId="1F696307">
            <w:pPr>
              <w:pStyle w:val="6"/>
              <w:spacing w:before="53" w:line="183" w:lineRule="auto"/>
              <w:ind w:left="392"/>
              <w:rPr>
                <w:sz w:val="22"/>
                <w:szCs w:val="22"/>
              </w:rPr>
            </w:pPr>
            <w:r>
              <w:rPr>
                <w:spacing w:val="-3"/>
                <w:sz w:val="22"/>
                <w:szCs w:val="22"/>
              </w:rPr>
              <w:t>达标</w:t>
            </w:r>
          </w:p>
        </w:tc>
        <w:tc>
          <w:tcPr>
            <w:tcW w:w="122" w:type="dxa"/>
            <w:tcBorders>
              <w:top w:val="nil"/>
              <w:bottom w:val="nil"/>
              <w:right w:val="single" w:color="000000" w:sz="6" w:space="0"/>
            </w:tcBorders>
            <w:vAlign w:val="top"/>
          </w:tcPr>
          <w:p w14:paraId="5BF3CF92">
            <w:pPr>
              <w:rPr>
                <w:rFonts w:ascii="Arial"/>
                <w:sz w:val="21"/>
              </w:rPr>
            </w:pPr>
          </w:p>
        </w:tc>
      </w:tr>
      <w:tr w14:paraId="2E651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08" w:type="dxa"/>
            <w:vMerge w:val="continue"/>
            <w:tcBorders>
              <w:top w:val="nil"/>
              <w:left w:val="single" w:color="000000" w:sz="6" w:space="0"/>
              <w:bottom w:val="nil"/>
            </w:tcBorders>
            <w:vAlign w:val="top"/>
          </w:tcPr>
          <w:p w14:paraId="33D07931">
            <w:pPr>
              <w:rPr>
                <w:rFonts w:ascii="Arial"/>
                <w:sz w:val="21"/>
              </w:rPr>
            </w:pPr>
          </w:p>
        </w:tc>
        <w:tc>
          <w:tcPr>
            <w:tcW w:w="113" w:type="dxa"/>
            <w:tcBorders>
              <w:top w:val="nil"/>
              <w:bottom w:val="nil"/>
            </w:tcBorders>
            <w:vAlign w:val="top"/>
          </w:tcPr>
          <w:p w14:paraId="32D8712F">
            <w:pPr>
              <w:rPr>
                <w:rFonts w:ascii="Arial"/>
                <w:sz w:val="21"/>
              </w:rPr>
            </w:pPr>
          </w:p>
        </w:tc>
        <w:tc>
          <w:tcPr>
            <w:tcW w:w="686" w:type="dxa"/>
            <w:vMerge w:val="continue"/>
            <w:tcBorders>
              <w:top w:val="nil"/>
              <w:bottom w:val="nil"/>
            </w:tcBorders>
            <w:vAlign w:val="top"/>
          </w:tcPr>
          <w:p w14:paraId="565090D9">
            <w:pPr>
              <w:rPr>
                <w:rFonts w:ascii="Arial"/>
                <w:sz w:val="21"/>
              </w:rPr>
            </w:pPr>
          </w:p>
        </w:tc>
        <w:tc>
          <w:tcPr>
            <w:tcW w:w="1800" w:type="dxa"/>
            <w:vMerge w:val="continue"/>
            <w:tcBorders>
              <w:top w:val="nil"/>
            </w:tcBorders>
            <w:vAlign w:val="top"/>
          </w:tcPr>
          <w:p w14:paraId="514376C7">
            <w:pPr>
              <w:rPr>
                <w:rFonts w:ascii="Arial"/>
                <w:sz w:val="21"/>
              </w:rPr>
            </w:pPr>
          </w:p>
        </w:tc>
        <w:tc>
          <w:tcPr>
            <w:tcW w:w="1104" w:type="dxa"/>
            <w:vAlign w:val="top"/>
          </w:tcPr>
          <w:p w14:paraId="5C6F15BF">
            <w:pPr>
              <w:pStyle w:val="6"/>
              <w:spacing w:before="62" w:line="191" w:lineRule="auto"/>
              <w:ind w:left="227"/>
              <w:rPr>
                <w:sz w:val="22"/>
                <w:szCs w:val="22"/>
              </w:rPr>
            </w:pPr>
            <w:r>
              <w:rPr>
                <w:spacing w:val="-3"/>
                <w:sz w:val="22"/>
                <w:szCs w:val="22"/>
              </w:rPr>
              <w:t>石油类</w:t>
            </w:r>
          </w:p>
        </w:tc>
        <w:tc>
          <w:tcPr>
            <w:tcW w:w="1143" w:type="dxa"/>
            <w:vAlign w:val="top"/>
          </w:tcPr>
          <w:p w14:paraId="68C5FF24">
            <w:pPr>
              <w:spacing w:before="98" w:line="182" w:lineRule="auto"/>
              <w:ind w:left="3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0.01L</w:t>
            </w:r>
          </w:p>
        </w:tc>
        <w:tc>
          <w:tcPr>
            <w:tcW w:w="908" w:type="dxa"/>
            <w:vAlign w:val="top"/>
          </w:tcPr>
          <w:p w14:paraId="0324011C">
            <w:pPr>
              <w:spacing w:before="93" w:line="186"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08" w:type="dxa"/>
            <w:vAlign w:val="top"/>
          </w:tcPr>
          <w:p w14:paraId="0B3B42AA">
            <w:pPr>
              <w:spacing w:before="98" w:line="182" w:lineRule="auto"/>
              <w:ind w:left="443"/>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w:t>
            </w:r>
          </w:p>
        </w:tc>
        <w:tc>
          <w:tcPr>
            <w:tcW w:w="1202" w:type="dxa"/>
            <w:vAlign w:val="top"/>
          </w:tcPr>
          <w:p w14:paraId="0DBCD691">
            <w:pPr>
              <w:pStyle w:val="6"/>
              <w:spacing w:before="62" w:line="191" w:lineRule="auto"/>
              <w:ind w:left="392"/>
              <w:rPr>
                <w:sz w:val="22"/>
                <w:szCs w:val="22"/>
              </w:rPr>
            </w:pPr>
            <w:r>
              <w:rPr>
                <w:spacing w:val="-3"/>
                <w:sz w:val="22"/>
                <w:szCs w:val="22"/>
              </w:rPr>
              <w:t>达标</w:t>
            </w:r>
          </w:p>
        </w:tc>
        <w:tc>
          <w:tcPr>
            <w:tcW w:w="122" w:type="dxa"/>
            <w:tcBorders>
              <w:top w:val="nil"/>
              <w:bottom w:val="nil"/>
              <w:right w:val="single" w:color="000000" w:sz="6" w:space="0"/>
            </w:tcBorders>
            <w:vAlign w:val="top"/>
          </w:tcPr>
          <w:p w14:paraId="247BE0D8">
            <w:pPr>
              <w:rPr>
                <w:rFonts w:ascii="Arial"/>
                <w:sz w:val="21"/>
              </w:rPr>
            </w:pPr>
          </w:p>
        </w:tc>
      </w:tr>
      <w:tr w14:paraId="05481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08" w:type="dxa"/>
            <w:vMerge w:val="continue"/>
            <w:tcBorders>
              <w:top w:val="nil"/>
              <w:left w:val="single" w:color="000000" w:sz="6" w:space="0"/>
              <w:bottom w:val="nil"/>
            </w:tcBorders>
            <w:vAlign w:val="top"/>
          </w:tcPr>
          <w:p w14:paraId="20FE31A6">
            <w:pPr>
              <w:rPr>
                <w:rFonts w:ascii="Arial"/>
                <w:sz w:val="21"/>
              </w:rPr>
            </w:pPr>
          </w:p>
        </w:tc>
        <w:tc>
          <w:tcPr>
            <w:tcW w:w="113" w:type="dxa"/>
            <w:tcBorders>
              <w:top w:val="nil"/>
              <w:bottom w:val="nil"/>
            </w:tcBorders>
            <w:vAlign w:val="top"/>
          </w:tcPr>
          <w:p w14:paraId="2A0ED704">
            <w:pPr>
              <w:rPr>
                <w:rFonts w:ascii="Arial"/>
                <w:sz w:val="21"/>
              </w:rPr>
            </w:pPr>
          </w:p>
        </w:tc>
        <w:tc>
          <w:tcPr>
            <w:tcW w:w="686" w:type="dxa"/>
            <w:vMerge w:val="continue"/>
            <w:tcBorders>
              <w:top w:val="nil"/>
              <w:bottom w:val="nil"/>
            </w:tcBorders>
            <w:vAlign w:val="top"/>
          </w:tcPr>
          <w:p w14:paraId="7A3B99CE">
            <w:pPr>
              <w:rPr>
                <w:rFonts w:ascii="Arial"/>
                <w:sz w:val="21"/>
              </w:rPr>
            </w:pPr>
          </w:p>
        </w:tc>
        <w:tc>
          <w:tcPr>
            <w:tcW w:w="1800" w:type="dxa"/>
            <w:vMerge w:val="restart"/>
            <w:tcBorders>
              <w:bottom w:val="nil"/>
            </w:tcBorders>
            <w:vAlign w:val="top"/>
          </w:tcPr>
          <w:p w14:paraId="16053BFE">
            <w:pPr>
              <w:pStyle w:val="6"/>
              <w:spacing w:before="72"/>
              <w:ind w:left="134" w:right="129" w:hanging="1"/>
              <w:jc w:val="both"/>
              <w:rPr>
                <w:sz w:val="22"/>
                <w:szCs w:val="22"/>
              </w:rPr>
            </w:pPr>
            <w:r>
              <w:rPr>
                <w:spacing w:val="-2"/>
                <w:sz w:val="22"/>
                <w:szCs w:val="22"/>
              </w:rPr>
              <w:t>跳磴河例行监测断面（沟口村例行断面，大九污水处理厂排污口</w:t>
            </w:r>
            <w:r>
              <w:rPr>
                <w:spacing w:val="-4"/>
                <w:sz w:val="22"/>
                <w:szCs w:val="22"/>
              </w:rPr>
              <w:t>下游约</w:t>
            </w:r>
            <w:r>
              <w:rPr>
                <w:spacing w:val="-49"/>
                <w:sz w:val="22"/>
                <w:szCs w:val="22"/>
              </w:rPr>
              <w:t xml:space="preserve"> </w:t>
            </w:r>
            <w:r>
              <w:rPr>
                <w:rFonts w:ascii="Times New Roman" w:hAnsi="Times New Roman" w:eastAsia="Times New Roman" w:cs="Times New Roman"/>
                <w:spacing w:val="-4"/>
                <w:sz w:val="22"/>
                <w:szCs w:val="22"/>
              </w:rPr>
              <w:t>2000m</w:t>
            </w:r>
            <w:r>
              <w:rPr>
                <w:spacing w:val="-4"/>
                <w:sz w:val="22"/>
                <w:szCs w:val="22"/>
              </w:rPr>
              <w:t>）</w:t>
            </w:r>
          </w:p>
        </w:tc>
        <w:tc>
          <w:tcPr>
            <w:tcW w:w="1104" w:type="dxa"/>
            <w:vAlign w:val="top"/>
          </w:tcPr>
          <w:p w14:paraId="569221F6">
            <w:pPr>
              <w:spacing w:before="93" w:line="169" w:lineRule="auto"/>
              <w:ind w:left="414"/>
              <w:rPr>
                <w:rFonts w:ascii="Times New Roman" w:hAnsi="Times New Roman" w:eastAsia="Times New Roman" w:cs="Times New Roman"/>
                <w:sz w:val="22"/>
                <w:szCs w:val="22"/>
              </w:rPr>
            </w:pPr>
            <w:r>
              <w:rPr>
                <w:rFonts w:ascii="Times New Roman" w:hAnsi="Times New Roman" w:eastAsia="Times New Roman" w:cs="Times New Roman"/>
                <w:sz w:val="22"/>
                <w:szCs w:val="22"/>
              </w:rPr>
              <w:t>pH</w:t>
            </w:r>
          </w:p>
        </w:tc>
        <w:tc>
          <w:tcPr>
            <w:tcW w:w="1143" w:type="dxa"/>
            <w:vAlign w:val="top"/>
          </w:tcPr>
          <w:p w14:paraId="68CF66FA">
            <w:pPr>
              <w:spacing w:before="94" w:line="18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7.0~7.</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2"/>
                <w:sz w:val="20"/>
                <w:szCs w:val="20"/>
              </w:rPr>
              <w:t>1</w:t>
            </w:r>
          </w:p>
        </w:tc>
        <w:tc>
          <w:tcPr>
            <w:tcW w:w="908" w:type="dxa"/>
            <w:vAlign w:val="top"/>
          </w:tcPr>
          <w:p w14:paraId="3A24C0BC">
            <w:pPr>
              <w:spacing w:before="90" w:line="172" w:lineRule="auto"/>
              <w:ind w:left="26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0.05</w:t>
            </w:r>
          </w:p>
        </w:tc>
        <w:tc>
          <w:tcPr>
            <w:tcW w:w="1108" w:type="dxa"/>
            <w:vAlign w:val="top"/>
          </w:tcPr>
          <w:p w14:paraId="7C339187">
            <w:pPr>
              <w:spacing w:before="90" w:line="172" w:lineRule="auto"/>
              <w:ind w:left="39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6~9</w:t>
            </w:r>
          </w:p>
        </w:tc>
        <w:tc>
          <w:tcPr>
            <w:tcW w:w="1202" w:type="dxa"/>
            <w:vAlign w:val="top"/>
          </w:tcPr>
          <w:p w14:paraId="09772692">
            <w:pPr>
              <w:pStyle w:val="6"/>
              <w:spacing w:before="52" w:line="184" w:lineRule="auto"/>
              <w:ind w:left="392"/>
              <w:rPr>
                <w:sz w:val="22"/>
                <w:szCs w:val="22"/>
              </w:rPr>
            </w:pPr>
            <w:r>
              <w:rPr>
                <w:spacing w:val="-3"/>
                <w:sz w:val="22"/>
                <w:szCs w:val="22"/>
              </w:rPr>
              <w:t>达标</w:t>
            </w:r>
          </w:p>
        </w:tc>
        <w:tc>
          <w:tcPr>
            <w:tcW w:w="122" w:type="dxa"/>
            <w:tcBorders>
              <w:top w:val="nil"/>
              <w:bottom w:val="nil"/>
              <w:right w:val="single" w:color="000000" w:sz="6" w:space="0"/>
            </w:tcBorders>
            <w:vAlign w:val="top"/>
          </w:tcPr>
          <w:p w14:paraId="4A664724">
            <w:pPr>
              <w:rPr>
                <w:rFonts w:ascii="Arial"/>
                <w:sz w:val="21"/>
              </w:rPr>
            </w:pPr>
          </w:p>
        </w:tc>
      </w:tr>
      <w:tr w14:paraId="126A3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08" w:type="dxa"/>
            <w:vMerge w:val="continue"/>
            <w:tcBorders>
              <w:top w:val="nil"/>
              <w:left w:val="single" w:color="000000" w:sz="6" w:space="0"/>
              <w:bottom w:val="nil"/>
            </w:tcBorders>
            <w:vAlign w:val="top"/>
          </w:tcPr>
          <w:p w14:paraId="1AAE88F4">
            <w:pPr>
              <w:rPr>
                <w:rFonts w:ascii="Arial"/>
                <w:sz w:val="21"/>
              </w:rPr>
            </w:pPr>
          </w:p>
        </w:tc>
        <w:tc>
          <w:tcPr>
            <w:tcW w:w="113" w:type="dxa"/>
            <w:tcBorders>
              <w:top w:val="nil"/>
              <w:bottom w:val="nil"/>
            </w:tcBorders>
            <w:vAlign w:val="top"/>
          </w:tcPr>
          <w:p w14:paraId="4B12F575">
            <w:pPr>
              <w:rPr>
                <w:rFonts w:ascii="Arial"/>
                <w:sz w:val="21"/>
              </w:rPr>
            </w:pPr>
          </w:p>
        </w:tc>
        <w:tc>
          <w:tcPr>
            <w:tcW w:w="686" w:type="dxa"/>
            <w:vMerge w:val="continue"/>
            <w:tcBorders>
              <w:top w:val="nil"/>
              <w:bottom w:val="nil"/>
            </w:tcBorders>
            <w:vAlign w:val="top"/>
          </w:tcPr>
          <w:p w14:paraId="5D11E120">
            <w:pPr>
              <w:rPr>
                <w:rFonts w:ascii="Arial"/>
                <w:sz w:val="21"/>
              </w:rPr>
            </w:pPr>
          </w:p>
        </w:tc>
        <w:tc>
          <w:tcPr>
            <w:tcW w:w="1800" w:type="dxa"/>
            <w:vMerge w:val="continue"/>
            <w:tcBorders>
              <w:top w:val="nil"/>
              <w:bottom w:val="nil"/>
            </w:tcBorders>
            <w:vAlign w:val="top"/>
          </w:tcPr>
          <w:p w14:paraId="2671DE73">
            <w:pPr>
              <w:rPr>
                <w:rFonts w:ascii="Arial"/>
                <w:sz w:val="21"/>
              </w:rPr>
            </w:pPr>
          </w:p>
        </w:tc>
        <w:tc>
          <w:tcPr>
            <w:tcW w:w="1104" w:type="dxa"/>
            <w:vAlign w:val="top"/>
          </w:tcPr>
          <w:p w14:paraId="032E4277">
            <w:pPr>
              <w:spacing w:before="99" w:line="181" w:lineRule="auto"/>
              <w:ind w:left="32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COD</w:t>
            </w:r>
          </w:p>
        </w:tc>
        <w:tc>
          <w:tcPr>
            <w:tcW w:w="1143" w:type="dxa"/>
            <w:vAlign w:val="top"/>
          </w:tcPr>
          <w:p w14:paraId="50D2A88D">
            <w:pPr>
              <w:spacing w:before="98" w:line="199"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08" w:type="dxa"/>
            <w:vAlign w:val="top"/>
          </w:tcPr>
          <w:p w14:paraId="76106AA6">
            <w:pPr>
              <w:spacing w:before="94" w:line="185"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08" w:type="dxa"/>
            <w:vAlign w:val="top"/>
          </w:tcPr>
          <w:p w14:paraId="44571B13">
            <w:pPr>
              <w:spacing w:before="99" w:line="181" w:lineRule="auto"/>
              <w:ind w:left="44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w:t>
            </w:r>
          </w:p>
        </w:tc>
        <w:tc>
          <w:tcPr>
            <w:tcW w:w="1202" w:type="dxa"/>
            <w:vAlign w:val="top"/>
          </w:tcPr>
          <w:p w14:paraId="5FB20C8D">
            <w:pPr>
              <w:pStyle w:val="6"/>
              <w:spacing w:before="61" w:line="192" w:lineRule="auto"/>
              <w:ind w:left="392"/>
              <w:rPr>
                <w:sz w:val="22"/>
                <w:szCs w:val="22"/>
              </w:rPr>
            </w:pPr>
            <w:r>
              <w:rPr>
                <w:spacing w:val="-3"/>
                <w:sz w:val="22"/>
                <w:szCs w:val="22"/>
              </w:rPr>
              <w:t>达标</w:t>
            </w:r>
          </w:p>
        </w:tc>
        <w:tc>
          <w:tcPr>
            <w:tcW w:w="122" w:type="dxa"/>
            <w:tcBorders>
              <w:top w:val="nil"/>
              <w:bottom w:val="nil"/>
              <w:right w:val="single" w:color="000000" w:sz="6" w:space="0"/>
            </w:tcBorders>
            <w:vAlign w:val="top"/>
          </w:tcPr>
          <w:p w14:paraId="65131253">
            <w:pPr>
              <w:rPr>
                <w:rFonts w:ascii="Arial"/>
                <w:sz w:val="21"/>
              </w:rPr>
            </w:pPr>
          </w:p>
        </w:tc>
      </w:tr>
      <w:tr w14:paraId="43B28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08" w:type="dxa"/>
            <w:vMerge w:val="continue"/>
            <w:tcBorders>
              <w:top w:val="nil"/>
              <w:left w:val="single" w:color="000000" w:sz="6" w:space="0"/>
              <w:bottom w:val="nil"/>
            </w:tcBorders>
            <w:vAlign w:val="top"/>
          </w:tcPr>
          <w:p w14:paraId="430C8757">
            <w:pPr>
              <w:rPr>
                <w:rFonts w:ascii="Arial"/>
                <w:sz w:val="21"/>
              </w:rPr>
            </w:pPr>
          </w:p>
        </w:tc>
        <w:tc>
          <w:tcPr>
            <w:tcW w:w="113" w:type="dxa"/>
            <w:tcBorders>
              <w:top w:val="nil"/>
              <w:bottom w:val="nil"/>
            </w:tcBorders>
            <w:vAlign w:val="top"/>
          </w:tcPr>
          <w:p w14:paraId="03685515">
            <w:pPr>
              <w:rPr>
                <w:rFonts w:ascii="Arial"/>
                <w:sz w:val="21"/>
              </w:rPr>
            </w:pPr>
          </w:p>
        </w:tc>
        <w:tc>
          <w:tcPr>
            <w:tcW w:w="686" w:type="dxa"/>
            <w:vMerge w:val="continue"/>
            <w:tcBorders>
              <w:top w:val="nil"/>
              <w:bottom w:val="nil"/>
            </w:tcBorders>
            <w:vAlign w:val="top"/>
          </w:tcPr>
          <w:p w14:paraId="58992EB3">
            <w:pPr>
              <w:rPr>
                <w:rFonts w:ascii="Arial"/>
                <w:sz w:val="21"/>
              </w:rPr>
            </w:pPr>
          </w:p>
        </w:tc>
        <w:tc>
          <w:tcPr>
            <w:tcW w:w="1800" w:type="dxa"/>
            <w:vMerge w:val="continue"/>
            <w:tcBorders>
              <w:top w:val="nil"/>
              <w:bottom w:val="nil"/>
            </w:tcBorders>
            <w:vAlign w:val="top"/>
          </w:tcPr>
          <w:p w14:paraId="1975D851">
            <w:pPr>
              <w:rPr>
                <w:rFonts w:ascii="Arial"/>
                <w:sz w:val="21"/>
              </w:rPr>
            </w:pPr>
          </w:p>
        </w:tc>
        <w:tc>
          <w:tcPr>
            <w:tcW w:w="1104" w:type="dxa"/>
            <w:vAlign w:val="top"/>
          </w:tcPr>
          <w:p w14:paraId="05658902">
            <w:pPr>
              <w:spacing w:before="89" w:line="173" w:lineRule="auto"/>
              <w:ind w:left="283"/>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BOD</w:t>
            </w:r>
            <w:r>
              <w:rPr>
                <w:rFonts w:ascii="Times New Roman" w:hAnsi="Times New Roman" w:eastAsia="Times New Roman" w:cs="Times New Roman"/>
                <w:spacing w:val="-1"/>
                <w:position w:val="-1"/>
                <w:sz w:val="14"/>
                <w:szCs w:val="14"/>
              </w:rPr>
              <w:t>5</w:t>
            </w:r>
          </w:p>
        </w:tc>
        <w:tc>
          <w:tcPr>
            <w:tcW w:w="1143" w:type="dxa"/>
            <w:vAlign w:val="top"/>
          </w:tcPr>
          <w:p w14:paraId="1E4791C8">
            <w:pPr>
              <w:spacing w:before="92" w:line="187"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3.0~3.9</w:t>
            </w:r>
          </w:p>
        </w:tc>
        <w:tc>
          <w:tcPr>
            <w:tcW w:w="908" w:type="dxa"/>
            <w:vAlign w:val="top"/>
          </w:tcPr>
          <w:p w14:paraId="13CE1B28">
            <w:pPr>
              <w:spacing w:before="89" w:line="173" w:lineRule="auto"/>
              <w:ind w:left="26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0.39</w:t>
            </w:r>
          </w:p>
        </w:tc>
        <w:tc>
          <w:tcPr>
            <w:tcW w:w="1108" w:type="dxa"/>
            <w:vAlign w:val="top"/>
          </w:tcPr>
          <w:p w14:paraId="791D0877">
            <w:pPr>
              <w:spacing w:before="89" w:line="173" w:lineRule="auto"/>
              <w:ind w:left="470"/>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1202" w:type="dxa"/>
            <w:vAlign w:val="top"/>
          </w:tcPr>
          <w:p w14:paraId="6CD7DC3D">
            <w:pPr>
              <w:pStyle w:val="6"/>
              <w:spacing w:before="51" w:line="185" w:lineRule="auto"/>
              <w:ind w:left="392"/>
              <w:rPr>
                <w:sz w:val="22"/>
                <w:szCs w:val="22"/>
              </w:rPr>
            </w:pPr>
            <w:r>
              <w:rPr>
                <w:spacing w:val="-3"/>
                <w:sz w:val="22"/>
                <w:szCs w:val="22"/>
              </w:rPr>
              <w:t>达标</w:t>
            </w:r>
          </w:p>
        </w:tc>
        <w:tc>
          <w:tcPr>
            <w:tcW w:w="122" w:type="dxa"/>
            <w:tcBorders>
              <w:top w:val="nil"/>
              <w:bottom w:val="nil"/>
              <w:right w:val="single" w:color="000000" w:sz="6" w:space="0"/>
            </w:tcBorders>
            <w:vAlign w:val="top"/>
          </w:tcPr>
          <w:p w14:paraId="199117F6">
            <w:pPr>
              <w:rPr>
                <w:rFonts w:ascii="Arial"/>
                <w:sz w:val="21"/>
              </w:rPr>
            </w:pPr>
          </w:p>
        </w:tc>
      </w:tr>
      <w:tr w14:paraId="222CE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808" w:type="dxa"/>
            <w:vMerge w:val="continue"/>
            <w:tcBorders>
              <w:top w:val="nil"/>
              <w:left w:val="single" w:color="000000" w:sz="6" w:space="0"/>
              <w:bottom w:val="nil"/>
            </w:tcBorders>
            <w:vAlign w:val="top"/>
          </w:tcPr>
          <w:p w14:paraId="5EBDC831">
            <w:pPr>
              <w:rPr>
                <w:rFonts w:ascii="Arial"/>
                <w:sz w:val="21"/>
              </w:rPr>
            </w:pPr>
          </w:p>
        </w:tc>
        <w:tc>
          <w:tcPr>
            <w:tcW w:w="113" w:type="dxa"/>
            <w:tcBorders>
              <w:top w:val="nil"/>
              <w:bottom w:val="nil"/>
            </w:tcBorders>
            <w:vAlign w:val="top"/>
          </w:tcPr>
          <w:p w14:paraId="0B498EE1">
            <w:pPr>
              <w:rPr>
                <w:rFonts w:ascii="Arial"/>
                <w:sz w:val="21"/>
              </w:rPr>
            </w:pPr>
          </w:p>
        </w:tc>
        <w:tc>
          <w:tcPr>
            <w:tcW w:w="686" w:type="dxa"/>
            <w:vMerge w:val="continue"/>
            <w:tcBorders>
              <w:top w:val="nil"/>
              <w:bottom w:val="nil"/>
            </w:tcBorders>
            <w:vAlign w:val="top"/>
          </w:tcPr>
          <w:p w14:paraId="76AB0D45">
            <w:pPr>
              <w:rPr>
                <w:rFonts w:ascii="Arial"/>
                <w:sz w:val="21"/>
              </w:rPr>
            </w:pPr>
          </w:p>
        </w:tc>
        <w:tc>
          <w:tcPr>
            <w:tcW w:w="1800" w:type="dxa"/>
            <w:vMerge w:val="continue"/>
            <w:tcBorders>
              <w:top w:val="nil"/>
              <w:bottom w:val="nil"/>
            </w:tcBorders>
            <w:vAlign w:val="top"/>
          </w:tcPr>
          <w:p w14:paraId="78AD8289">
            <w:pPr>
              <w:rPr>
                <w:rFonts w:ascii="Arial"/>
                <w:sz w:val="21"/>
              </w:rPr>
            </w:pPr>
          </w:p>
        </w:tc>
        <w:tc>
          <w:tcPr>
            <w:tcW w:w="1104" w:type="dxa"/>
            <w:vAlign w:val="top"/>
          </w:tcPr>
          <w:p w14:paraId="0D99AED6">
            <w:pPr>
              <w:spacing w:before="100" w:line="179" w:lineRule="auto"/>
              <w:ind w:left="234"/>
              <w:rPr>
                <w:rFonts w:ascii="Times New Roman" w:hAnsi="Times New Roman" w:eastAsia="Times New Roman" w:cs="Times New Roman"/>
                <w:sz w:val="22"/>
                <w:szCs w:val="22"/>
              </w:rPr>
            </w:pPr>
            <w:r>
              <w:rPr>
                <w:rFonts w:ascii="Times New Roman" w:hAnsi="Times New Roman" w:eastAsia="Times New Roman" w:cs="Times New Roman"/>
                <w:sz w:val="22"/>
                <w:szCs w:val="22"/>
              </w:rPr>
              <w:t>NH</w:t>
            </w:r>
            <w:r>
              <w:rPr>
                <w:rFonts w:ascii="Times New Roman" w:hAnsi="Times New Roman" w:eastAsia="Times New Roman" w:cs="Times New Roman"/>
                <w:spacing w:val="1"/>
                <w:position w:val="-1"/>
                <w:sz w:val="14"/>
                <w:szCs w:val="14"/>
              </w:rPr>
              <w:t>3</w:t>
            </w:r>
            <w:r>
              <w:rPr>
                <w:rFonts w:ascii="Times New Roman" w:hAnsi="Times New Roman" w:eastAsia="Times New Roman" w:cs="Times New Roman"/>
                <w:spacing w:val="1"/>
                <w:sz w:val="22"/>
                <w:szCs w:val="22"/>
              </w:rPr>
              <w:t>-N</w:t>
            </w:r>
          </w:p>
        </w:tc>
        <w:tc>
          <w:tcPr>
            <w:tcW w:w="1143" w:type="dxa"/>
            <w:vAlign w:val="top"/>
          </w:tcPr>
          <w:p w14:paraId="0444353E">
            <w:pPr>
              <w:spacing w:before="93" w:line="185" w:lineRule="auto"/>
              <w:ind w:left="5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08" w:type="dxa"/>
            <w:vAlign w:val="top"/>
          </w:tcPr>
          <w:p w14:paraId="1275F2C5">
            <w:pPr>
              <w:spacing w:before="93" w:line="185"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08" w:type="dxa"/>
            <w:vAlign w:val="top"/>
          </w:tcPr>
          <w:p w14:paraId="6A026B99">
            <w:pPr>
              <w:spacing w:before="97" w:line="182" w:lineRule="auto"/>
              <w:ind w:left="42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1202" w:type="dxa"/>
            <w:vAlign w:val="top"/>
          </w:tcPr>
          <w:p w14:paraId="30924EAF">
            <w:pPr>
              <w:pStyle w:val="6"/>
              <w:spacing w:before="59" w:line="193" w:lineRule="auto"/>
              <w:ind w:left="392"/>
              <w:rPr>
                <w:sz w:val="22"/>
                <w:szCs w:val="22"/>
              </w:rPr>
            </w:pPr>
            <w:r>
              <w:rPr>
                <w:spacing w:val="-3"/>
                <w:sz w:val="22"/>
                <w:szCs w:val="22"/>
              </w:rPr>
              <w:t>达标</w:t>
            </w:r>
          </w:p>
        </w:tc>
        <w:tc>
          <w:tcPr>
            <w:tcW w:w="122" w:type="dxa"/>
            <w:tcBorders>
              <w:top w:val="nil"/>
              <w:bottom w:val="nil"/>
              <w:right w:val="single" w:color="000000" w:sz="6" w:space="0"/>
            </w:tcBorders>
            <w:vAlign w:val="top"/>
          </w:tcPr>
          <w:p w14:paraId="35125A20">
            <w:pPr>
              <w:rPr>
                <w:rFonts w:ascii="Arial"/>
                <w:sz w:val="21"/>
              </w:rPr>
            </w:pPr>
          </w:p>
        </w:tc>
      </w:tr>
      <w:tr w14:paraId="6BC92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808" w:type="dxa"/>
            <w:vMerge w:val="continue"/>
            <w:tcBorders>
              <w:top w:val="nil"/>
              <w:left w:val="single" w:color="000000" w:sz="6" w:space="0"/>
              <w:bottom w:val="single" w:color="000000" w:sz="6" w:space="0"/>
            </w:tcBorders>
            <w:vAlign w:val="top"/>
          </w:tcPr>
          <w:p w14:paraId="74F2690E">
            <w:pPr>
              <w:rPr>
                <w:rFonts w:ascii="Arial"/>
                <w:sz w:val="21"/>
              </w:rPr>
            </w:pPr>
          </w:p>
        </w:tc>
        <w:tc>
          <w:tcPr>
            <w:tcW w:w="113" w:type="dxa"/>
            <w:tcBorders>
              <w:top w:val="nil"/>
              <w:bottom w:val="single" w:color="000000" w:sz="6" w:space="0"/>
            </w:tcBorders>
            <w:vAlign w:val="top"/>
          </w:tcPr>
          <w:p w14:paraId="11179B02">
            <w:pPr>
              <w:rPr>
                <w:rFonts w:ascii="Arial"/>
                <w:sz w:val="21"/>
              </w:rPr>
            </w:pPr>
          </w:p>
        </w:tc>
        <w:tc>
          <w:tcPr>
            <w:tcW w:w="686" w:type="dxa"/>
            <w:vMerge w:val="continue"/>
            <w:tcBorders>
              <w:top w:val="nil"/>
              <w:bottom w:val="single" w:color="000000" w:sz="6" w:space="0"/>
            </w:tcBorders>
            <w:vAlign w:val="top"/>
          </w:tcPr>
          <w:p w14:paraId="3A9AF415">
            <w:pPr>
              <w:rPr>
                <w:rFonts w:ascii="Arial"/>
                <w:sz w:val="21"/>
              </w:rPr>
            </w:pPr>
          </w:p>
        </w:tc>
        <w:tc>
          <w:tcPr>
            <w:tcW w:w="1800" w:type="dxa"/>
            <w:vMerge w:val="continue"/>
            <w:tcBorders>
              <w:top w:val="nil"/>
              <w:bottom w:val="single" w:color="000000" w:sz="6" w:space="0"/>
            </w:tcBorders>
            <w:vAlign w:val="top"/>
          </w:tcPr>
          <w:p w14:paraId="35C4A0B1">
            <w:pPr>
              <w:rPr>
                <w:rFonts w:ascii="Arial"/>
                <w:sz w:val="21"/>
              </w:rPr>
            </w:pPr>
          </w:p>
        </w:tc>
        <w:tc>
          <w:tcPr>
            <w:tcW w:w="1104" w:type="dxa"/>
            <w:tcBorders>
              <w:bottom w:val="single" w:color="000000" w:sz="6" w:space="0"/>
            </w:tcBorders>
            <w:vAlign w:val="top"/>
          </w:tcPr>
          <w:p w14:paraId="5B415274">
            <w:pPr>
              <w:pStyle w:val="6"/>
              <w:spacing w:before="50" w:line="220" w:lineRule="auto"/>
              <w:ind w:left="227"/>
              <w:rPr>
                <w:sz w:val="22"/>
                <w:szCs w:val="22"/>
              </w:rPr>
            </w:pPr>
            <w:r>
              <w:rPr>
                <w:spacing w:val="-3"/>
                <w:sz w:val="22"/>
                <w:szCs w:val="22"/>
              </w:rPr>
              <w:t>石油类</w:t>
            </w:r>
          </w:p>
        </w:tc>
        <w:tc>
          <w:tcPr>
            <w:tcW w:w="1143" w:type="dxa"/>
            <w:tcBorders>
              <w:bottom w:val="single" w:color="000000" w:sz="6" w:space="0"/>
            </w:tcBorders>
            <w:vAlign w:val="top"/>
          </w:tcPr>
          <w:p w14:paraId="4C9EC35E">
            <w:pPr>
              <w:spacing w:before="88" w:line="189" w:lineRule="auto"/>
              <w:ind w:left="3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0.01L</w:t>
            </w:r>
          </w:p>
        </w:tc>
        <w:tc>
          <w:tcPr>
            <w:tcW w:w="908" w:type="dxa"/>
            <w:tcBorders>
              <w:bottom w:val="single" w:color="000000" w:sz="6" w:space="0"/>
            </w:tcBorders>
            <w:vAlign w:val="top"/>
          </w:tcPr>
          <w:p w14:paraId="0EAF263E">
            <w:pPr>
              <w:spacing w:before="84" w:line="193" w:lineRule="auto"/>
              <w:ind w:left="4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08" w:type="dxa"/>
            <w:tcBorders>
              <w:bottom w:val="single" w:color="000000" w:sz="6" w:space="0"/>
            </w:tcBorders>
            <w:vAlign w:val="top"/>
          </w:tcPr>
          <w:p w14:paraId="2170049C">
            <w:pPr>
              <w:spacing w:before="88" w:line="189" w:lineRule="auto"/>
              <w:ind w:left="443"/>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w:t>
            </w:r>
          </w:p>
        </w:tc>
        <w:tc>
          <w:tcPr>
            <w:tcW w:w="1202" w:type="dxa"/>
            <w:tcBorders>
              <w:bottom w:val="single" w:color="000000" w:sz="6" w:space="0"/>
            </w:tcBorders>
            <w:vAlign w:val="top"/>
          </w:tcPr>
          <w:p w14:paraId="4F23C801">
            <w:pPr>
              <w:pStyle w:val="6"/>
              <w:spacing w:before="50" w:line="221" w:lineRule="auto"/>
              <w:ind w:left="392"/>
              <w:rPr>
                <w:sz w:val="22"/>
                <w:szCs w:val="22"/>
              </w:rPr>
            </w:pPr>
            <w:r>
              <w:rPr>
                <w:spacing w:val="-3"/>
                <w:sz w:val="22"/>
                <w:szCs w:val="22"/>
              </w:rPr>
              <w:t>达标</w:t>
            </w:r>
          </w:p>
        </w:tc>
        <w:tc>
          <w:tcPr>
            <w:tcW w:w="122" w:type="dxa"/>
            <w:tcBorders>
              <w:top w:val="nil"/>
              <w:bottom w:val="single" w:color="000000" w:sz="6" w:space="0"/>
              <w:right w:val="single" w:color="000000" w:sz="6" w:space="0"/>
            </w:tcBorders>
            <w:vAlign w:val="top"/>
          </w:tcPr>
          <w:p w14:paraId="1ED34B55">
            <w:pPr>
              <w:rPr>
                <w:rFonts w:ascii="Arial"/>
                <w:sz w:val="21"/>
              </w:rPr>
            </w:pPr>
          </w:p>
        </w:tc>
      </w:tr>
    </w:tbl>
    <w:p w14:paraId="44B7DCD8">
      <w:pPr>
        <w:pStyle w:val="2"/>
        <w:rPr>
          <w:sz w:val="21"/>
        </w:rPr>
      </w:pPr>
    </w:p>
    <w:p w14:paraId="5A611D60">
      <w:pPr>
        <w:rPr>
          <w:sz w:val="21"/>
          <w:szCs w:val="21"/>
        </w:rPr>
        <w:sectPr>
          <w:footerReference r:id="rId58" w:type="default"/>
          <w:pgSz w:w="11907" w:h="16840"/>
          <w:pgMar w:top="400" w:right="1449" w:bottom="1008" w:left="1448" w:header="0" w:footer="770" w:gutter="0"/>
          <w:cols w:space="720" w:num="1"/>
        </w:sectPr>
      </w:pPr>
    </w:p>
    <w:p w14:paraId="6F67BC3B">
      <w:pPr>
        <w:spacing w:before="19"/>
      </w:pPr>
    </w:p>
    <w:p w14:paraId="3E024E95">
      <w:pPr>
        <w:spacing w:before="19"/>
      </w:pPr>
    </w:p>
    <w:p w14:paraId="727A2CEE">
      <w:pPr>
        <w:spacing w:before="19"/>
      </w:pPr>
    </w:p>
    <w:p w14:paraId="39E105C2">
      <w:pPr>
        <w:spacing w:before="18"/>
      </w:pPr>
    </w:p>
    <w:p w14:paraId="43A2D345">
      <w:pPr>
        <w:spacing w:before="1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3A80C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07" w:hRule="atLeast"/>
        </w:trPr>
        <w:tc>
          <w:tcPr>
            <w:tcW w:w="808" w:type="dxa"/>
            <w:tcBorders>
              <w:right w:val="single" w:color="000000" w:sz="2" w:space="0"/>
            </w:tcBorders>
            <w:vAlign w:val="top"/>
          </w:tcPr>
          <w:p w14:paraId="5621AC90">
            <w:pPr>
              <w:rPr>
                <w:rFonts w:ascii="Arial"/>
                <w:sz w:val="21"/>
              </w:rPr>
            </w:pPr>
          </w:p>
        </w:tc>
        <w:tc>
          <w:tcPr>
            <w:tcW w:w="8186" w:type="dxa"/>
            <w:tcBorders>
              <w:left w:val="single" w:color="000000" w:sz="2" w:space="0"/>
            </w:tcBorders>
            <w:vAlign w:val="top"/>
          </w:tcPr>
          <w:p w14:paraId="5F08FD74">
            <w:pPr>
              <w:pStyle w:val="6"/>
              <w:spacing w:before="149" w:line="340" w:lineRule="auto"/>
              <w:ind w:left="112" w:firstLine="515"/>
              <w:jc w:val="both"/>
            </w:pPr>
            <w:r>
              <w:rPr>
                <w:spacing w:val="12"/>
              </w:rPr>
              <w:t>根据上表可知，建桥园区</w:t>
            </w:r>
            <w:r>
              <w:rPr>
                <w:spacing w:val="-46"/>
              </w:rPr>
              <w:t xml:space="preserve"> </w:t>
            </w:r>
            <w:r>
              <w:rPr>
                <w:rFonts w:ascii="Times New Roman" w:hAnsi="Times New Roman" w:eastAsia="Times New Roman" w:cs="Times New Roman"/>
                <w:spacing w:val="12"/>
              </w:rPr>
              <w:t>C</w:t>
            </w:r>
            <w:r>
              <w:rPr>
                <w:rFonts w:ascii="Times New Roman" w:hAnsi="Times New Roman" w:eastAsia="Times New Roman" w:cs="Times New Roman"/>
                <w:spacing w:val="38"/>
                <w:w w:val="101"/>
              </w:rPr>
              <w:t xml:space="preserve"> </w:t>
            </w:r>
            <w:r>
              <w:rPr>
                <w:spacing w:val="12"/>
              </w:rPr>
              <w:t>区工业废水集中处理设施排污口上游</w:t>
            </w:r>
            <w:r>
              <w:rPr>
                <w:rFonts w:ascii="Times New Roman" w:hAnsi="Times New Roman" w:eastAsia="Times New Roman" w:cs="Times New Roman"/>
                <w:spacing w:val="9"/>
              </w:rPr>
              <w:t xml:space="preserve">500m </w:t>
            </w:r>
            <w:r>
              <w:rPr>
                <w:spacing w:val="9"/>
              </w:rPr>
              <w:t>和跳磴河例行监测断面（沟口村例行断面，大九污水处理厂排污</w:t>
            </w:r>
            <w:r>
              <w:rPr>
                <w:spacing w:val="1"/>
              </w:rPr>
              <w:t>口下游约</w:t>
            </w:r>
            <w:r>
              <w:rPr>
                <w:spacing w:val="-41"/>
              </w:rPr>
              <w:t xml:space="preserve"> </w:t>
            </w:r>
            <w:r>
              <w:rPr>
                <w:rFonts w:ascii="Times New Roman" w:hAnsi="Times New Roman" w:eastAsia="Times New Roman" w:cs="Times New Roman"/>
                <w:spacing w:val="1"/>
              </w:rPr>
              <w:t>2000m</w:t>
            </w:r>
            <w:r>
              <w:rPr>
                <w:spacing w:val="1"/>
              </w:rPr>
              <w:t>）处水质指标中各指标能够满足《地表水环境质量标准》</w:t>
            </w:r>
            <w:r>
              <w:t xml:space="preserve"> </w:t>
            </w:r>
            <w:r>
              <w:rPr>
                <w:spacing w:val="7"/>
              </w:rPr>
              <w:t>（</w:t>
            </w:r>
            <w:r>
              <w:rPr>
                <w:rFonts w:ascii="Times New Roman" w:hAnsi="Times New Roman" w:eastAsia="Times New Roman" w:cs="Times New Roman"/>
              </w:rPr>
              <w:t>GB</w:t>
            </w:r>
            <w:r>
              <w:rPr>
                <w:rFonts w:ascii="Times New Roman" w:hAnsi="Times New Roman" w:eastAsia="Times New Roman" w:cs="Times New Roman"/>
                <w:spacing w:val="7"/>
              </w:rPr>
              <w:t>3838-2002</w:t>
            </w:r>
            <w:r>
              <w:rPr>
                <w:spacing w:val="7"/>
              </w:rPr>
              <w:t>）中的Ⅴ类水域标准要求。</w:t>
            </w:r>
          </w:p>
          <w:p w14:paraId="393FB27F">
            <w:pPr>
              <w:pStyle w:val="6"/>
              <w:spacing w:before="1" w:line="225" w:lineRule="auto"/>
              <w:ind w:left="104"/>
            </w:pPr>
            <w:r>
              <w:rPr>
                <w:rFonts w:ascii="Times New Roman" w:hAnsi="Times New Roman" w:eastAsia="Times New Roman" w:cs="Times New Roman"/>
                <w:b/>
                <w:bCs/>
                <w:spacing w:val="5"/>
              </w:rPr>
              <w:t xml:space="preserve">3.1.3 </w:t>
            </w:r>
            <w:r>
              <w:rPr>
                <w:b/>
                <w:bCs/>
                <w:spacing w:val="5"/>
              </w:rPr>
              <w:t>地下水环境</w:t>
            </w:r>
          </w:p>
          <w:p w14:paraId="06012970">
            <w:pPr>
              <w:pStyle w:val="6"/>
              <w:spacing w:before="152" w:line="226" w:lineRule="auto"/>
              <w:ind w:left="639"/>
            </w:pPr>
            <w:r>
              <w:rPr>
                <w:spacing w:val="7"/>
              </w:rPr>
              <w:t>（</w:t>
            </w:r>
            <w:r>
              <w:rPr>
                <w:rFonts w:ascii="Times New Roman" w:hAnsi="Times New Roman" w:eastAsia="Times New Roman" w:cs="Times New Roman"/>
                <w:spacing w:val="7"/>
              </w:rPr>
              <w:t>1</w:t>
            </w:r>
            <w:r>
              <w:rPr>
                <w:spacing w:val="7"/>
              </w:rPr>
              <w:t>）监测数据资料情况</w:t>
            </w:r>
          </w:p>
          <w:p w14:paraId="3199AFCA">
            <w:pPr>
              <w:pStyle w:val="6"/>
              <w:spacing w:before="152" w:line="340" w:lineRule="auto"/>
              <w:ind w:left="109" w:right="79" w:firstLine="520"/>
            </w:pPr>
            <w:r>
              <w:rPr>
                <w:spacing w:val="6"/>
              </w:rPr>
              <w:t>本项目为加油站改扩建项目，可能存在地下水环境污染途径，本次评价利用场地内已设置的</w:t>
            </w:r>
            <w:r>
              <w:rPr>
                <w:spacing w:val="-18"/>
              </w:rPr>
              <w:t xml:space="preserve"> </w:t>
            </w:r>
            <w:r>
              <w:rPr>
                <w:rFonts w:ascii="Times New Roman" w:hAnsi="Times New Roman" w:eastAsia="Times New Roman" w:cs="Times New Roman"/>
                <w:spacing w:val="6"/>
              </w:rPr>
              <w:t xml:space="preserve">1 </w:t>
            </w:r>
            <w:r>
              <w:rPr>
                <w:spacing w:val="6"/>
              </w:rPr>
              <w:t>个地下水监测点，该点位位于项目厂界内，</w:t>
            </w:r>
            <w:r>
              <w:rPr>
                <w:spacing w:val="7"/>
              </w:rPr>
              <w:t>能够代表项目区域内地下水环境质量现状。评价委托重庆港</w:t>
            </w:r>
            <w:r>
              <w:rPr>
                <w:spacing w:val="6"/>
              </w:rPr>
              <w:t>庆测控技术</w:t>
            </w:r>
            <w:r>
              <w:rPr>
                <w:spacing w:val="2"/>
              </w:rPr>
              <w:t>有限公司于</w:t>
            </w:r>
            <w:r>
              <w:rPr>
                <w:spacing w:val="-52"/>
              </w:rPr>
              <w:t xml:space="preserve"> </w:t>
            </w:r>
            <w:r>
              <w:rPr>
                <w:rFonts w:ascii="Times New Roman" w:hAnsi="Times New Roman" w:eastAsia="Times New Roman" w:cs="Times New Roman"/>
                <w:spacing w:val="2"/>
              </w:rPr>
              <w:t xml:space="preserve">2026 </w:t>
            </w:r>
            <w:r>
              <w:rPr>
                <w:spacing w:val="2"/>
              </w:rPr>
              <w:t>年</w:t>
            </w:r>
            <w:r>
              <w:rPr>
                <w:spacing w:val="-27"/>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8"/>
                <w:w w:val="101"/>
              </w:rPr>
              <w:t xml:space="preserve"> </w:t>
            </w:r>
            <w:r>
              <w:rPr>
                <w:spacing w:val="2"/>
              </w:rPr>
              <w:t>月</w:t>
            </w:r>
            <w:r>
              <w:rPr>
                <w:spacing w:val="-50"/>
              </w:rPr>
              <w:t xml:space="preserve"> </w:t>
            </w:r>
            <w:r>
              <w:rPr>
                <w:rFonts w:ascii="Times New Roman" w:hAnsi="Times New Roman" w:eastAsia="Times New Roman" w:cs="Times New Roman"/>
                <w:spacing w:val="2"/>
              </w:rPr>
              <w:t xml:space="preserve">31  </w:t>
            </w:r>
            <w:r>
              <w:rPr>
                <w:spacing w:val="2"/>
              </w:rPr>
              <w:t>日进行地下水环境现状监测，并出具了（港</w:t>
            </w:r>
            <w:r>
              <w:rPr>
                <w:spacing w:val="8"/>
              </w:rPr>
              <w:t>庆（监）字〔</w:t>
            </w:r>
            <w:r>
              <w:rPr>
                <w:rFonts w:ascii="Times New Roman" w:hAnsi="Times New Roman" w:eastAsia="Times New Roman" w:cs="Times New Roman"/>
                <w:spacing w:val="8"/>
              </w:rPr>
              <w:t>2026</w:t>
            </w:r>
            <w:r>
              <w:rPr>
                <w:spacing w:val="8"/>
              </w:rPr>
              <w:t>〕第</w:t>
            </w:r>
            <w:r>
              <w:rPr>
                <w:spacing w:val="-46"/>
              </w:rPr>
              <w:t xml:space="preserve"> </w:t>
            </w:r>
            <w:r>
              <w:rPr>
                <w:rFonts w:ascii="Times New Roman" w:hAnsi="Times New Roman" w:eastAsia="Times New Roman" w:cs="Times New Roman"/>
                <w:spacing w:val="8"/>
              </w:rPr>
              <w:t>01068-</w:t>
            </w:r>
            <w:r>
              <w:rPr>
                <w:rFonts w:ascii="Times New Roman" w:hAnsi="Times New Roman" w:eastAsia="Times New Roman" w:cs="Times New Roman"/>
              </w:rPr>
              <w:t>HP</w:t>
            </w:r>
            <w:r>
              <w:rPr>
                <w:rFonts w:ascii="Times New Roman" w:hAnsi="Times New Roman" w:eastAsia="Times New Roman" w:cs="Times New Roman"/>
                <w:spacing w:val="21"/>
              </w:rPr>
              <w:t xml:space="preserve"> </w:t>
            </w:r>
            <w:r>
              <w:rPr>
                <w:spacing w:val="8"/>
              </w:rPr>
              <w:t>号）作为本次评价地下水环境质量现</w:t>
            </w:r>
            <w:r>
              <w:rPr>
                <w:spacing w:val="3"/>
              </w:rPr>
              <w:t>状依据。监测频次为连续采样</w:t>
            </w:r>
            <w:r>
              <w:rPr>
                <w:spacing w:val="-16"/>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7"/>
                <w:w w:val="101"/>
              </w:rPr>
              <w:t xml:space="preserve"> </w:t>
            </w:r>
            <w:r>
              <w:rPr>
                <w:spacing w:val="3"/>
              </w:rPr>
              <w:t>天，共</w:t>
            </w:r>
            <w:r>
              <w:rPr>
                <w:spacing w:val="-28"/>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0"/>
              </w:rPr>
              <w:t xml:space="preserve"> </w:t>
            </w:r>
            <w:r>
              <w:rPr>
                <w:spacing w:val="3"/>
              </w:rPr>
              <w:t>次。</w:t>
            </w:r>
          </w:p>
          <w:p w14:paraId="55C90091">
            <w:pPr>
              <w:pStyle w:val="6"/>
              <w:spacing w:line="224" w:lineRule="auto"/>
              <w:ind w:left="639"/>
            </w:pPr>
            <w:r>
              <w:rPr>
                <w:spacing w:val="6"/>
              </w:rPr>
              <w:t>（</w:t>
            </w:r>
            <w:r>
              <w:rPr>
                <w:rFonts w:ascii="Times New Roman" w:hAnsi="Times New Roman" w:eastAsia="Times New Roman" w:cs="Times New Roman"/>
                <w:spacing w:val="6"/>
              </w:rPr>
              <w:t>2</w:t>
            </w:r>
            <w:r>
              <w:rPr>
                <w:spacing w:val="6"/>
              </w:rPr>
              <w:t>）评价方法</w:t>
            </w:r>
          </w:p>
          <w:p w14:paraId="00AB5215">
            <w:pPr>
              <w:pStyle w:val="6"/>
              <w:spacing w:before="155" w:line="340" w:lineRule="auto"/>
              <w:ind w:left="111" w:right="103" w:firstLine="517"/>
            </w:pPr>
            <w:r>
              <w:rPr>
                <w:spacing w:val="6"/>
              </w:rPr>
              <w:t>地下水质现状评价应采用标准指数法。标准指数</w:t>
            </w:r>
            <w:r>
              <w:rPr>
                <w:rFonts w:ascii="Times New Roman" w:hAnsi="Times New Roman" w:eastAsia="Times New Roman" w:cs="Times New Roman"/>
                <w:spacing w:val="6"/>
              </w:rPr>
              <w:t>&gt;1</w:t>
            </w:r>
            <w:r>
              <w:rPr>
                <w:spacing w:val="6"/>
              </w:rPr>
              <w:t>，表明该</w:t>
            </w:r>
            <w:r>
              <w:rPr>
                <w:spacing w:val="5"/>
              </w:rPr>
              <w:t>水质因</w:t>
            </w:r>
            <w:r>
              <w:rPr>
                <w:spacing w:val="7"/>
              </w:rPr>
              <w:t>子已超标，标准指数越大，超标越严重。标准指数计算</w:t>
            </w:r>
            <w:r>
              <w:rPr>
                <w:spacing w:val="6"/>
              </w:rPr>
              <w:t>公式分以下两种</w:t>
            </w:r>
            <w:r>
              <w:rPr>
                <w:spacing w:val="2"/>
              </w:rPr>
              <w:t>情况：</w:t>
            </w:r>
          </w:p>
          <w:p w14:paraId="33B82820">
            <w:pPr>
              <w:pStyle w:val="6"/>
              <w:spacing w:before="1" w:line="322" w:lineRule="auto"/>
              <w:ind w:left="118" w:right="103" w:firstLine="509"/>
            </w:pPr>
            <w:r>
              <w:rPr>
                <w:spacing w:val="7"/>
              </w:rPr>
              <w:t>①对于评价标准为定值的水质因子，其标准指</w:t>
            </w:r>
            <w:r>
              <w:rPr>
                <w:spacing w:val="6"/>
              </w:rPr>
              <w:t>数计算方法见公式如</w:t>
            </w:r>
            <w:r>
              <w:rPr>
                <w:spacing w:val="-5"/>
              </w:rPr>
              <w:t>下：</w:t>
            </w:r>
          </w:p>
          <w:p w14:paraId="0867B44D">
            <w:pPr>
              <w:spacing w:line="348" w:lineRule="exact"/>
              <w:ind w:left="3632"/>
              <w:rPr>
                <w:rFonts w:ascii="Times New Roman" w:hAnsi="Times New Roman" w:eastAsia="Times New Roman" w:cs="Times New Roman"/>
                <w:sz w:val="16"/>
                <w:szCs w:val="16"/>
              </w:rPr>
            </w:pPr>
            <w:r>
              <w:rPr>
                <w:rFonts w:ascii="Times New Roman" w:hAnsi="Times New Roman" w:eastAsia="Times New Roman" w:cs="Times New Roman"/>
                <w:position w:val="2"/>
                <w:sz w:val="25"/>
                <w:szCs w:val="25"/>
              </w:rPr>
              <w:t>P</w:t>
            </w:r>
            <w:r>
              <w:rPr>
                <w:rFonts w:ascii="Times New Roman" w:hAnsi="Times New Roman" w:eastAsia="Times New Roman" w:cs="Times New Roman"/>
                <w:position w:val="1"/>
                <w:sz w:val="16"/>
                <w:szCs w:val="16"/>
              </w:rPr>
              <w:t>i</w:t>
            </w:r>
            <w:r>
              <w:rPr>
                <w:rFonts w:ascii="Times New Roman" w:hAnsi="Times New Roman" w:eastAsia="Times New Roman" w:cs="Times New Roman"/>
                <w:spacing w:val="16"/>
                <w:position w:val="2"/>
                <w:sz w:val="25"/>
                <w:szCs w:val="25"/>
              </w:rPr>
              <w:t>=</w:t>
            </w:r>
            <w:r>
              <w:rPr>
                <w:rFonts w:ascii="Times New Roman" w:hAnsi="Times New Roman" w:eastAsia="Times New Roman" w:cs="Times New Roman"/>
                <w:position w:val="2"/>
                <w:sz w:val="25"/>
                <w:szCs w:val="25"/>
              </w:rPr>
              <w:t>C</w:t>
            </w:r>
            <w:r>
              <w:rPr>
                <w:rFonts w:ascii="Times New Roman" w:hAnsi="Times New Roman" w:eastAsia="Times New Roman" w:cs="Times New Roman"/>
                <w:position w:val="1"/>
                <w:sz w:val="16"/>
                <w:szCs w:val="16"/>
              </w:rPr>
              <w:t>i</w:t>
            </w:r>
            <w:r>
              <w:rPr>
                <w:rFonts w:ascii="Times New Roman" w:hAnsi="Times New Roman" w:eastAsia="Times New Roman" w:cs="Times New Roman"/>
                <w:spacing w:val="16"/>
                <w:position w:val="2"/>
                <w:sz w:val="25"/>
                <w:szCs w:val="25"/>
              </w:rPr>
              <w:t>/</w:t>
            </w:r>
            <w:r>
              <w:rPr>
                <w:rFonts w:ascii="Times New Roman" w:hAnsi="Times New Roman" w:eastAsia="Times New Roman" w:cs="Times New Roman"/>
                <w:position w:val="2"/>
                <w:sz w:val="25"/>
                <w:szCs w:val="25"/>
              </w:rPr>
              <w:t>C</w:t>
            </w:r>
            <w:r>
              <w:rPr>
                <w:rFonts w:ascii="Times New Roman" w:hAnsi="Times New Roman" w:eastAsia="Times New Roman" w:cs="Times New Roman"/>
                <w:position w:val="1"/>
                <w:sz w:val="16"/>
                <w:szCs w:val="16"/>
              </w:rPr>
              <w:t>si</w:t>
            </w:r>
          </w:p>
          <w:p w14:paraId="19E0E827">
            <w:pPr>
              <w:pStyle w:val="6"/>
              <w:spacing w:before="159" w:line="226" w:lineRule="auto"/>
              <w:ind w:left="633"/>
            </w:pPr>
            <w:r>
              <w:rPr>
                <w:spacing w:val="8"/>
              </w:rPr>
              <w:t>式中：</w:t>
            </w:r>
            <w:r>
              <w:rPr>
                <w:rFonts w:ascii="Times New Roman" w:hAnsi="Times New Roman" w:eastAsia="Times New Roman" w:cs="Times New Roman"/>
              </w:rPr>
              <w:t>Pi</w:t>
            </w:r>
            <w:r>
              <w:rPr>
                <w:spacing w:val="8"/>
              </w:rPr>
              <w:t>—第</w:t>
            </w:r>
            <w:r>
              <w:rPr>
                <w:spacing w:val="-46"/>
              </w:rPr>
              <w:t xml:space="preserve"> </w:t>
            </w:r>
            <w:r>
              <w:rPr>
                <w:rFonts w:ascii="Times New Roman" w:hAnsi="Times New Roman" w:eastAsia="Times New Roman" w:cs="Times New Roman"/>
                <w:spacing w:val="8"/>
              </w:rPr>
              <w:t xml:space="preserve">i </w:t>
            </w:r>
            <w:r>
              <w:rPr>
                <w:spacing w:val="8"/>
              </w:rPr>
              <w:t>个水质单因子的标准指数；无量纲；</w:t>
            </w:r>
          </w:p>
          <w:p w14:paraId="62529A3C">
            <w:pPr>
              <w:pStyle w:val="6"/>
              <w:spacing w:before="153" w:line="221" w:lineRule="auto"/>
              <w:ind w:left="627"/>
            </w:pPr>
            <w:r>
              <w:rPr>
                <w:rFonts w:ascii="Times New Roman" w:hAnsi="Times New Roman" w:eastAsia="Times New Roman" w:cs="Times New Roman"/>
              </w:rPr>
              <w:t>Ci</w:t>
            </w:r>
            <w:r>
              <w:rPr>
                <w:spacing w:val="12"/>
              </w:rPr>
              <w:t>—第</w:t>
            </w:r>
            <w:r>
              <w:rPr>
                <w:spacing w:val="-50"/>
              </w:rPr>
              <w:t xml:space="preserve"> </w:t>
            </w:r>
            <w:r>
              <w:rPr>
                <w:rFonts w:ascii="Times New Roman" w:hAnsi="Times New Roman" w:eastAsia="Times New Roman" w:cs="Times New Roman"/>
                <w:spacing w:val="12"/>
              </w:rPr>
              <w:t xml:space="preserve">i </w:t>
            </w:r>
            <w:r>
              <w:rPr>
                <w:spacing w:val="12"/>
              </w:rPr>
              <w:t>个水质因子的监测浓度值</w:t>
            </w:r>
            <w:r>
              <w:rPr>
                <w:spacing w:val="-10"/>
              </w:rPr>
              <w:t>，（</w:t>
            </w:r>
            <w:r>
              <w:rPr>
                <w:rFonts w:ascii="Times New Roman" w:hAnsi="Times New Roman" w:eastAsia="Times New Roman" w:cs="Times New Roman"/>
              </w:rPr>
              <w:t>mg</w:t>
            </w:r>
            <w:r>
              <w:rPr>
                <w:rFonts w:ascii="Times New Roman" w:hAnsi="Times New Roman" w:eastAsia="Times New Roman" w:cs="Times New Roman"/>
                <w:spacing w:val="12"/>
              </w:rPr>
              <w:t>/L</w:t>
            </w:r>
            <w:r>
              <w:rPr>
                <w:spacing w:val="-10"/>
              </w:rPr>
              <w:t>）；</w:t>
            </w:r>
          </w:p>
          <w:p w14:paraId="3869F44B">
            <w:pPr>
              <w:pStyle w:val="6"/>
              <w:spacing w:before="161" w:line="219" w:lineRule="auto"/>
              <w:ind w:left="627"/>
            </w:pPr>
            <w:r>
              <w:rPr>
                <w:rFonts w:ascii="Times New Roman" w:hAnsi="Times New Roman" w:eastAsia="Times New Roman" w:cs="Times New Roman"/>
              </w:rPr>
              <w:t>Csi</w:t>
            </w:r>
            <w:r>
              <w:rPr>
                <w:spacing w:val="11"/>
              </w:rPr>
              <w:t>—第</w:t>
            </w:r>
            <w:r>
              <w:rPr>
                <w:spacing w:val="-51"/>
              </w:rPr>
              <w:t xml:space="preserve"> </w:t>
            </w:r>
            <w:r>
              <w:rPr>
                <w:rFonts w:ascii="Times New Roman" w:hAnsi="Times New Roman" w:eastAsia="Times New Roman" w:cs="Times New Roman"/>
                <w:spacing w:val="11"/>
              </w:rPr>
              <w:t xml:space="preserve">i </w:t>
            </w:r>
            <w:r>
              <w:rPr>
                <w:spacing w:val="11"/>
              </w:rPr>
              <w:t>个水质因子的标准浓度值</w:t>
            </w:r>
            <w:r>
              <w:rPr>
                <w:spacing w:val="-20"/>
              </w:rPr>
              <w:t>，（</w:t>
            </w:r>
            <w:r>
              <w:rPr>
                <w:rFonts w:ascii="Times New Roman" w:hAnsi="Times New Roman" w:eastAsia="Times New Roman" w:cs="Times New Roman"/>
              </w:rPr>
              <w:t>mg</w:t>
            </w:r>
            <w:r>
              <w:rPr>
                <w:rFonts w:ascii="Times New Roman" w:hAnsi="Times New Roman" w:eastAsia="Times New Roman" w:cs="Times New Roman"/>
                <w:spacing w:val="11"/>
              </w:rPr>
              <w:t>/L</w:t>
            </w:r>
            <w:r>
              <w:rPr>
                <w:spacing w:val="11"/>
              </w:rPr>
              <w:t>）。</w:t>
            </w:r>
          </w:p>
          <w:p w14:paraId="3D4D5A44">
            <w:pPr>
              <w:pStyle w:val="6"/>
              <w:spacing w:before="165" w:line="322" w:lineRule="auto"/>
              <w:ind w:left="111" w:right="103" w:firstLine="515"/>
            </w:pPr>
            <w:r>
              <w:rPr>
                <w:spacing w:val="9"/>
              </w:rPr>
              <w:t>②对于评价标准为区间的水质因子（如</w:t>
            </w:r>
            <w:r>
              <w:rPr>
                <w:spacing w:val="-60"/>
              </w:rPr>
              <w:t xml:space="preserve"> </w:t>
            </w:r>
            <w:r>
              <w:rPr>
                <w:rFonts w:ascii="Times New Roman" w:hAnsi="Times New Roman" w:eastAsia="Times New Roman" w:cs="Times New Roman"/>
              </w:rPr>
              <w:t>pH</w:t>
            </w:r>
            <w:r>
              <w:rPr>
                <w:rFonts w:ascii="Times New Roman" w:hAnsi="Times New Roman" w:eastAsia="Times New Roman" w:cs="Times New Roman"/>
                <w:spacing w:val="9"/>
              </w:rPr>
              <w:t xml:space="preserve"> </w:t>
            </w:r>
            <w:r>
              <w:rPr>
                <w:spacing w:val="9"/>
              </w:rPr>
              <w:t>值</w:t>
            </w:r>
            <w:r>
              <w:rPr>
                <w:spacing w:val="14"/>
              </w:rPr>
              <w:t>），</w:t>
            </w:r>
            <w:r>
              <w:rPr>
                <w:spacing w:val="9"/>
              </w:rPr>
              <w:t>其标准指数计算</w:t>
            </w:r>
            <w:r>
              <w:rPr>
                <w:spacing w:val="7"/>
              </w:rPr>
              <w:t>方法见公式如下：</w:t>
            </w:r>
          </w:p>
          <w:p w14:paraId="6EEE37A7">
            <w:pPr>
              <w:pStyle w:val="6"/>
              <w:spacing w:line="348" w:lineRule="exact"/>
              <w:ind w:left="2293"/>
              <w:rPr>
                <w:rFonts w:ascii="Times New Roman" w:hAnsi="Times New Roman" w:eastAsia="Times New Roman" w:cs="Times New Roman"/>
              </w:rPr>
            </w:pPr>
            <w:r>
              <w:rPr>
                <w:rFonts w:ascii="Times New Roman" w:hAnsi="Times New Roman" w:eastAsia="Times New Roman" w:cs="Times New Roman"/>
                <w:position w:val="4"/>
              </w:rPr>
              <w:t>P</w:t>
            </w:r>
            <w:r>
              <w:rPr>
                <w:rFonts w:ascii="Times New Roman" w:hAnsi="Times New Roman" w:eastAsia="Times New Roman" w:cs="Times New Roman"/>
                <w:position w:val="2"/>
                <w:sz w:val="16"/>
                <w:szCs w:val="16"/>
              </w:rPr>
              <w:t>pH</w:t>
            </w:r>
            <w:r>
              <w:rPr>
                <w:rFonts w:ascii="Times New Roman" w:hAnsi="Times New Roman" w:eastAsia="Times New Roman" w:cs="Times New Roman"/>
                <w:spacing w:val="7"/>
                <w:position w:val="4"/>
              </w:rPr>
              <w:t>=(7.0</w:t>
            </w:r>
            <w:r>
              <w:rPr>
                <w:spacing w:val="7"/>
                <w:position w:val="4"/>
              </w:rPr>
              <w:t>－</w:t>
            </w:r>
            <w:r>
              <w:rPr>
                <w:rFonts w:ascii="Times New Roman" w:hAnsi="Times New Roman" w:eastAsia="Times New Roman" w:cs="Times New Roman"/>
                <w:position w:val="4"/>
              </w:rPr>
              <w:t>pH</w:t>
            </w:r>
            <w:r>
              <w:rPr>
                <w:rFonts w:ascii="Times New Roman" w:hAnsi="Times New Roman" w:eastAsia="Times New Roman" w:cs="Times New Roman"/>
                <w:spacing w:val="7"/>
                <w:position w:val="4"/>
              </w:rPr>
              <w:t>)/(7.0</w:t>
            </w:r>
            <w:r>
              <w:rPr>
                <w:spacing w:val="7"/>
                <w:position w:val="4"/>
              </w:rPr>
              <w:t>－</w:t>
            </w:r>
            <w:r>
              <w:rPr>
                <w:rFonts w:ascii="Times New Roman" w:hAnsi="Times New Roman" w:eastAsia="Times New Roman" w:cs="Times New Roman"/>
                <w:position w:val="4"/>
              </w:rPr>
              <w:t>pHsd</w:t>
            </w:r>
            <w:r>
              <w:rPr>
                <w:rFonts w:ascii="Times New Roman" w:hAnsi="Times New Roman" w:eastAsia="Times New Roman" w:cs="Times New Roman"/>
                <w:spacing w:val="7"/>
                <w:position w:val="4"/>
              </w:rPr>
              <w:t xml:space="preserve">)    </w:t>
            </w:r>
            <w:r>
              <w:rPr>
                <w:rFonts w:ascii="Times New Roman" w:hAnsi="Times New Roman" w:eastAsia="Times New Roman" w:cs="Times New Roman"/>
                <w:position w:val="4"/>
              </w:rPr>
              <w:t>pH</w:t>
            </w:r>
            <w:r>
              <w:rPr>
                <w:spacing w:val="7"/>
                <w:position w:val="4"/>
              </w:rPr>
              <w:t>≤</w:t>
            </w:r>
            <w:r>
              <w:rPr>
                <w:rFonts w:ascii="Times New Roman" w:hAnsi="Times New Roman" w:eastAsia="Times New Roman" w:cs="Times New Roman"/>
                <w:spacing w:val="7"/>
                <w:position w:val="4"/>
              </w:rPr>
              <w:t>7.0</w:t>
            </w:r>
          </w:p>
          <w:p w14:paraId="6B166E35">
            <w:pPr>
              <w:pStyle w:val="6"/>
              <w:spacing w:before="111" w:line="334" w:lineRule="auto"/>
              <w:ind w:left="633" w:right="1773" w:firstLine="1659"/>
            </w:pPr>
            <w:r>
              <w:rPr>
                <w:rFonts w:ascii="Times New Roman" w:hAnsi="Times New Roman" w:eastAsia="Times New Roman" w:cs="Times New Roman"/>
              </w:rPr>
              <w:t>P</w:t>
            </w:r>
            <w:r>
              <w:rPr>
                <w:rFonts w:ascii="Times New Roman" w:hAnsi="Times New Roman" w:eastAsia="Times New Roman" w:cs="Times New Roman"/>
                <w:position w:val="-1"/>
                <w:sz w:val="16"/>
                <w:szCs w:val="16"/>
              </w:rPr>
              <w:t>pH</w:t>
            </w:r>
            <w:r>
              <w:rPr>
                <w:rFonts w:ascii="Times New Roman" w:hAnsi="Times New Roman" w:eastAsia="Times New Roman" w:cs="Times New Roman"/>
                <w:spacing w:val="7"/>
              </w:rPr>
              <w:t>=(</w:t>
            </w:r>
            <w:r>
              <w:rPr>
                <w:rFonts w:ascii="Times New Roman" w:hAnsi="Times New Roman" w:eastAsia="Times New Roman" w:cs="Times New Roman"/>
              </w:rPr>
              <w:t>pH</w:t>
            </w:r>
            <w:r>
              <w:rPr>
                <w:spacing w:val="7"/>
              </w:rPr>
              <w:t>－</w:t>
            </w:r>
            <w:r>
              <w:rPr>
                <w:rFonts w:ascii="Times New Roman" w:hAnsi="Times New Roman" w:eastAsia="Times New Roman" w:cs="Times New Roman"/>
                <w:spacing w:val="7"/>
              </w:rPr>
              <w:t>7.0)/(</w:t>
            </w:r>
            <w:r>
              <w:rPr>
                <w:rFonts w:ascii="Times New Roman" w:hAnsi="Times New Roman" w:eastAsia="Times New Roman" w:cs="Times New Roman"/>
              </w:rPr>
              <w:t>pHsu</w:t>
            </w:r>
            <w:r>
              <w:rPr>
                <w:spacing w:val="7"/>
              </w:rPr>
              <w:t>－</w:t>
            </w:r>
            <w:r>
              <w:rPr>
                <w:rFonts w:ascii="Times New Roman" w:hAnsi="Times New Roman" w:eastAsia="Times New Roman" w:cs="Times New Roman"/>
                <w:spacing w:val="7"/>
              </w:rPr>
              <w:t xml:space="preserve">7.0)    </w:t>
            </w:r>
            <w:r>
              <w:rPr>
                <w:rFonts w:ascii="Times New Roman" w:hAnsi="Times New Roman" w:eastAsia="Times New Roman" w:cs="Times New Roman"/>
              </w:rPr>
              <w:t>pH</w:t>
            </w:r>
            <w:r>
              <w:rPr>
                <w:spacing w:val="7"/>
              </w:rPr>
              <w:t>＞</w:t>
            </w:r>
            <w:r>
              <w:rPr>
                <w:rFonts w:ascii="Times New Roman" w:hAnsi="Times New Roman" w:eastAsia="Times New Roman" w:cs="Times New Roman"/>
                <w:spacing w:val="7"/>
              </w:rPr>
              <w:t>7.0</w:t>
            </w:r>
            <w:r>
              <w:rPr>
                <w:spacing w:val="9"/>
              </w:rPr>
              <w:t>式中：</w:t>
            </w:r>
            <w:r>
              <w:rPr>
                <w:rFonts w:ascii="Times New Roman" w:hAnsi="Times New Roman" w:eastAsia="Times New Roman" w:cs="Times New Roman"/>
              </w:rPr>
              <w:t>P</w:t>
            </w:r>
            <w:r>
              <w:rPr>
                <w:rFonts w:ascii="Times New Roman" w:hAnsi="Times New Roman" w:eastAsia="Times New Roman" w:cs="Times New Roman"/>
                <w:position w:val="-2"/>
                <w:sz w:val="16"/>
                <w:szCs w:val="16"/>
              </w:rPr>
              <w:t>pH</w:t>
            </w:r>
            <w:r>
              <w:rPr>
                <w:spacing w:val="9"/>
              </w:rPr>
              <w:t>—</w:t>
            </w:r>
            <w:r>
              <w:rPr>
                <w:rFonts w:ascii="Times New Roman" w:hAnsi="Times New Roman" w:eastAsia="Times New Roman" w:cs="Times New Roman"/>
              </w:rPr>
              <w:t>pH</w:t>
            </w:r>
            <w:r>
              <w:rPr>
                <w:rFonts w:ascii="Times New Roman" w:hAnsi="Times New Roman" w:eastAsia="Times New Roman" w:cs="Times New Roman"/>
                <w:spacing w:val="9"/>
              </w:rPr>
              <w:t xml:space="preserve"> </w:t>
            </w:r>
            <w:r>
              <w:rPr>
                <w:spacing w:val="9"/>
              </w:rPr>
              <w:t>值的标准指数；</w:t>
            </w:r>
          </w:p>
          <w:p w14:paraId="29DD7013">
            <w:pPr>
              <w:pStyle w:val="6"/>
              <w:spacing w:before="63" w:line="219" w:lineRule="auto"/>
              <w:ind w:left="1397"/>
            </w:pPr>
            <w:r>
              <w:rPr>
                <w:rFonts w:ascii="Times New Roman" w:hAnsi="Times New Roman" w:eastAsia="Times New Roman" w:cs="Times New Roman"/>
              </w:rPr>
              <w:t>pH</w:t>
            </w:r>
            <w:r>
              <w:rPr>
                <w:spacing w:val="9"/>
              </w:rPr>
              <w:t>—</w:t>
            </w:r>
            <w:r>
              <w:rPr>
                <w:rFonts w:ascii="Times New Roman" w:hAnsi="Times New Roman" w:eastAsia="Times New Roman" w:cs="Times New Roman"/>
              </w:rPr>
              <w:t>pH</w:t>
            </w:r>
            <w:r>
              <w:rPr>
                <w:rFonts w:ascii="Times New Roman" w:hAnsi="Times New Roman" w:eastAsia="Times New Roman" w:cs="Times New Roman"/>
                <w:spacing w:val="20"/>
                <w:w w:val="101"/>
              </w:rPr>
              <w:t xml:space="preserve"> </w:t>
            </w:r>
            <w:r>
              <w:rPr>
                <w:spacing w:val="9"/>
              </w:rPr>
              <w:t>实测值；</w:t>
            </w:r>
          </w:p>
        </w:tc>
      </w:tr>
    </w:tbl>
    <w:p w14:paraId="586CEF85">
      <w:pPr>
        <w:pStyle w:val="2"/>
        <w:rPr>
          <w:sz w:val="21"/>
        </w:rPr>
      </w:pPr>
    </w:p>
    <w:p w14:paraId="4A0939C0">
      <w:pPr>
        <w:rPr>
          <w:sz w:val="21"/>
          <w:szCs w:val="21"/>
        </w:rPr>
        <w:sectPr>
          <w:footerReference r:id="rId59" w:type="default"/>
          <w:pgSz w:w="11907" w:h="16840"/>
          <w:pgMar w:top="400" w:right="1449" w:bottom="1008" w:left="1448" w:header="0" w:footer="770" w:gutter="0"/>
          <w:cols w:space="720" w:num="1"/>
        </w:sectPr>
      </w:pPr>
    </w:p>
    <w:p w14:paraId="7680745A">
      <w:pPr>
        <w:spacing w:before="19"/>
      </w:pPr>
    </w:p>
    <w:p w14:paraId="522804F0">
      <w:pPr>
        <w:spacing w:before="19"/>
      </w:pPr>
    </w:p>
    <w:p w14:paraId="6CD240A6">
      <w:pPr>
        <w:spacing w:before="19"/>
      </w:pPr>
    </w:p>
    <w:p w14:paraId="268A44C7">
      <w:pPr>
        <w:spacing w:before="18"/>
      </w:pPr>
    </w:p>
    <w:p w14:paraId="60773CC3">
      <w:pPr>
        <w:spacing w:before="1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49592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007" w:hRule="atLeast"/>
        </w:trPr>
        <w:tc>
          <w:tcPr>
            <w:tcW w:w="808" w:type="dxa"/>
            <w:tcBorders>
              <w:right w:val="single" w:color="000000" w:sz="2" w:space="0"/>
            </w:tcBorders>
            <w:vAlign w:val="top"/>
          </w:tcPr>
          <w:p w14:paraId="05D5FDCB">
            <w:pPr>
              <w:rPr>
                <w:rFonts w:ascii="Arial"/>
                <w:sz w:val="21"/>
              </w:rPr>
            </w:pPr>
          </w:p>
        </w:tc>
        <w:tc>
          <w:tcPr>
            <w:tcW w:w="8186" w:type="dxa"/>
            <w:tcBorders>
              <w:left w:val="single" w:color="000000" w:sz="2" w:space="0"/>
            </w:tcBorders>
            <w:vAlign w:val="top"/>
          </w:tcPr>
          <w:p w14:paraId="79C12A94">
            <w:pPr>
              <w:pStyle w:val="6"/>
              <w:spacing w:before="150" w:line="219" w:lineRule="auto"/>
              <w:ind w:left="1397"/>
            </w:pPr>
            <w:r>
              <w:rPr>
                <w:rFonts w:ascii="Times New Roman" w:hAnsi="Times New Roman" w:eastAsia="Times New Roman" w:cs="Times New Roman"/>
              </w:rPr>
              <w:t>pH</w:t>
            </w:r>
            <w:r>
              <w:rPr>
                <w:rFonts w:ascii="Times New Roman" w:hAnsi="Times New Roman" w:eastAsia="Times New Roman" w:cs="Times New Roman"/>
                <w:position w:val="-2"/>
                <w:sz w:val="16"/>
                <w:szCs w:val="16"/>
              </w:rPr>
              <w:t>sd</w:t>
            </w:r>
            <w:r>
              <w:rPr>
                <w:spacing w:val="10"/>
              </w:rPr>
              <w:t>—标准中规定的</w:t>
            </w:r>
            <w:r>
              <w:rPr>
                <w:spacing w:val="-61"/>
              </w:rPr>
              <w:t xml:space="preserve"> </w:t>
            </w:r>
            <w:r>
              <w:rPr>
                <w:rFonts w:ascii="Times New Roman" w:hAnsi="Times New Roman" w:eastAsia="Times New Roman" w:cs="Times New Roman"/>
              </w:rPr>
              <w:t>pH</w:t>
            </w:r>
            <w:r>
              <w:rPr>
                <w:rFonts w:ascii="Times New Roman" w:hAnsi="Times New Roman" w:eastAsia="Times New Roman" w:cs="Times New Roman"/>
                <w:spacing w:val="23"/>
                <w:w w:val="101"/>
              </w:rPr>
              <w:t xml:space="preserve"> </w:t>
            </w:r>
            <w:r>
              <w:rPr>
                <w:spacing w:val="10"/>
              </w:rPr>
              <w:t>下限；</w:t>
            </w:r>
          </w:p>
          <w:p w14:paraId="2A39C27C">
            <w:pPr>
              <w:pStyle w:val="6"/>
              <w:spacing w:before="164" w:line="219" w:lineRule="auto"/>
              <w:ind w:left="1397"/>
            </w:pPr>
            <w:r>
              <w:rPr>
                <w:rFonts w:ascii="Times New Roman" w:hAnsi="Times New Roman" w:eastAsia="Times New Roman" w:cs="Times New Roman"/>
              </w:rPr>
              <w:t>pH</w:t>
            </w:r>
            <w:r>
              <w:rPr>
                <w:rFonts w:ascii="Times New Roman" w:hAnsi="Times New Roman" w:eastAsia="Times New Roman" w:cs="Times New Roman"/>
                <w:position w:val="-1"/>
                <w:sz w:val="16"/>
                <w:szCs w:val="16"/>
              </w:rPr>
              <w:t>su</w:t>
            </w:r>
            <w:r>
              <w:rPr>
                <w:spacing w:val="11"/>
              </w:rPr>
              <w:t>—标准中规定的</w:t>
            </w:r>
            <w:r>
              <w:rPr>
                <w:spacing w:val="-59"/>
              </w:rPr>
              <w:t xml:space="preserve"> </w:t>
            </w:r>
            <w:r>
              <w:rPr>
                <w:rFonts w:ascii="Times New Roman" w:hAnsi="Times New Roman" w:eastAsia="Times New Roman" w:cs="Times New Roman"/>
              </w:rPr>
              <w:t>pH</w:t>
            </w:r>
            <w:r>
              <w:rPr>
                <w:rFonts w:ascii="Times New Roman" w:hAnsi="Times New Roman" w:eastAsia="Times New Roman" w:cs="Times New Roman"/>
                <w:spacing w:val="11"/>
              </w:rPr>
              <w:t xml:space="preserve"> </w:t>
            </w:r>
            <w:r>
              <w:rPr>
                <w:spacing w:val="11"/>
              </w:rPr>
              <w:t>上限。</w:t>
            </w:r>
          </w:p>
          <w:p w14:paraId="2AAB650D">
            <w:pPr>
              <w:pStyle w:val="6"/>
              <w:spacing w:before="161" w:line="227" w:lineRule="auto"/>
              <w:ind w:left="639"/>
            </w:pPr>
            <w:r>
              <w:rPr>
                <w:spacing w:val="6"/>
              </w:rPr>
              <w:t>（</w:t>
            </w:r>
            <w:r>
              <w:rPr>
                <w:rFonts w:ascii="Times New Roman" w:hAnsi="Times New Roman" w:eastAsia="Times New Roman" w:cs="Times New Roman"/>
                <w:spacing w:val="6"/>
              </w:rPr>
              <w:t>3</w:t>
            </w:r>
            <w:r>
              <w:rPr>
                <w:spacing w:val="6"/>
              </w:rPr>
              <w:t>）监测结果</w:t>
            </w:r>
          </w:p>
          <w:p w14:paraId="2254E05C">
            <w:pPr>
              <w:pStyle w:val="6"/>
              <w:spacing w:before="153" w:line="226" w:lineRule="auto"/>
              <w:ind w:left="628"/>
            </w:pPr>
            <w:r>
              <w:rPr>
                <w:spacing w:val="6"/>
              </w:rPr>
              <w:t>地下水具体监测结果统计见下表</w:t>
            </w:r>
            <w:r>
              <w:rPr>
                <w:spacing w:val="-46"/>
              </w:rPr>
              <w:t xml:space="preserve"> </w:t>
            </w:r>
            <w:r>
              <w:rPr>
                <w:rFonts w:ascii="Times New Roman" w:hAnsi="Times New Roman" w:eastAsia="Times New Roman" w:cs="Times New Roman"/>
                <w:spacing w:val="6"/>
              </w:rPr>
              <w:t xml:space="preserve">3.1-5 </w:t>
            </w:r>
            <w:r>
              <w:rPr>
                <w:spacing w:val="6"/>
              </w:rPr>
              <w:t>和表</w:t>
            </w:r>
            <w:r>
              <w:rPr>
                <w:spacing w:val="-49"/>
              </w:rPr>
              <w:t xml:space="preserve"> </w:t>
            </w:r>
            <w:r>
              <w:rPr>
                <w:rFonts w:ascii="Times New Roman" w:hAnsi="Times New Roman" w:eastAsia="Times New Roman" w:cs="Times New Roman"/>
                <w:spacing w:val="6"/>
              </w:rPr>
              <w:t>3.1-6</w:t>
            </w:r>
            <w:r>
              <w:rPr>
                <w:spacing w:val="6"/>
              </w:rPr>
              <w:t>。</w:t>
            </w:r>
          </w:p>
          <w:p w14:paraId="09A3E42F">
            <w:pPr>
              <w:pStyle w:val="6"/>
              <w:spacing w:before="155" w:line="219" w:lineRule="auto"/>
              <w:ind w:left="1299"/>
              <w:rPr>
                <w:rFonts w:ascii="Times New Roman" w:hAnsi="Times New Roman" w:eastAsia="Times New Roman" w:cs="Times New Roman"/>
              </w:rPr>
            </w:pPr>
            <w:r>
              <w:rPr>
                <w:spacing w:val="7"/>
              </w:rPr>
              <w:t>表</w:t>
            </w:r>
            <w:r>
              <w:rPr>
                <w:spacing w:val="-47"/>
              </w:rPr>
              <w:t xml:space="preserve"> </w:t>
            </w:r>
            <w:r>
              <w:rPr>
                <w:rFonts w:ascii="Times New Roman" w:hAnsi="Times New Roman" w:eastAsia="Times New Roman" w:cs="Times New Roman"/>
                <w:spacing w:val="7"/>
              </w:rPr>
              <w:t xml:space="preserve">3.1-5    </w:t>
            </w:r>
            <w:r>
              <w:rPr>
                <w:spacing w:val="7"/>
              </w:rPr>
              <w:t>地下水八大离子监测结</w:t>
            </w:r>
            <w:r>
              <w:rPr>
                <w:spacing w:val="6"/>
              </w:rPr>
              <w:t>果  单位：</w:t>
            </w:r>
            <w:r>
              <w:rPr>
                <w:rFonts w:ascii="Times New Roman" w:hAnsi="Times New Roman" w:eastAsia="Times New Roman" w:cs="Times New Roman"/>
              </w:rPr>
              <w:t>mg</w:t>
            </w:r>
            <w:r>
              <w:rPr>
                <w:rFonts w:ascii="Times New Roman" w:hAnsi="Times New Roman" w:eastAsia="Times New Roman" w:cs="Times New Roman"/>
                <w:spacing w:val="6"/>
              </w:rPr>
              <w:t>/L</w:t>
            </w:r>
          </w:p>
          <w:p w14:paraId="18D12E89">
            <w:pPr>
              <w:spacing w:line="16" w:lineRule="exact"/>
            </w:pPr>
          </w:p>
          <w:tbl>
            <w:tblPr>
              <w:tblStyle w:val="5"/>
              <w:tblW w:w="7968"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6"/>
              <w:gridCol w:w="785"/>
              <w:gridCol w:w="786"/>
              <w:gridCol w:w="785"/>
              <w:gridCol w:w="785"/>
              <w:gridCol w:w="786"/>
              <w:gridCol w:w="786"/>
              <w:gridCol w:w="819"/>
              <w:gridCol w:w="860"/>
            </w:tblGrid>
            <w:tr w14:paraId="5D7CA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576" w:type="dxa"/>
                  <w:tcBorders>
                    <w:tl2br w:val="single" w:color="000000" w:sz="4" w:space="0"/>
                  </w:tcBorders>
                  <w:vAlign w:val="top"/>
                </w:tcPr>
                <w:p w14:paraId="5C812E64">
                  <w:pPr>
                    <w:pStyle w:val="6"/>
                    <w:spacing w:before="37" w:line="222" w:lineRule="auto"/>
                    <w:ind w:left="117" w:right="106" w:firstLine="475"/>
                    <w:rPr>
                      <w:sz w:val="22"/>
                      <w:szCs w:val="22"/>
                    </w:rPr>
                  </w:pPr>
                  <w:r>
                    <w:rPr>
                      <w:spacing w:val="-3"/>
                      <w:sz w:val="22"/>
                      <w:szCs w:val="22"/>
                    </w:rPr>
                    <w:t>监测项目监测点位</w:t>
                  </w:r>
                </w:p>
              </w:tc>
              <w:tc>
                <w:tcPr>
                  <w:tcW w:w="785" w:type="dxa"/>
                  <w:vAlign w:val="top"/>
                </w:tcPr>
                <w:p w14:paraId="272086BC">
                  <w:pPr>
                    <w:spacing w:before="209" w:line="195" w:lineRule="auto"/>
                    <w:ind w:left="273"/>
                    <w:rPr>
                      <w:rFonts w:ascii="Times New Roman" w:hAnsi="Times New Roman" w:eastAsia="Times New Roman" w:cs="Times New Roman"/>
                      <w:sz w:val="14"/>
                      <w:szCs w:val="14"/>
                    </w:rPr>
                  </w:pPr>
                  <w:r>
                    <w:rPr>
                      <w:rFonts w:ascii="Times New Roman" w:hAnsi="Times New Roman" w:eastAsia="Times New Roman" w:cs="Times New Roman"/>
                      <w:spacing w:val="-1"/>
                      <w:position w:val="-1"/>
                      <w:sz w:val="22"/>
                      <w:szCs w:val="22"/>
                    </w:rPr>
                    <w:t>K</w:t>
                  </w:r>
                  <w:r>
                    <w:rPr>
                      <w:rFonts w:ascii="Times New Roman" w:hAnsi="Times New Roman" w:eastAsia="Times New Roman" w:cs="Times New Roman"/>
                      <w:spacing w:val="-1"/>
                      <w:position w:val="5"/>
                      <w:sz w:val="14"/>
                      <w:szCs w:val="14"/>
                    </w:rPr>
                    <w:t>+</w:t>
                  </w:r>
                </w:p>
              </w:tc>
              <w:tc>
                <w:tcPr>
                  <w:tcW w:w="786" w:type="dxa"/>
                  <w:vAlign w:val="top"/>
                </w:tcPr>
                <w:p w14:paraId="772DC0B3">
                  <w:pPr>
                    <w:spacing w:before="208" w:line="195" w:lineRule="auto"/>
                    <w:ind w:left="218"/>
                    <w:rPr>
                      <w:rFonts w:ascii="Times New Roman" w:hAnsi="Times New Roman" w:eastAsia="Times New Roman" w:cs="Times New Roman"/>
                      <w:sz w:val="14"/>
                      <w:szCs w:val="14"/>
                    </w:rPr>
                  </w:pPr>
                  <w:r>
                    <w:rPr>
                      <w:rFonts w:ascii="Times New Roman" w:hAnsi="Times New Roman" w:eastAsia="Times New Roman" w:cs="Times New Roman"/>
                      <w:position w:val="-1"/>
                      <w:sz w:val="22"/>
                      <w:szCs w:val="22"/>
                    </w:rPr>
                    <w:t>Na</w:t>
                  </w:r>
                  <w:r>
                    <w:rPr>
                      <w:rFonts w:ascii="Times New Roman" w:hAnsi="Times New Roman" w:eastAsia="Times New Roman" w:cs="Times New Roman"/>
                      <w:spacing w:val="2"/>
                      <w:position w:val="6"/>
                      <w:sz w:val="14"/>
                      <w:szCs w:val="14"/>
                    </w:rPr>
                    <w:t>+</w:t>
                  </w:r>
                </w:p>
              </w:tc>
              <w:tc>
                <w:tcPr>
                  <w:tcW w:w="785" w:type="dxa"/>
                  <w:vAlign w:val="top"/>
                </w:tcPr>
                <w:p w14:paraId="6C681C90">
                  <w:pPr>
                    <w:spacing w:before="197" w:line="206" w:lineRule="auto"/>
                    <w:ind w:left="199"/>
                    <w:rPr>
                      <w:rFonts w:ascii="Times New Roman" w:hAnsi="Times New Roman" w:eastAsia="Times New Roman" w:cs="Times New Roman"/>
                      <w:sz w:val="14"/>
                      <w:szCs w:val="14"/>
                    </w:rPr>
                  </w:pPr>
                  <w:r>
                    <w:rPr>
                      <w:rFonts w:ascii="Times New Roman" w:hAnsi="Times New Roman" w:eastAsia="Times New Roman" w:cs="Times New Roman"/>
                      <w:spacing w:val="-2"/>
                      <w:position w:val="-2"/>
                      <w:sz w:val="22"/>
                      <w:szCs w:val="22"/>
                    </w:rPr>
                    <w:t>Ca</w:t>
                  </w:r>
                  <w:r>
                    <w:rPr>
                      <w:rFonts w:ascii="Times New Roman" w:hAnsi="Times New Roman" w:eastAsia="Times New Roman" w:cs="Times New Roman"/>
                      <w:spacing w:val="-2"/>
                      <w:position w:val="5"/>
                      <w:sz w:val="14"/>
                      <w:szCs w:val="14"/>
                    </w:rPr>
                    <w:t>2+</w:t>
                  </w:r>
                </w:p>
              </w:tc>
              <w:tc>
                <w:tcPr>
                  <w:tcW w:w="785" w:type="dxa"/>
                  <w:vAlign w:val="top"/>
                </w:tcPr>
                <w:p w14:paraId="32453CB7">
                  <w:pPr>
                    <w:spacing w:before="197" w:line="206" w:lineRule="auto"/>
                    <w:ind w:left="166"/>
                    <w:rPr>
                      <w:rFonts w:ascii="Times New Roman" w:hAnsi="Times New Roman" w:eastAsia="Times New Roman" w:cs="Times New Roman"/>
                      <w:sz w:val="14"/>
                      <w:szCs w:val="14"/>
                    </w:rPr>
                  </w:pPr>
                  <w:r>
                    <w:rPr>
                      <w:rFonts w:ascii="Times New Roman" w:hAnsi="Times New Roman" w:eastAsia="Times New Roman" w:cs="Times New Roman"/>
                      <w:spacing w:val="-1"/>
                      <w:position w:val="-1"/>
                      <w:sz w:val="22"/>
                      <w:szCs w:val="22"/>
                    </w:rPr>
                    <w:t>Mg</w:t>
                  </w:r>
                  <w:r>
                    <w:rPr>
                      <w:rFonts w:ascii="Times New Roman" w:hAnsi="Times New Roman" w:eastAsia="Times New Roman" w:cs="Times New Roman"/>
                      <w:spacing w:val="-1"/>
                      <w:position w:val="5"/>
                      <w:sz w:val="14"/>
                      <w:szCs w:val="14"/>
                    </w:rPr>
                    <w:t>2+</w:t>
                  </w:r>
                </w:p>
              </w:tc>
              <w:tc>
                <w:tcPr>
                  <w:tcW w:w="786" w:type="dxa"/>
                  <w:vAlign w:val="top"/>
                </w:tcPr>
                <w:p w14:paraId="5A876DA9">
                  <w:pPr>
                    <w:spacing w:before="210" w:line="193" w:lineRule="auto"/>
                    <w:ind w:left="270"/>
                    <w:rPr>
                      <w:rFonts w:ascii="Times New Roman" w:hAnsi="Times New Roman" w:eastAsia="Times New Roman" w:cs="Times New Roman"/>
                      <w:sz w:val="14"/>
                      <w:szCs w:val="14"/>
                    </w:rPr>
                  </w:pPr>
                  <w:r>
                    <w:rPr>
                      <w:rFonts w:ascii="Times New Roman" w:hAnsi="Times New Roman" w:eastAsia="Times New Roman" w:cs="Times New Roman"/>
                      <w:spacing w:val="-3"/>
                      <w:sz w:val="22"/>
                      <w:szCs w:val="22"/>
                    </w:rPr>
                    <w:t>Cl</w:t>
                  </w:r>
                  <w:r>
                    <w:rPr>
                      <w:rFonts w:ascii="Times New Roman" w:hAnsi="Times New Roman" w:eastAsia="Times New Roman" w:cs="Times New Roman"/>
                      <w:spacing w:val="-3"/>
                      <w:position w:val="7"/>
                      <w:sz w:val="14"/>
                      <w:szCs w:val="14"/>
                    </w:rPr>
                    <w:t>-</w:t>
                  </w:r>
                </w:p>
              </w:tc>
              <w:tc>
                <w:tcPr>
                  <w:tcW w:w="786" w:type="dxa"/>
                  <w:vAlign w:val="top"/>
                </w:tcPr>
                <w:p w14:paraId="2DC5FB5D">
                  <w:pPr>
                    <w:spacing w:before="197" w:line="203" w:lineRule="auto"/>
                    <w:ind w:left="170"/>
                    <w:rPr>
                      <w:rFonts w:ascii="Times New Roman" w:hAnsi="Times New Roman" w:eastAsia="Times New Roman" w:cs="Times New Roman"/>
                      <w:sz w:val="14"/>
                      <w:szCs w:val="14"/>
                    </w:rPr>
                  </w:pPr>
                  <w:r>
                    <w:rPr>
                      <w:rFonts w:ascii="Times New Roman" w:hAnsi="Times New Roman" w:eastAsia="Times New Roman" w:cs="Times New Roman"/>
                      <w:spacing w:val="-3"/>
                      <w:sz w:val="22"/>
                      <w:szCs w:val="22"/>
                    </w:rPr>
                    <w:t>SO</w:t>
                  </w:r>
                  <w:r>
                    <w:rPr>
                      <w:rFonts w:ascii="Times New Roman" w:hAnsi="Times New Roman" w:eastAsia="Times New Roman" w:cs="Times New Roman"/>
                      <w:spacing w:val="-3"/>
                      <w:position w:val="-2"/>
                      <w:sz w:val="14"/>
                      <w:szCs w:val="14"/>
                    </w:rPr>
                    <w:t>4</w:t>
                  </w:r>
                  <w:r>
                    <w:rPr>
                      <w:rFonts w:ascii="Times New Roman" w:hAnsi="Times New Roman" w:eastAsia="Times New Roman" w:cs="Times New Roman"/>
                      <w:spacing w:val="-3"/>
                      <w:position w:val="6"/>
                      <w:sz w:val="14"/>
                      <w:szCs w:val="14"/>
                    </w:rPr>
                    <w:t>2-</w:t>
                  </w:r>
                </w:p>
              </w:tc>
              <w:tc>
                <w:tcPr>
                  <w:tcW w:w="819" w:type="dxa"/>
                  <w:vAlign w:val="top"/>
                </w:tcPr>
                <w:p w14:paraId="4CF3AC4A">
                  <w:pPr>
                    <w:spacing w:before="197" w:line="203" w:lineRule="auto"/>
                    <w:ind w:left="167"/>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CO</w:t>
                  </w:r>
                  <w:r>
                    <w:rPr>
                      <w:rFonts w:ascii="Times New Roman" w:hAnsi="Times New Roman" w:eastAsia="Times New Roman" w:cs="Times New Roman"/>
                      <w:spacing w:val="-1"/>
                      <w:position w:val="-2"/>
                      <w:sz w:val="14"/>
                      <w:szCs w:val="14"/>
                    </w:rPr>
                    <w:t>3</w:t>
                  </w:r>
                  <w:r>
                    <w:rPr>
                      <w:rFonts w:ascii="Times New Roman" w:hAnsi="Times New Roman" w:eastAsia="Times New Roman" w:cs="Times New Roman"/>
                      <w:spacing w:val="-1"/>
                      <w:position w:val="6"/>
                      <w:sz w:val="14"/>
                      <w:szCs w:val="14"/>
                    </w:rPr>
                    <w:t>2-</w:t>
                  </w:r>
                </w:p>
              </w:tc>
              <w:tc>
                <w:tcPr>
                  <w:tcW w:w="860" w:type="dxa"/>
                  <w:vAlign w:val="top"/>
                </w:tcPr>
                <w:p w14:paraId="352F4B21">
                  <w:pPr>
                    <w:spacing w:before="214" w:line="196" w:lineRule="auto"/>
                    <w:ind w:left="138"/>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HCO</w:t>
                  </w:r>
                  <w:r>
                    <w:rPr>
                      <w:rFonts w:ascii="Times New Roman" w:hAnsi="Times New Roman" w:eastAsia="Times New Roman" w:cs="Times New Roman"/>
                      <w:spacing w:val="-1"/>
                      <w:position w:val="-1"/>
                      <w:sz w:val="14"/>
                      <w:szCs w:val="14"/>
                    </w:rPr>
                    <w:t>3</w:t>
                  </w:r>
                  <w:r>
                    <w:rPr>
                      <w:rFonts w:ascii="Times New Roman" w:hAnsi="Times New Roman" w:eastAsia="Times New Roman" w:cs="Times New Roman"/>
                      <w:spacing w:val="-1"/>
                      <w:position w:val="7"/>
                      <w:sz w:val="14"/>
                      <w:szCs w:val="14"/>
                    </w:rPr>
                    <w:t>-</w:t>
                  </w:r>
                </w:p>
              </w:tc>
            </w:tr>
            <w:tr w14:paraId="04013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1576" w:type="dxa"/>
                  <w:vAlign w:val="top"/>
                </w:tcPr>
                <w:p w14:paraId="05C0CA7E">
                  <w:pPr>
                    <w:pStyle w:val="6"/>
                    <w:spacing w:before="75" w:line="220" w:lineRule="auto"/>
                    <w:ind w:left="468"/>
                    <w:rPr>
                      <w:sz w:val="22"/>
                      <w:szCs w:val="22"/>
                    </w:rPr>
                  </w:pPr>
                  <w:r>
                    <w:rPr>
                      <w:spacing w:val="-4"/>
                      <w:sz w:val="22"/>
                      <w:szCs w:val="22"/>
                    </w:rPr>
                    <w:t>油罐区</w:t>
                  </w:r>
                </w:p>
              </w:tc>
              <w:tc>
                <w:tcPr>
                  <w:tcW w:w="785" w:type="dxa"/>
                  <w:vAlign w:val="top"/>
                </w:tcPr>
                <w:p w14:paraId="0096ECF8">
                  <w:pPr>
                    <w:spacing w:before="113" w:line="189" w:lineRule="auto"/>
                    <w:ind w:left="20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6.15</w:t>
                  </w:r>
                </w:p>
              </w:tc>
              <w:tc>
                <w:tcPr>
                  <w:tcW w:w="786" w:type="dxa"/>
                  <w:vAlign w:val="top"/>
                </w:tcPr>
                <w:p w14:paraId="7DE63DCE">
                  <w:pPr>
                    <w:spacing w:before="113" w:line="189" w:lineRule="auto"/>
                    <w:ind w:left="2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32.2</w:t>
                  </w:r>
                </w:p>
              </w:tc>
              <w:tc>
                <w:tcPr>
                  <w:tcW w:w="785" w:type="dxa"/>
                  <w:vAlign w:val="top"/>
                </w:tcPr>
                <w:p w14:paraId="7FEB0B99">
                  <w:pPr>
                    <w:spacing w:before="113" w:line="189" w:lineRule="auto"/>
                    <w:ind w:left="20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74.9</w:t>
                  </w:r>
                </w:p>
              </w:tc>
              <w:tc>
                <w:tcPr>
                  <w:tcW w:w="785" w:type="dxa"/>
                  <w:vAlign w:val="top"/>
                </w:tcPr>
                <w:p w14:paraId="53906808">
                  <w:pPr>
                    <w:spacing w:before="113" w:line="189" w:lineRule="auto"/>
                    <w:ind w:left="22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17.4</w:t>
                  </w:r>
                </w:p>
              </w:tc>
              <w:tc>
                <w:tcPr>
                  <w:tcW w:w="786" w:type="dxa"/>
                  <w:vAlign w:val="top"/>
                </w:tcPr>
                <w:p w14:paraId="150D8855">
                  <w:pPr>
                    <w:spacing w:before="113" w:line="189" w:lineRule="auto"/>
                    <w:ind w:left="13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0.01L</w:t>
                  </w:r>
                </w:p>
              </w:tc>
              <w:tc>
                <w:tcPr>
                  <w:tcW w:w="786" w:type="dxa"/>
                  <w:vAlign w:val="top"/>
                </w:tcPr>
                <w:p w14:paraId="2DEC98EB">
                  <w:pPr>
                    <w:spacing w:before="113" w:line="189" w:lineRule="auto"/>
                    <w:ind w:left="25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124</w:t>
                  </w:r>
                </w:p>
              </w:tc>
              <w:tc>
                <w:tcPr>
                  <w:tcW w:w="819" w:type="dxa"/>
                  <w:vAlign w:val="top"/>
                </w:tcPr>
                <w:p w14:paraId="7680C311">
                  <w:pPr>
                    <w:spacing w:before="116" w:line="186" w:lineRule="auto"/>
                    <w:ind w:left="29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5L</w:t>
                  </w:r>
                </w:p>
              </w:tc>
              <w:tc>
                <w:tcPr>
                  <w:tcW w:w="860" w:type="dxa"/>
                  <w:vAlign w:val="top"/>
                </w:tcPr>
                <w:p w14:paraId="5606DCD0">
                  <w:pPr>
                    <w:spacing w:before="113" w:line="189" w:lineRule="auto"/>
                    <w:ind w:left="26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215</w:t>
                  </w:r>
                </w:p>
              </w:tc>
            </w:tr>
          </w:tbl>
          <w:p w14:paraId="0917E4FA">
            <w:pPr>
              <w:pStyle w:val="6"/>
              <w:spacing w:before="31" w:line="218" w:lineRule="auto"/>
              <w:ind w:left="108"/>
              <w:rPr>
                <w:sz w:val="22"/>
                <w:szCs w:val="22"/>
              </w:rPr>
            </w:pPr>
            <w:r>
              <w:rPr>
                <w:spacing w:val="-2"/>
                <w:sz w:val="22"/>
                <w:szCs w:val="22"/>
              </w:rPr>
              <w:t>注：① “</w:t>
            </w:r>
            <w:r>
              <w:rPr>
                <w:rFonts w:ascii="Times New Roman" w:hAnsi="Times New Roman" w:eastAsia="Times New Roman" w:cs="Times New Roman"/>
                <w:spacing w:val="-2"/>
                <w:sz w:val="22"/>
                <w:szCs w:val="22"/>
              </w:rPr>
              <w:t>L</w:t>
            </w:r>
            <w:r>
              <w:rPr>
                <w:rFonts w:ascii="Times New Roman" w:hAnsi="Times New Roman" w:eastAsia="Times New Roman" w:cs="Times New Roman"/>
                <w:spacing w:val="-25"/>
                <w:sz w:val="22"/>
                <w:szCs w:val="22"/>
              </w:rPr>
              <w:t xml:space="preserve"> </w:t>
            </w:r>
            <w:r>
              <w:rPr>
                <w:spacing w:val="-2"/>
                <w:sz w:val="22"/>
                <w:szCs w:val="22"/>
              </w:rPr>
              <w:t>”表示检测值小于方法检出限；</w:t>
            </w:r>
          </w:p>
        </w:tc>
      </w:tr>
    </w:tbl>
    <w:p w14:paraId="2CB9A83A">
      <w:pPr>
        <w:pStyle w:val="2"/>
        <w:rPr>
          <w:sz w:val="21"/>
        </w:rPr>
      </w:pPr>
    </w:p>
    <w:p w14:paraId="16EDD629">
      <w:pPr>
        <w:rPr>
          <w:sz w:val="21"/>
          <w:szCs w:val="21"/>
        </w:rPr>
        <w:sectPr>
          <w:footerReference r:id="rId60" w:type="default"/>
          <w:pgSz w:w="11907" w:h="16840"/>
          <w:pgMar w:top="400" w:right="1449" w:bottom="1008" w:left="1448" w:header="0" w:footer="770" w:gutter="0"/>
          <w:cols w:space="720" w:num="1"/>
        </w:sectPr>
      </w:pPr>
    </w:p>
    <w:p w14:paraId="72B1A349">
      <w:pPr>
        <w:spacing w:before="24"/>
      </w:pPr>
    </w:p>
    <w:p w14:paraId="27E23E16">
      <w:pPr>
        <w:spacing w:before="24"/>
      </w:pPr>
    </w:p>
    <w:p w14:paraId="286CEDD4">
      <w:pPr>
        <w:spacing w:before="24"/>
      </w:pPr>
    </w:p>
    <w:p w14:paraId="5DA40EFF">
      <w:pPr>
        <w:spacing w:before="24"/>
      </w:pPr>
    </w:p>
    <w:p w14:paraId="13F3630F">
      <w:pPr>
        <w:spacing w:before="23"/>
      </w:pPr>
    </w:p>
    <w:p w14:paraId="0959E953">
      <w:pPr>
        <w:spacing w:before="23"/>
      </w:pPr>
    </w:p>
    <w:tbl>
      <w:tblPr>
        <w:tblStyle w:val="5"/>
        <w:tblW w:w="132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4"/>
        <w:gridCol w:w="12538"/>
      </w:tblGrid>
      <w:tr w14:paraId="7CCDE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3" w:hRule="atLeast"/>
        </w:trPr>
        <w:tc>
          <w:tcPr>
            <w:tcW w:w="694" w:type="dxa"/>
            <w:textDirection w:val="tbRlV"/>
            <w:vAlign w:val="top"/>
          </w:tcPr>
          <w:p w14:paraId="08F94265">
            <w:pPr>
              <w:pStyle w:val="6"/>
              <w:spacing w:before="214" w:line="214" w:lineRule="auto"/>
              <w:ind w:left="1485"/>
            </w:pPr>
            <w:r>
              <w:rPr>
                <w:spacing w:val="8"/>
              </w:rPr>
              <w:t>区</w:t>
            </w:r>
            <w:r>
              <w:rPr>
                <w:spacing w:val="82"/>
              </w:rPr>
              <w:t xml:space="preserve"> </w:t>
            </w:r>
            <w:r>
              <w:rPr>
                <w:spacing w:val="8"/>
              </w:rPr>
              <w:t>域</w:t>
            </w:r>
            <w:r>
              <w:rPr>
                <w:spacing w:val="77"/>
              </w:rPr>
              <w:t xml:space="preserve"> </w:t>
            </w:r>
            <w:r>
              <w:rPr>
                <w:spacing w:val="8"/>
              </w:rPr>
              <w:t>环</w:t>
            </w:r>
            <w:r>
              <w:rPr>
                <w:spacing w:val="74"/>
              </w:rPr>
              <w:t xml:space="preserve"> </w:t>
            </w:r>
            <w:r>
              <w:rPr>
                <w:spacing w:val="8"/>
              </w:rPr>
              <w:t>境</w:t>
            </w:r>
            <w:r>
              <w:rPr>
                <w:spacing w:val="77"/>
              </w:rPr>
              <w:t xml:space="preserve"> </w:t>
            </w:r>
            <w:r>
              <w:rPr>
                <w:spacing w:val="8"/>
              </w:rPr>
              <w:t>质</w:t>
            </w:r>
            <w:r>
              <w:rPr>
                <w:spacing w:val="77"/>
              </w:rPr>
              <w:t xml:space="preserve"> </w:t>
            </w:r>
            <w:r>
              <w:rPr>
                <w:spacing w:val="8"/>
              </w:rPr>
              <w:t>量</w:t>
            </w:r>
            <w:r>
              <w:rPr>
                <w:spacing w:val="75"/>
              </w:rPr>
              <w:t xml:space="preserve"> </w:t>
            </w:r>
            <w:r>
              <w:rPr>
                <w:spacing w:val="8"/>
              </w:rPr>
              <w:t>现</w:t>
            </w:r>
            <w:r>
              <w:rPr>
                <w:spacing w:val="77"/>
              </w:rPr>
              <w:t xml:space="preserve"> </w:t>
            </w:r>
            <w:r>
              <w:rPr>
                <w:spacing w:val="8"/>
              </w:rPr>
              <w:t>状</w:t>
            </w:r>
          </w:p>
        </w:tc>
        <w:tc>
          <w:tcPr>
            <w:tcW w:w="12538" w:type="dxa"/>
            <w:vAlign w:val="top"/>
          </w:tcPr>
          <w:p w14:paraId="4921B219">
            <w:pPr>
              <w:pStyle w:val="6"/>
              <w:spacing w:before="151" w:line="226" w:lineRule="auto"/>
              <w:ind w:left="3629"/>
            </w:pPr>
            <w:r>
              <w:rPr>
                <w:spacing w:val="7"/>
              </w:rPr>
              <w:t>表</w:t>
            </w:r>
            <w:r>
              <w:rPr>
                <w:spacing w:val="-47"/>
              </w:rPr>
              <w:t xml:space="preserve"> </w:t>
            </w:r>
            <w:r>
              <w:rPr>
                <w:rFonts w:ascii="Times New Roman" w:hAnsi="Times New Roman" w:eastAsia="Times New Roman" w:cs="Times New Roman"/>
                <w:spacing w:val="7"/>
              </w:rPr>
              <w:t xml:space="preserve">3.1-6    </w:t>
            </w:r>
            <w:r>
              <w:rPr>
                <w:spacing w:val="7"/>
              </w:rPr>
              <w:t>地下水环境现状监测</w:t>
            </w:r>
            <w:r>
              <w:rPr>
                <w:spacing w:val="6"/>
              </w:rPr>
              <w:t>数据统计结果表</w:t>
            </w:r>
          </w:p>
          <w:p w14:paraId="5FE7D680">
            <w:pPr>
              <w:spacing w:line="80" w:lineRule="auto"/>
              <w:rPr>
                <w:rFonts w:ascii="Arial"/>
                <w:sz w:val="2"/>
              </w:rPr>
            </w:pPr>
          </w:p>
          <w:tbl>
            <w:tblPr>
              <w:tblStyle w:val="5"/>
              <w:tblW w:w="12306" w:type="dxa"/>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6"/>
              <w:gridCol w:w="1266"/>
              <w:gridCol w:w="1173"/>
              <w:gridCol w:w="1018"/>
              <w:gridCol w:w="1018"/>
              <w:gridCol w:w="1018"/>
              <w:gridCol w:w="1018"/>
              <w:gridCol w:w="1018"/>
              <w:gridCol w:w="1019"/>
              <w:gridCol w:w="1019"/>
              <w:gridCol w:w="955"/>
              <w:gridCol w:w="958"/>
            </w:tblGrid>
            <w:tr w14:paraId="3685F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7" w:hRule="atLeast"/>
              </w:trPr>
              <w:tc>
                <w:tcPr>
                  <w:tcW w:w="2092" w:type="dxa"/>
                  <w:gridSpan w:val="2"/>
                  <w:vMerge w:val="restart"/>
                  <w:tcBorders>
                    <w:bottom w:val="nil"/>
                    <w:tl2br w:val="single" w:color="000000" w:sz="6" w:space="0"/>
                  </w:tcBorders>
                  <w:vAlign w:val="top"/>
                </w:tcPr>
                <w:p w14:paraId="68F62E75">
                  <w:pPr>
                    <w:spacing w:line="296" w:lineRule="auto"/>
                    <w:rPr>
                      <w:rFonts w:ascii="Arial"/>
                      <w:sz w:val="21"/>
                    </w:rPr>
                  </w:pPr>
                </w:p>
                <w:p w14:paraId="14AFD649">
                  <w:pPr>
                    <w:pStyle w:val="6"/>
                    <w:spacing w:before="72" w:line="365" w:lineRule="auto"/>
                    <w:ind w:left="113" w:right="490" w:firstLine="1048"/>
                    <w:rPr>
                      <w:sz w:val="22"/>
                      <w:szCs w:val="22"/>
                    </w:rPr>
                  </w:pPr>
                  <w:r>
                    <w:rPr>
                      <w:spacing w:val="-6"/>
                      <w:sz w:val="22"/>
                      <w:szCs w:val="22"/>
                    </w:rPr>
                    <w:t>项目</w:t>
                  </w:r>
                  <w:r>
                    <w:rPr>
                      <w:spacing w:val="-2"/>
                      <w:sz w:val="22"/>
                      <w:szCs w:val="22"/>
                    </w:rPr>
                    <w:t>采样点</w:t>
                  </w:r>
                </w:p>
              </w:tc>
              <w:tc>
                <w:tcPr>
                  <w:tcW w:w="1173" w:type="dxa"/>
                  <w:vAlign w:val="top"/>
                </w:tcPr>
                <w:p w14:paraId="5A3A8E9F">
                  <w:pPr>
                    <w:spacing w:line="297" w:lineRule="auto"/>
                    <w:rPr>
                      <w:rFonts w:ascii="Arial"/>
                      <w:sz w:val="21"/>
                    </w:rPr>
                  </w:pPr>
                </w:p>
                <w:p w14:paraId="4EFAB8FF">
                  <w:pPr>
                    <w:spacing w:before="63" w:line="186" w:lineRule="auto"/>
                    <w:ind w:left="441"/>
                    <w:rPr>
                      <w:rFonts w:ascii="Times New Roman" w:hAnsi="Times New Roman" w:eastAsia="Times New Roman" w:cs="Times New Roman"/>
                      <w:sz w:val="22"/>
                      <w:szCs w:val="22"/>
                    </w:rPr>
                  </w:pPr>
                  <w:r>
                    <w:rPr>
                      <w:rFonts w:ascii="Times New Roman" w:hAnsi="Times New Roman" w:eastAsia="Times New Roman" w:cs="Times New Roman"/>
                      <w:sz w:val="22"/>
                      <w:szCs w:val="22"/>
                    </w:rPr>
                    <w:t>pH</w:t>
                  </w:r>
                </w:p>
              </w:tc>
              <w:tc>
                <w:tcPr>
                  <w:tcW w:w="1018" w:type="dxa"/>
                  <w:vAlign w:val="top"/>
                </w:tcPr>
                <w:p w14:paraId="3E9EA11B">
                  <w:pPr>
                    <w:spacing w:line="248" w:lineRule="auto"/>
                    <w:rPr>
                      <w:rFonts w:ascii="Arial"/>
                      <w:sz w:val="21"/>
                    </w:rPr>
                  </w:pPr>
                </w:p>
                <w:p w14:paraId="427F135B">
                  <w:pPr>
                    <w:pStyle w:val="6"/>
                    <w:spacing w:before="71" w:line="219" w:lineRule="auto"/>
                    <w:ind w:left="290"/>
                    <w:rPr>
                      <w:sz w:val="22"/>
                      <w:szCs w:val="22"/>
                    </w:rPr>
                  </w:pPr>
                  <w:r>
                    <w:rPr>
                      <w:spacing w:val="-4"/>
                      <w:sz w:val="22"/>
                      <w:szCs w:val="22"/>
                    </w:rPr>
                    <w:t>氨氮</w:t>
                  </w:r>
                </w:p>
              </w:tc>
              <w:tc>
                <w:tcPr>
                  <w:tcW w:w="1018" w:type="dxa"/>
                  <w:vAlign w:val="top"/>
                </w:tcPr>
                <w:p w14:paraId="4BAD7A54">
                  <w:pPr>
                    <w:spacing w:line="247" w:lineRule="auto"/>
                    <w:rPr>
                      <w:rFonts w:ascii="Arial"/>
                      <w:sz w:val="21"/>
                    </w:rPr>
                  </w:pPr>
                </w:p>
                <w:p w14:paraId="23E358F9">
                  <w:pPr>
                    <w:pStyle w:val="6"/>
                    <w:spacing w:before="71" w:line="222" w:lineRule="auto"/>
                    <w:ind w:left="181"/>
                    <w:rPr>
                      <w:sz w:val="22"/>
                      <w:szCs w:val="22"/>
                    </w:rPr>
                  </w:pPr>
                  <w:r>
                    <w:rPr>
                      <w:spacing w:val="-3"/>
                      <w:sz w:val="22"/>
                      <w:szCs w:val="22"/>
                    </w:rPr>
                    <w:t>硝酸盐</w:t>
                  </w:r>
                </w:p>
              </w:tc>
              <w:tc>
                <w:tcPr>
                  <w:tcW w:w="1018" w:type="dxa"/>
                  <w:vAlign w:val="top"/>
                </w:tcPr>
                <w:p w14:paraId="68A953D3">
                  <w:pPr>
                    <w:pStyle w:val="6"/>
                    <w:spacing w:before="179" w:line="245" w:lineRule="auto"/>
                    <w:ind w:left="403" w:right="174" w:hanging="220"/>
                    <w:rPr>
                      <w:sz w:val="22"/>
                      <w:szCs w:val="22"/>
                    </w:rPr>
                  </w:pPr>
                  <w:r>
                    <w:rPr>
                      <w:spacing w:val="-4"/>
                      <w:sz w:val="22"/>
                      <w:szCs w:val="22"/>
                    </w:rPr>
                    <w:t>亚硝酸</w:t>
                  </w:r>
                  <w:r>
                    <w:rPr>
                      <w:sz w:val="22"/>
                      <w:szCs w:val="22"/>
                    </w:rPr>
                    <w:t>盐</w:t>
                  </w:r>
                </w:p>
              </w:tc>
              <w:tc>
                <w:tcPr>
                  <w:tcW w:w="1018" w:type="dxa"/>
                  <w:vAlign w:val="top"/>
                </w:tcPr>
                <w:p w14:paraId="2B496112">
                  <w:pPr>
                    <w:pStyle w:val="6"/>
                    <w:spacing w:before="36" w:line="239" w:lineRule="auto"/>
                    <w:ind w:left="111" w:right="100" w:firstLine="71"/>
                    <w:rPr>
                      <w:sz w:val="22"/>
                      <w:szCs w:val="22"/>
                    </w:rPr>
                  </w:pPr>
                  <w:r>
                    <w:rPr>
                      <w:spacing w:val="-3"/>
                      <w:sz w:val="22"/>
                      <w:szCs w:val="22"/>
                    </w:rPr>
                    <w:t>挥发性</w:t>
                  </w:r>
                  <w:r>
                    <w:rPr>
                      <w:spacing w:val="-22"/>
                      <w:sz w:val="22"/>
                      <w:szCs w:val="22"/>
                    </w:rPr>
                    <w:t>酚类（以</w:t>
                  </w:r>
                </w:p>
                <w:p w14:paraId="2392B4D4">
                  <w:pPr>
                    <w:pStyle w:val="6"/>
                    <w:spacing w:line="210" w:lineRule="auto"/>
                    <w:ind w:left="114"/>
                    <w:rPr>
                      <w:sz w:val="22"/>
                      <w:szCs w:val="22"/>
                    </w:rPr>
                  </w:pPr>
                  <w:r>
                    <w:rPr>
                      <w:spacing w:val="-3"/>
                      <w:sz w:val="22"/>
                      <w:szCs w:val="22"/>
                    </w:rPr>
                    <w:t>苯酚计）</w:t>
                  </w:r>
                </w:p>
              </w:tc>
              <w:tc>
                <w:tcPr>
                  <w:tcW w:w="1018" w:type="dxa"/>
                  <w:vAlign w:val="top"/>
                </w:tcPr>
                <w:p w14:paraId="49CB2A4B">
                  <w:pPr>
                    <w:spacing w:line="248" w:lineRule="auto"/>
                    <w:rPr>
                      <w:rFonts w:ascii="Arial"/>
                      <w:sz w:val="21"/>
                    </w:rPr>
                  </w:pPr>
                </w:p>
                <w:p w14:paraId="66D6F328">
                  <w:pPr>
                    <w:pStyle w:val="6"/>
                    <w:spacing w:before="71" w:line="220" w:lineRule="auto"/>
                    <w:ind w:left="182"/>
                    <w:rPr>
                      <w:sz w:val="22"/>
                      <w:szCs w:val="22"/>
                    </w:rPr>
                  </w:pPr>
                  <w:r>
                    <w:rPr>
                      <w:spacing w:val="-2"/>
                      <w:sz w:val="22"/>
                      <w:szCs w:val="22"/>
                    </w:rPr>
                    <w:t>氰化物</w:t>
                  </w:r>
                </w:p>
              </w:tc>
              <w:tc>
                <w:tcPr>
                  <w:tcW w:w="1019" w:type="dxa"/>
                  <w:vAlign w:val="top"/>
                </w:tcPr>
                <w:p w14:paraId="6C49FE69">
                  <w:pPr>
                    <w:spacing w:line="248" w:lineRule="auto"/>
                    <w:rPr>
                      <w:rFonts w:ascii="Arial"/>
                      <w:sz w:val="21"/>
                    </w:rPr>
                  </w:pPr>
                </w:p>
                <w:p w14:paraId="1B00A820">
                  <w:pPr>
                    <w:pStyle w:val="6"/>
                    <w:spacing w:before="71" w:line="220" w:lineRule="auto"/>
                    <w:ind w:left="186"/>
                    <w:rPr>
                      <w:sz w:val="22"/>
                      <w:szCs w:val="22"/>
                    </w:rPr>
                  </w:pPr>
                  <w:r>
                    <w:rPr>
                      <w:spacing w:val="-3"/>
                      <w:sz w:val="22"/>
                      <w:szCs w:val="22"/>
                    </w:rPr>
                    <w:t>氟化物</w:t>
                  </w:r>
                </w:p>
              </w:tc>
              <w:tc>
                <w:tcPr>
                  <w:tcW w:w="1019" w:type="dxa"/>
                  <w:vAlign w:val="top"/>
                </w:tcPr>
                <w:p w14:paraId="5E9991B0">
                  <w:pPr>
                    <w:spacing w:line="248" w:lineRule="auto"/>
                    <w:rPr>
                      <w:rFonts w:ascii="Arial"/>
                      <w:sz w:val="21"/>
                    </w:rPr>
                  </w:pPr>
                </w:p>
                <w:p w14:paraId="2D1311F4">
                  <w:pPr>
                    <w:pStyle w:val="6"/>
                    <w:spacing w:before="71" w:line="219" w:lineRule="auto"/>
                    <w:ind w:left="187"/>
                    <w:rPr>
                      <w:sz w:val="22"/>
                      <w:szCs w:val="22"/>
                    </w:rPr>
                  </w:pPr>
                  <w:r>
                    <w:rPr>
                      <w:spacing w:val="-3"/>
                      <w:sz w:val="22"/>
                      <w:szCs w:val="22"/>
                    </w:rPr>
                    <w:t>耗氧量</w:t>
                  </w:r>
                </w:p>
              </w:tc>
              <w:tc>
                <w:tcPr>
                  <w:tcW w:w="955" w:type="dxa"/>
                  <w:vAlign w:val="top"/>
                </w:tcPr>
                <w:p w14:paraId="19AE5598">
                  <w:pPr>
                    <w:spacing w:line="248" w:lineRule="auto"/>
                    <w:rPr>
                      <w:rFonts w:ascii="Arial"/>
                      <w:sz w:val="21"/>
                    </w:rPr>
                  </w:pPr>
                </w:p>
                <w:p w14:paraId="2C2AE5BD">
                  <w:pPr>
                    <w:pStyle w:val="6"/>
                    <w:spacing w:before="72" w:line="224" w:lineRule="auto"/>
                    <w:ind w:left="374"/>
                    <w:rPr>
                      <w:sz w:val="22"/>
                      <w:szCs w:val="22"/>
                    </w:rPr>
                  </w:pPr>
                  <w:r>
                    <w:rPr>
                      <w:sz w:val="22"/>
                      <w:szCs w:val="22"/>
                    </w:rPr>
                    <w:t>铅</w:t>
                  </w:r>
                </w:p>
              </w:tc>
              <w:tc>
                <w:tcPr>
                  <w:tcW w:w="958" w:type="dxa"/>
                  <w:vAlign w:val="top"/>
                </w:tcPr>
                <w:p w14:paraId="76FECA2D">
                  <w:pPr>
                    <w:spacing w:line="247" w:lineRule="auto"/>
                    <w:rPr>
                      <w:rFonts w:ascii="Arial"/>
                      <w:sz w:val="21"/>
                    </w:rPr>
                  </w:pPr>
                </w:p>
                <w:p w14:paraId="598FAFBA">
                  <w:pPr>
                    <w:pStyle w:val="6"/>
                    <w:spacing w:before="72" w:line="221" w:lineRule="auto"/>
                    <w:ind w:left="373"/>
                    <w:rPr>
                      <w:sz w:val="22"/>
                      <w:szCs w:val="22"/>
                    </w:rPr>
                  </w:pPr>
                  <w:r>
                    <w:rPr>
                      <w:sz w:val="22"/>
                      <w:szCs w:val="22"/>
                    </w:rPr>
                    <w:t>砷</w:t>
                  </w:r>
                </w:p>
              </w:tc>
            </w:tr>
            <w:tr w14:paraId="4ECCB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092" w:type="dxa"/>
                  <w:gridSpan w:val="2"/>
                  <w:vMerge w:val="continue"/>
                  <w:tcBorders>
                    <w:top w:val="nil"/>
                    <w:tl2br w:val="single" w:color="000000" w:sz="6" w:space="0"/>
                  </w:tcBorders>
                  <w:vAlign w:val="top"/>
                </w:tcPr>
                <w:p w14:paraId="459E0906">
                  <w:pPr>
                    <w:rPr>
                      <w:rFonts w:ascii="Arial"/>
                      <w:sz w:val="21"/>
                    </w:rPr>
                  </w:pPr>
                </w:p>
              </w:tc>
              <w:tc>
                <w:tcPr>
                  <w:tcW w:w="1173" w:type="dxa"/>
                  <w:vAlign w:val="top"/>
                </w:tcPr>
                <w:p w14:paraId="20EC6110">
                  <w:pPr>
                    <w:spacing w:before="104" w:line="193" w:lineRule="auto"/>
                    <w:ind w:left="54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18" w:type="dxa"/>
                  <w:vAlign w:val="top"/>
                </w:tcPr>
                <w:p w14:paraId="272D1C2F">
                  <w:pPr>
                    <w:spacing w:before="104" w:line="193" w:lineRule="auto"/>
                    <w:ind w:left="26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mg/L</w:t>
                  </w:r>
                </w:p>
              </w:tc>
              <w:tc>
                <w:tcPr>
                  <w:tcW w:w="1018" w:type="dxa"/>
                  <w:vAlign w:val="top"/>
                </w:tcPr>
                <w:p w14:paraId="09D5D349">
                  <w:pPr>
                    <w:spacing w:before="104" w:line="193" w:lineRule="auto"/>
                    <w:ind w:left="26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mg/L</w:t>
                  </w:r>
                </w:p>
              </w:tc>
              <w:tc>
                <w:tcPr>
                  <w:tcW w:w="1018" w:type="dxa"/>
                  <w:vAlign w:val="top"/>
                </w:tcPr>
                <w:p w14:paraId="509F2382">
                  <w:pPr>
                    <w:spacing w:before="104" w:line="193" w:lineRule="auto"/>
                    <w:ind w:left="26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mg/L</w:t>
                  </w:r>
                </w:p>
              </w:tc>
              <w:tc>
                <w:tcPr>
                  <w:tcW w:w="1018" w:type="dxa"/>
                  <w:vAlign w:val="top"/>
                </w:tcPr>
                <w:p w14:paraId="1DB12D98">
                  <w:pPr>
                    <w:spacing w:before="104" w:line="193" w:lineRule="auto"/>
                    <w:ind w:left="26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mg/L</w:t>
                  </w:r>
                </w:p>
              </w:tc>
              <w:tc>
                <w:tcPr>
                  <w:tcW w:w="1018" w:type="dxa"/>
                  <w:vAlign w:val="top"/>
                </w:tcPr>
                <w:p w14:paraId="4C69A706">
                  <w:pPr>
                    <w:spacing w:before="104" w:line="193" w:lineRule="auto"/>
                    <w:ind w:left="26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mg/L</w:t>
                  </w:r>
                </w:p>
              </w:tc>
              <w:tc>
                <w:tcPr>
                  <w:tcW w:w="1019" w:type="dxa"/>
                  <w:vAlign w:val="top"/>
                </w:tcPr>
                <w:p w14:paraId="7E622079">
                  <w:pPr>
                    <w:spacing w:before="104" w:line="193" w:lineRule="auto"/>
                    <w:ind w:left="26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mg/L</w:t>
                  </w:r>
                </w:p>
              </w:tc>
              <w:tc>
                <w:tcPr>
                  <w:tcW w:w="1019" w:type="dxa"/>
                  <w:vAlign w:val="top"/>
                </w:tcPr>
                <w:p w14:paraId="7EA9C87F">
                  <w:pPr>
                    <w:spacing w:before="104" w:line="193" w:lineRule="auto"/>
                    <w:ind w:left="27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mg/L</w:t>
                  </w:r>
                </w:p>
              </w:tc>
              <w:tc>
                <w:tcPr>
                  <w:tcW w:w="955" w:type="dxa"/>
                  <w:vAlign w:val="top"/>
                </w:tcPr>
                <w:p w14:paraId="27161DEB">
                  <w:pPr>
                    <w:spacing w:before="104" w:line="193" w:lineRule="auto"/>
                    <w:ind w:left="24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mg/L</w:t>
                  </w:r>
                </w:p>
              </w:tc>
              <w:tc>
                <w:tcPr>
                  <w:tcW w:w="958" w:type="dxa"/>
                  <w:vAlign w:val="top"/>
                </w:tcPr>
                <w:p w14:paraId="4ADA4C91">
                  <w:pPr>
                    <w:spacing w:before="104" w:line="193" w:lineRule="auto"/>
                    <w:ind w:left="23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mg/L</w:t>
                  </w:r>
                </w:p>
              </w:tc>
            </w:tr>
            <w:tr w14:paraId="710FC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092" w:type="dxa"/>
                  <w:gridSpan w:val="2"/>
                  <w:vAlign w:val="top"/>
                </w:tcPr>
                <w:p w14:paraId="6E9B7826">
                  <w:pPr>
                    <w:pStyle w:val="6"/>
                    <w:spacing w:before="71" w:line="220" w:lineRule="auto"/>
                    <w:ind w:left="282"/>
                    <w:rPr>
                      <w:sz w:val="22"/>
                      <w:szCs w:val="22"/>
                    </w:rPr>
                  </w:pPr>
                  <w:r>
                    <w:rPr>
                      <w:spacing w:val="-4"/>
                      <w:sz w:val="22"/>
                      <w:szCs w:val="22"/>
                    </w:rPr>
                    <w:t>标准值</w:t>
                  </w:r>
                  <w:r>
                    <w:rPr>
                      <w:spacing w:val="19"/>
                      <w:sz w:val="22"/>
                      <w:szCs w:val="22"/>
                    </w:rPr>
                    <w:t xml:space="preserve"> </w:t>
                  </w:r>
                  <w:r>
                    <w:rPr>
                      <w:spacing w:val="-4"/>
                      <w:sz w:val="22"/>
                      <w:szCs w:val="22"/>
                    </w:rPr>
                    <w:t>(</w:t>
                  </w:r>
                  <w:r>
                    <w:rPr>
                      <w:rFonts w:ascii="Times New Roman" w:hAnsi="Times New Roman" w:eastAsia="Times New Roman" w:cs="Times New Roman"/>
                      <w:spacing w:val="-4"/>
                      <w:sz w:val="22"/>
                      <w:szCs w:val="22"/>
                    </w:rPr>
                    <w:t>Ⅲ</w:t>
                  </w:r>
                  <w:r>
                    <w:rPr>
                      <w:spacing w:val="-4"/>
                      <w:sz w:val="22"/>
                      <w:szCs w:val="22"/>
                    </w:rPr>
                    <w:t>类）</w:t>
                  </w:r>
                </w:p>
              </w:tc>
              <w:tc>
                <w:tcPr>
                  <w:tcW w:w="1173" w:type="dxa"/>
                  <w:vAlign w:val="top"/>
                </w:tcPr>
                <w:p w14:paraId="1B1B9A9D">
                  <w:pPr>
                    <w:spacing w:before="109" w:line="189" w:lineRule="auto"/>
                    <w:ind w:left="25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6.5~8.5</w:t>
                  </w:r>
                </w:p>
              </w:tc>
              <w:tc>
                <w:tcPr>
                  <w:tcW w:w="1018" w:type="dxa"/>
                  <w:vAlign w:val="top"/>
                </w:tcPr>
                <w:p w14:paraId="5E9EFDCC">
                  <w:pPr>
                    <w:spacing w:before="109" w:line="189" w:lineRule="auto"/>
                    <w:ind w:left="31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0.50</w:t>
                  </w:r>
                </w:p>
              </w:tc>
              <w:tc>
                <w:tcPr>
                  <w:tcW w:w="1018" w:type="dxa"/>
                  <w:vAlign w:val="top"/>
                </w:tcPr>
                <w:p w14:paraId="12D358F6">
                  <w:pPr>
                    <w:spacing w:before="109" w:line="189" w:lineRule="auto"/>
                    <w:ind w:left="31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20.0</w:t>
                  </w:r>
                </w:p>
              </w:tc>
              <w:tc>
                <w:tcPr>
                  <w:tcW w:w="1018" w:type="dxa"/>
                  <w:vAlign w:val="top"/>
                </w:tcPr>
                <w:p w14:paraId="507B0CD1">
                  <w:pPr>
                    <w:spacing w:before="109" w:line="189" w:lineRule="auto"/>
                    <w:ind w:left="335"/>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1.00</w:t>
                  </w:r>
                </w:p>
              </w:tc>
              <w:tc>
                <w:tcPr>
                  <w:tcW w:w="1018" w:type="dxa"/>
                  <w:vAlign w:val="top"/>
                </w:tcPr>
                <w:p w14:paraId="564BDFF6">
                  <w:pPr>
                    <w:spacing w:before="109" w:line="189" w:lineRule="auto"/>
                    <w:ind w:left="26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0.002</w:t>
                  </w:r>
                </w:p>
              </w:tc>
              <w:tc>
                <w:tcPr>
                  <w:tcW w:w="1018" w:type="dxa"/>
                  <w:vAlign w:val="top"/>
                </w:tcPr>
                <w:p w14:paraId="1D071EE9">
                  <w:pPr>
                    <w:spacing w:before="109" w:line="189" w:lineRule="auto"/>
                    <w:ind w:left="32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0.05</w:t>
                  </w:r>
                </w:p>
              </w:tc>
              <w:tc>
                <w:tcPr>
                  <w:tcW w:w="1019" w:type="dxa"/>
                  <w:vAlign w:val="top"/>
                </w:tcPr>
                <w:p w14:paraId="3868E4A5">
                  <w:pPr>
                    <w:spacing w:before="109" w:line="189" w:lineRule="auto"/>
                    <w:ind w:left="394"/>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w:t>
                  </w:r>
                </w:p>
              </w:tc>
              <w:tc>
                <w:tcPr>
                  <w:tcW w:w="1019" w:type="dxa"/>
                  <w:vAlign w:val="top"/>
                </w:tcPr>
                <w:p w14:paraId="1EE63097">
                  <w:pPr>
                    <w:spacing w:before="109" w:line="189" w:lineRule="auto"/>
                    <w:ind w:left="37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w:t>
                  </w:r>
                </w:p>
              </w:tc>
              <w:tc>
                <w:tcPr>
                  <w:tcW w:w="955" w:type="dxa"/>
                  <w:vAlign w:val="top"/>
                </w:tcPr>
                <w:p w14:paraId="63BE27D9">
                  <w:pPr>
                    <w:spacing w:before="109" w:line="189" w:lineRule="auto"/>
                    <w:ind w:left="29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w:t>
                  </w:r>
                </w:p>
              </w:tc>
              <w:tc>
                <w:tcPr>
                  <w:tcW w:w="958" w:type="dxa"/>
                  <w:vAlign w:val="top"/>
                </w:tcPr>
                <w:p w14:paraId="1A80B65B">
                  <w:pPr>
                    <w:spacing w:before="109" w:line="189" w:lineRule="auto"/>
                    <w:ind w:left="29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w:t>
                  </w:r>
                </w:p>
              </w:tc>
            </w:tr>
            <w:tr w14:paraId="1FCF2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26" w:type="dxa"/>
                  <w:vMerge w:val="restart"/>
                  <w:tcBorders>
                    <w:bottom w:val="nil"/>
                  </w:tcBorders>
                  <w:vAlign w:val="top"/>
                </w:tcPr>
                <w:p w14:paraId="1C0C24A5">
                  <w:pPr>
                    <w:spacing w:line="242" w:lineRule="auto"/>
                    <w:rPr>
                      <w:rFonts w:ascii="Arial"/>
                      <w:sz w:val="21"/>
                    </w:rPr>
                  </w:pPr>
                </w:p>
                <w:p w14:paraId="3F07AD9B">
                  <w:pPr>
                    <w:pStyle w:val="6"/>
                    <w:spacing w:before="71" w:line="244" w:lineRule="auto"/>
                    <w:ind w:left="319" w:right="187" w:hanging="120"/>
                    <w:rPr>
                      <w:sz w:val="22"/>
                      <w:szCs w:val="22"/>
                    </w:rPr>
                  </w:pPr>
                  <w:r>
                    <w:rPr>
                      <w:spacing w:val="-6"/>
                      <w:sz w:val="22"/>
                      <w:szCs w:val="22"/>
                    </w:rPr>
                    <w:t>油罐</w:t>
                  </w:r>
                  <w:r>
                    <w:rPr>
                      <w:sz w:val="22"/>
                      <w:szCs w:val="22"/>
                    </w:rPr>
                    <w:t>区</w:t>
                  </w:r>
                </w:p>
              </w:tc>
              <w:tc>
                <w:tcPr>
                  <w:tcW w:w="1266" w:type="dxa"/>
                  <w:vAlign w:val="top"/>
                </w:tcPr>
                <w:p w14:paraId="777BDD2A">
                  <w:pPr>
                    <w:pStyle w:val="6"/>
                    <w:spacing w:before="72" w:line="220" w:lineRule="auto"/>
                    <w:ind w:left="300"/>
                    <w:rPr>
                      <w:sz w:val="22"/>
                      <w:szCs w:val="22"/>
                    </w:rPr>
                  </w:pPr>
                  <w:r>
                    <w:rPr>
                      <w:spacing w:val="-3"/>
                      <w:sz w:val="22"/>
                      <w:szCs w:val="22"/>
                    </w:rPr>
                    <w:t>浓度值</w:t>
                  </w:r>
                </w:p>
              </w:tc>
              <w:tc>
                <w:tcPr>
                  <w:tcW w:w="1173" w:type="dxa"/>
                  <w:vAlign w:val="top"/>
                </w:tcPr>
                <w:p w14:paraId="3514950B">
                  <w:pPr>
                    <w:spacing w:before="113" w:line="186" w:lineRule="auto"/>
                    <w:ind w:left="44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7.7</w:t>
                  </w:r>
                </w:p>
              </w:tc>
              <w:tc>
                <w:tcPr>
                  <w:tcW w:w="1018" w:type="dxa"/>
                  <w:vAlign w:val="top"/>
                </w:tcPr>
                <w:p w14:paraId="560487D3">
                  <w:pPr>
                    <w:spacing w:before="110" w:line="189" w:lineRule="auto"/>
                    <w:ind w:left="26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0.080</w:t>
                  </w:r>
                </w:p>
              </w:tc>
              <w:tc>
                <w:tcPr>
                  <w:tcW w:w="1018" w:type="dxa"/>
                  <w:vAlign w:val="top"/>
                </w:tcPr>
                <w:p w14:paraId="58013623">
                  <w:pPr>
                    <w:spacing w:before="110" w:line="189" w:lineRule="auto"/>
                    <w:ind w:left="31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2.18</w:t>
                  </w:r>
                </w:p>
              </w:tc>
              <w:tc>
                <w:tcPr>
                  <w:tcW w:w="1018" w:type="dxa"/>
                  <w:vAlign w:val="top"/>
                </w:tcPr>
                <w:p w14:paraId="45FD91D8">
                  <w:pPr>
                    <w:spacing w:before="110" w:line="189" w:lineRule="auto"/>
                    <w:ind w:left="26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0.003</w:t>
                  </w:r>
                </w:p>
              </w:tc>
              <w:tc>
                <w:tcPr>
                  <w:tcW w:w="1018" w:type="dxa"/>
                  <w:vAlign w:val="top"/>
                </w:tcPr>
                <w:p w14:paraId="662C9613">
                  <w:pPr>
                    <w:spacing w:before="110" w:line="189" w:lineRule="auto"/>
                    <w:ind w:left="20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0.0006</w:t>
                  </w:r>
                </w:p>
              </w:tc>
              <w:tc>
                <w:tcPr>
                  <w:tcW w:w="1018" w:type="dxa"/>
                  <w:vAlign w:val="top"/>
                </w:tcPr>
                <w:p w14:paraId="19AAA363">
                  <w:pPr>
                    <w:spacing w:before="110" w:line="189" w:lineRule="auto"/>
                    <w:ind w:left="19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0.002L</w:t>
                  </w:r>
                </w:p>
              </w:tc>
              <w:tc>
                <w:tcPr>
                  <w:tcW w:w="1019" w:type="dxa"/>
                  <w:vAlign w:val="top"/>
                </w:tcPr>
                <w:p w14:paraId="2269589B">
                  <w:pPr>
                    <w:spacing w:before="110" w:line="189" w:lineRule="auto"/>
                    <w:ind w:left="26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0.767</w:t>
                  </w:r>
                </w:p>
              </w:tc>
              <w:tc>
                <w:tcPr>
                  <w:tcW w:w="1019" w:type="dxa"/>
                  <w:vAlign w:val="top"/>
                </w:tcPr>
                <w:p w14:paraId="56318665">
                  <w:pPr>
                    <w:spacing w:before="110" w:line="189" w:lineRule="auto"/>
                    <w:ind w:left="340"/>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1.31</w:t>
                  </w:r>
                </w:p>
              </w:tc>
              <w:tc>
                <w:tcPr>
                  <w:tcW w:w="955" w:type="dxa"/>
                  <w:vAlign w:val="top"/>
                </w:tcPr>
                <w:p w14:paraId="0A10C10D">
                  <w:pPr>
                    <w:spacing w:before="110" w:line="189" w:lineRule="auto"/>
                    <w:ind w:left="11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0.0025L</w:t>
                  </w:r>
                </w:p>
              </w:tc>
              <w:tc>
                <w:tcPr>
                  <w:tcW w:w="958" w:type="dxa"/>
                  <w:vAlign w:val="top"/>
                </w:tcPr>
                <w:p w14:paraId="6E113951">
                  <w:pPr>
                    <w:spacing w:before="92" w:line="206" w:lineRule="auto"/>
                    <w:ind w:left="13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3×10</w:t>
                  </w:r>
                  <w:r>
                    <w:rPr>
                      <w:rFonts w:ascii="Times New Roman" w:hAnsi="Times New Roman" w:eastAsia="Times New Roman" w:cs="Times New Roman"/>
                      <w:spacing w:val="-1"/>
                      <w:position w:val="6"/>
                      <w:sz w:val="14"/>
                      <w:szCs w:val="14"/>
                    </w:rPr>
                    <w:t>-4</w:t>
                  </w:r>
                  <w:r>
                    <w:rPr>
                      <w:rFonts w:ascii="Times New Roman" w:hAnsi="Times New Roman" w:eastAsia="Times New Roman" w:cs="Times New Roman"/>
                      <w:spacing w:val="-1"/>
                      <w:sz w:val="22"/>
                      <w:szCs w:val="22"/>
                    </w:rPr>
                    <w:t>L</w:t>
                  </w:r>
                </w:p>
              </w:tc>
            </w:tr>
            <w:tr w14:paraId="4AA2A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26" w:type="dxa"/>
                  <w:vMerge w:val="continue"/>
                  <w:tcBorders>
                    <w:top w:val="nil"/>
                    <w:bottom w:val="nil"/>
                  </w:tcBorders>
                  <w:vAlign w:val="top"/>
                </w:tcPr>
                <w:p w14:paraId="720BCB74">
                  <w:pPr>
                    <w:rPr>
                      <w:rFonts w:ascii="Arial"/>
                      <w:sz w:val="21"/>
                    </w:rPr>
                  </w:pPr>
                </w:p>
              </w:tc>
              <w:tc>
                <w:tcPr>
                  <w:tcW w:w="1266" w:type="dxa"/>
                  <w:vAlign w:val="top"/>
                </w:tcPr>
                <w:p w14:paraId="78F5AEFC">
                  <w:pPr>
                    <w:pStyle w:val="6"/>
                    <w:spacing w:before="73" w:line="220" w:lineRule="auto"/>
                    <w:ind w:left="396"/>
                    <w:rPr>
                      <w:sz w:val="22"/>
                      <w:szCs w:val="22"/>
                    </w:rPr>
                  </w:pPr>
                  <w:r>
                    <w:rPr>
                      <w:rFonts w:ascii="Times New Roman" w:hAnsi="Times New Roman" w:eastAsia="Times New Roman" w:cs="Times New Roman"/>
                      <w:spacing w:val="-2"/>
                      <w:sz w:val="22"/>
                      <w:szCs w:val="22"/>
                    </w:rPr>
                    <w:t>Pi</w:t>
                  </w:r>
                  <w:r>
                    <w:rPr>
                      <w:rFonts w:ascii="Times New Roman" w:hAnsi="Times New Roman" w:eastAsia="Times New Roman" w:cs="Times New Roman"/>
                      <w:spacing w:val="11"/>
                      <w:sz w:val="22"/>
                      <w:szCs w:val="22"/>
                    </w:rPr>
                    <w:t xml:space="preserve"> </w:t>
                  </w:r>
                  <w:r>
                    <w:rPr>
                      <w:spacing w:val="-2"/>
                      <w:sz w:val="22"/>
                      <w:szCs w:val="22"/>
                    </w:rPr>
                    <w:t>值</w:t>
                  </w:r>
                </w:p>
              </w:tc>
              <w:tc>
                <w:tcPr>
                  <w:tcW w:w="1173" w:type="dxa"/>
                  <w:vAlign w:val="top"/>
                </w:tcPr>
                <w:p w14:paraId="5CED265A">
                  <w:pPr>
                    <w:spacing w:before="111" w:line="189" w:lineRule="auto"/>
                    <w:ind w:left="39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0.35</w:t>
                  </w:r>
                </w:p>
              </w:tc>
              <w:tc>
                <w:tcPr>
                  <w:tcW w:w="1018" w:type="dxa"/>
                  <w:vAlign w:val="top"/>
                </w:tcPr>
                <w:p w14:paraId="6A254548">
                  <w:pPr>
                    <w:spacing w:before="111" w:line="189" w:lineRule="auto"/>
                    <w:ind w:left="31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0.16</w:t>
                  </w:r>
                </w:p>
              </w:tc>
              <w:tc>
                <w:tcPr>
                  <w:tcW w:w="1018" w:type="dxa"/>
                  <w:vAlign w:val="top"/>
                </w:tcPr>
                <w:p w14:paraId="6B3C9BDC">
                  <w:pPr>
                    <w:spacing w:before="111" w:line="189" w:lineRule="auto"/>
                    <w:ind w:left="26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0.109</w:t>
                  </w:r>
                </w:p>
              </w:tc>
              <w:tc>
                <w:tcPr>
                  <w:tcW w:w="1018" w:type="dxa"/>
                  <w:vAlign w:val="top"/>
                </w:tcPr>
                <w:p w14:paraId="20C7397F">
                  <w:pPr>
                    <w:spacing w:before="111" w:line="189" w:lineRule="auto"/>
                    <w:ind w:left="26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0.003</w:t>
                  </w:r>
                </w:p>
              </w:tc>
              <w:tc>
                <w:tcPr>
                  <w:tcW w:w="1018" w:type="dxa"/>
                  <w:vAlign w:val="top"/>
                </w:tcPr>
                <w:p w14:paraId="58DC05EA">
                  <w:pPr>
                    <w:spacing w:before="111" w:line="189" w:lineRule="auto"/>
                    <w:ind w:left="37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0.3</w:t>
                  </w:r>
                </w:p>
              </w:tc>
              <w:tc>
                <w:tcPr>
                  <w:tcW w:w="1018" w:type="dxa"/>
                  <w:vAlign w:val="top"/>
                </w:tcPr>
                <w:p w14:paraId="39385D9A">
                  <w:pPr>
                    <w:spacing w:before="111" w:line="189" w:lineRule="auto"/>
                    <w:ind w:left="32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0.04</w:t>
                  </w:r>
                </w:p>
              </w:tc>
              <w:tc>
                <w:tcPr>
                  <w:tcW w:w="1019" w:type="dxa"/>
                  <w:vAlign w:val="top"/>
                </w:tcPr>
                <w:p w14:paraId="47315560">
                  <w:pPr>
                    <w:spacing w:before="111" w:line="189" w:lineRule="auto"/>
                    <w:ind w:left="26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0.767</w:t>
                  </w:r>
                </w:p>
              </w:tc>
              <w:tc>
                <w:tcPr>
                  <w:tcW w:w="1019" w:type="dxa"/>
                  <w:vAlign w:val="top"/>
                </w:tcPr>
                <w:p w14:paraId="15FCB3AB">
                  <w:pPr>
                    <w:spacing w:before="111" w:line="189" w:lineRule="auto"/>
                    <w:ind w:left="26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0.437</w:t>
                  </w:r>
                </w:p>
              </w:tc>
              <w:tc>
                <w:tcPr>
                  <w:tcW w:w="955" w:type="dxa"/>
                  <w:vAlign w:val="top"/>
                </w:tcPr>
                <w:p w14:paraId="5EB02BF6">
                  <w:pPr>
                    <w:spacing w:before="111" w:line="189" w:lineRule="auto"/>
                    <w:ind w:left="29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0.25</w:t>
                  </w:r>
                </w:p>
              </w:tc>
              <w:tc>
                <w:tcPr>
                  <w:tcW w:w="958" w:type="dxa"/>
                  <w:vAlign w:val="top"/>
                </w:tcPr>
                <w:p w14:paraId="286DA794">
                  <w:pPr>
                    <w:spacing w:before="111" w:line="189" w:lineRule="auto"/>
                    <w:ind w:left="29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0.03</w:t>
                  </w:r>
                </w:p>
              </w:tc>
            </w:tr>
            <w:tr w14:paraId="7E692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26" w:type="dxa"/>
                  <w:vMerge w:val="continue"/>
                  <w:tcBorders>
                    <w:top w:val="nil"/>
                  </w:tcBorders>
                  <w:vAlign w:val="top"/>
                </w:tcPr>
                <w:p w14:paraId="4029B882">
                  <w:pPr>
                    <w:rPr>
                      <w:rFonts w:ascii="Arial"/>
                      <w:sz w:val="21"/>
                    </w:rPr>
                  </w:pPr>
                </w:p>
              </w:tc>
              <w:tc>
                <w:tcPr>
                  <w:tcW w:w="1266" w:type="dxa"/>
                  <w:vAlign w:val="top"/>
                </w:tcPr>
                <w:p w14:paraId="547704A4">
                  <w:pPr>
                    <w:pStyle w:val="6"/>
                    <w:spacing w:before="74" w:line="221" w:lineRule="auto"/>
                    <w:ind w:left="196"/>
                    <w:rPr>
                      <w:sz w:val="22"/>
                      <w:szCs w:val="22"/>
                    </w:rPr>
                  </w:pPr>
                  <w:r>
                    <w:rPr>
                      <w:spacing w:val="-3"/>
                      <w:sz w:val="22"/>
                      <w:szCs w:val="22"/>
                    </w:rPr>
                    <w:t>是否达标</w:t>
                  </w:r>
                </w:p>
              </w:tc>
              <w:tc>
                <w:tcPr>
                  <w:tcW w:w="1173" w:type="dxa"/>
                  <w:vAlign w:val="top"/>
                </w:tcPr>
                <w:p w14:paraId="60438959">
                  <w:pPr>
                    <w:pStyle w:val="6"/>
                    <w:spacing w:before="74" w:line="221" w:lineRule="auto"/>
                    <w:ind w:left="365"/>
                    <w:rPr>
                      <w:sz w:val="22"/>
                      <w:szCs w:val="22"/>
                    </w:rPr>
                  </w:pPr>
                  <w:r>
                    <w:rPr>
                      <w:spacing w:val="-3"/>
                      <w:sz w:val="22"/>
                      <w:szCs w:val="22"/>
                    </w:rPr>
                    <w:t>达标</w:t>
                  </w:r>
                </w:p>
              </w:tc>
              <w:tc>
                <w:tcPr>
                  <w:tcW w:w="1018" w:type="dxa"/>
                  <w:vAlign w:val="top"/>
                </w:tcPr>
                <w:p w14:paraId="0F946967">
                  <w:pPr>
                    <w:pStyle w:val="6"/>
                    <w:spacing w:before="74" w:line="221" w:lineRule="auto"/>
                    <w:ind w:left="289"/>
                    <w:rPr>
                      <w:sz w:val="22"/>
                      <w:szCs w:val="22"/>
                    </w:rPr>
                  </w:pPr>
                  <w:r>
                    <w:rPr>
                      <w:spacing w:val="-3"/>
                      <w:sz w:val="22"/>
                      <w:szCs w:val="22"/>
                    </w:rPr>
                    <w:t>达标</w:t>
                  </w:r>
                </w:p>
              </w:tc>
              <w:tc>
                <w:tcPr>
                  <w:tcW w:w="1018" w:type="dxa"/>
                  <w:vAlign w:val="top"/>
                </w:tcPr>
                <w:p w14:paraId="7774D9B3">
                  <w:pPr>
                    <w:pStyle w:val="6"/>
                    <w:spacing w:before="74" w:line="221" w:lineRule="auto"/>
                    <w:ind w:left="289"/>
                    <w:rPr>
                      <w:sz w:val="22"/>
                      <w:szCs w:val="22"/>
                    </w:rPr>
                  </w:pPr>
                  <w:r>
                    <w:rPr>
                      <w:spacing w:val="-3"/>
                      <w:sz w:val="22"/>
                      <w:szCs w:val="22"/>
                    </w:rPr>
                    <w:t>达标</w:t>
                  </w:r>
                </w:p>
              </w:tc>
              <w:tc>
                <w:tcPr>
                  <w:tcW w:w="1018" w:type="dxa"/>
                  <w:vAlign w:val="top"/>
                </w:tcPr>
                <w:p w14:paraId="1E5B060F">
                  <w:pPr>
                    <w:pStyle w:val="6"/>
                    <w:spacing w:before="74" w:line="221" w:lineRule="auto"/>
                    <w:ind w:left="291"/>
                    <w:rPr>
                      <w:sz w:val="22"/>
                      <w:szCs w:val="22"/>
                    </w:rPr>
                  </w:pPr>
                  <w:r>
                    <w:rPr>
                      <w:spacing w:val="-3"/>
                      <w:sz w:val="22"/>
                      <w:szCs w:val="22"/>
                    </w:rPr>
                    <w:t>达标</w:t>
                  </w:r>
                </w:p>
              </w:tc>
              <w:tc>
                <w:tcPr>
                  <w:tcW w:w="1018" w:type="dxa"/>
                  <w:vAlign w:val="top"/>
                </w:tcPr>
                <w:p w14:paraId="258BB469">
                  <w:pPr>
                    <w:pStyle w:val="6"/>
                    <w:spacing w:before="74" w:line="221" w:lineRule="auto"/>
                    <w:ind w:left="290"/>
                    <w:rPr>
                      <w:sz w:val="22"/>
                      <w:szCs w:val="22"/>
                    </w:rPr>
                  </w:pPr>
                  <w:r>
                    <w:rPr>
                      <w:spacing w:val="-3"/>
                      <w:sz w:val="22"/>
                      <w:szCs w:val="22"/>
                    </w:rPr>
                    <w:t>达标</w:t>
                  </w:r>
                </w:p>
              </w:tc>
              <w:tc>
                <w:tcPr>
                  <w:tcW w:w="1018" w:type="dxa"/>
                  <w:vAlign w:val="top"/>
                </w:tcPr>
                <w:p w14:paraId="46982AE4">
                  <w:pPr>
                    <w:pStyle w:val="6"/>
                    <w:spacing w:before="74" w:line="221" w:lineRule="auto"/>
                    <w:ind w:left="292"/>
                    <w:rPr>
                      <w:sz w:val="22"/>
                      <w:szCs w:val="22"/>
                    </w:rPr>
                  </w:pPr>
                  <w:r>
                    <w:rPr>
                      <w:spacing w:val="-3"/>
                      <w:sz w:val="22"/>
                      <w:szCs w:val="22"/>
                    </w:rPr>
                    <w:t>达标</w:t>
                  </w:r>
                </w:p>
              </w:tc>
              <w:tc>
                <w:tcPr>
                  <w:tcW w:w="1019" w:type="dxa"/>
                  <w:vAlign w:val="top"/>
                </w:tcPr>
                <w:p w14:paraId="3D47710C">
                  <w:pPr>
                    <w:pStyle w:val="6"/>
                    <w:spacing w:before="74" w:line="221" w:lineRule="auto"/>
                    <w:ind w:left="294"/>
                    <w:rPr>
                      <w:sz w:val="22"/>
                      <w:szCs w:val="22"/>
                    </w:rPr>
                  </w:pPr>
                  <w:r>
                    <w:rPr>
                      <w:spacing w:val="-3"/>
                      <w:sz w:val="22"/>
                      <w:szCs w:val="22"/>
                    </w:rPr>
                    <w:t>达标</w:t>
                  </w:r>
                </w:p>
              </w:tc>
              <w:tc>
                <w:tcPr>
                  <w:tcW w:w="1019" w:type="dxa"/>
                  <w:vAlign w:val="top"/>
                </w:tcPr>
                <w:p w14:paraId="76CA186A">
                  <w:pPr>
                    <w:pStyle w:val="6"/>
                    <w:spacing w:before="74" w:line="221" w:lineRule="auto"/>
                    <w:ind w:left="295"/>
                    <w:rPr>
                      <w:sz w:val="22"/>
                      <w:szCs w:val="22"/>
                    </w:rPr>
                  </w:pPr>
                  <w:r>
                    <w:rPr>
                      <w:spacing w:val="-3"/>
                      <w:sz w:val="22"/>
                      <w:szCs w:val="22"/>
                    </w:rPr>
                    <w:t>达标</w:t>
                  </w:r>
                </w:p>
              </w:tc>
              <w:tc>
                <w:tcPr>
                  <w:tcW w:w="955" w:type="dxa"/>
                  <w:vAlign w:val="top"/>
                </w:tcPr>
                <w:p w14:paraId="02C9D726">
                  <w:pPr>
                    <w:pStyle w:val="6"/>
                    <w:spacing w:before="74" w:line="221" w:lineRule="auto"/>
                    <w:ind w:left="265"/>
                    <w:rPr>
                      <w:sz w:val="22"/>
                      <w:szCs w:val="22"/>
                    </w:rPr>
                  </w:pPr>
                  <w:r>
                    <w:rPr>
                      <w:spacing w:val="-3"/>
                      <w:sz w:val="22"/>
                      <w:szCs w:val="22"/>
                    </w:rPr>
                    <w:t>达标</w:t>
                  </w:r>
                </w:p>
              </w:tc>
              <w:tc>
                <w:tcPr>
                  <w:tcW w:w="958" w:type="dxa"/>
                  <w:vAlign w:val="top"/>
                </w:tcPr>
                <w:p w14:paraId="5962D433">
                  <w:pPr>
                    <w:pStyle w:val="6"/>
                    <w:spacing w:before="74" w:line="221" w:lineRule="auto"/>
                    <w:ind w:left="263"/>
                    <w:rPr>
                      <w:sz w:val="22"/>
                      <w:szCs w:val="22"/>
                    </w:rPr>
                  </w:pPr>
                  <w:r>
                    <w:rPr>
                      <w:spacing w:val="-3"/>
                      <w:sz w:val="22"/>
                      <w:szCs w:val="22"/>
                    </w:rPr>
                    <w:t>达标</w:t>
                  </w:r>
                </w:p>
              </w:tc>
            </w:tr>
            <w:tr w14:paraId="7A94F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2092" w:type="dxa"/>
                  <w:gridSpan w:val="2"/>
                  <w:vMerge w:val="restart"/>
                  <w:tcBorders>
                    <w:bottom w:val="nil"/>
                    <w:tl2br w:val="single" w:color="000000" w:sz="6" w:space="0"/>
                  </w:tcBorders>
                  <w:vAlign w:val="top"/>
                </w:tcPr>
                <w:p w14:paraId="3E970DB9">
                  <w:pPr>
                    <w:pStyle w:val="6"/>
                    <w:spacing w:before="285" w:line="329" w:lineRule="auto"/>
                    <w:ind w:left="113" w:right="490" w:firstLine="1048"/>
                    <w:rPr>
                      <w:sz w:val="22"/>
                      <w:szCs w:val="22"/>
                    </w:rPr>
                  </w:pPr>
                  <w:r>
                    <w:rPr>
                      <w:spacing w:val="-6"/>
                      <w:sz w:val="22"/>
                      <w:szCs w:val="22"/>
                    </w:rPr>
                    <w:t>项目</w:t>
                  </w:r>
                  <w:r>
                    <w:rPr>
                      <w:spacing w:val="-2"/>
                      <w:sz w:val="22"/>
                      <w:szCs w:val="22"/>
                    </w:rPr>
                    <w:t>采样点</w:t>
                  </w:r>
                </w:p>
              </w:tc>
              <w:tc>
                <w:tcPr>
                  <w:tcW w:w="1173" w:type="dxa"/>
                  <w:vAlign w:val="top"/>
                </w:tcPr>
                <w:p w14:paraId="72193DC2">
                  <w:pPr>
                    <w:pStyle w:val="6"/>
                    <w:spacing w:before="176" w:line="221" w:lineRule="auto"/>
                    <w:ind w:left="478"/>
                    <w:rPr>
                      <w:sz w:val="22"/>
                      <w:szCs w:val="22"/>
                    </w:rPr>
                  </w:pPr>
                  <w:r>
                    <w:rPr>
                      <w:sz w:val="22"/>
                      <w:szCs w:val="22"/>
                    </w:rPr>
                    <w:t>汞</w:t>
                  </w:r>
                </w:p>
              </w:tc>
              <w:tc>
                <w:tcPr>
                  <w:tcW w:w="1018" w:type="dxa"/>
                  <w:vAlign w:val="top"/>
                </w:tcPr>
                <w:p w14:paraId="3E11747F">
                  <w:pPr>
                    <w:pStyle w:val="6"/>
                    <w:spacing w:before="176" w:line="223" w:lineRule="auto"/>
                    <w:ind w:left="396"/>
                    <w:rPr>
                      <w:sz w:val="22"/>
                      <w:szCs w:val="22"/>
                    </w:rPr>
                  </w:pPr>
                  <w:r>
                    <w:rPr>
                      <w:sz w:val="22"/>
                      <w:szCs w:val="22"/>
                    </w:rPr>
                    <w:t>镉</w:t>
                  </w:r>
                </w:p>
              </w:tc>
              <w:tc>
                <w:tcPr>
                  <w:tcW w:w="1018" w:type="dxa"/>
                  <w:vAlign w:val="top"/>
                </w:tcPr>
                <w:p w14:paraId="108D9705">
                  <w:pPr>
                    <w:pStyle w:val="6"/>
                    <w:spacing w:before="175" w:line="222" w:lineRule="auto"/>
                    <w:ind w:left="399"/>
                    <w:rPr>
                      <w:sz w:val="22"/>
                      <w:szCs w:val="22"/>
                    </w:rPr>
                  </w:pPr>
                  <w:r>
                    <w:rPr>
                      <w:sz w:val="22"/>
                      <w:szCs w:val="22"/>
                    </w:rPr>
                    <w:t>铁</w:t>
                  </w:r>
                </w:p>
              </w:tc>
              <w:tc>
                <w:tcPr>
                  <w:tcW w:w="1018" w:type="dxa"/>
                  <w:vAlign w:val="top"/>
                </w:tcPr>
                <w:p w14:paraId="2B19C966">
                  <w:pPr>
                    <w:pStyle w:val="6"/>
                    <w:spacing w:before="175" w:line="227" w:lineRule="auto"/>
                    <w:ind w:left="402"/>
                    <w:rPr>
                      <w:sz w:val="22"/>
                      <w:szCs w:val="22"/>
                    </w:rPr>
                  </w:pPr>
                  <w:r>
                    <w:rPr>
                      <w:sz w:val="22"/>
                      <w:szCs w:val="22"/>
                    </w:rPr>
                    <w:t>锰</w:t>
                  </w:r>
                </w:p>
              </w:tc>
              <w:tc>
                <w:tcPr>
                  <w:tcW w:w="1018" w:type="dxa"/>
                  <w:vAlign w:val="top"/>
                </w:tcPr>
                <w:p w14:paraId="7EF42E9D">
                  <w:pPr>
                    <w:pStyle w:val="6"/>
                    <w:spacing w:before="175" w:line="219" w:lineRule="auto"/>
                    <w:ind w:left="185"/>
                    <w:rPr>
                      <w:sz w:val="22"/>
                      <w:szCs w:val="22"/>
                    </w:rPr>
                  </w:pPr>
                  <w:r>
                    <w:rPr>
                      <w:spacing w:val="-3"/>
                      <w:sz w:val="22"/>
                      <w:szCs w:val="22"/>
                    </w:rPr>
                    <w:t>六价铬</w:t>
                  </w:r>
                </w:p>
              </w:tc>
              <w:tc>
                <w:tcPr>
                  <w:tcW w:w="1018" w:type="dxa"/>
                  <w:vAlign w:val="top"/>
                </w:tcPr>
                <w:p w14:paraId="513EF4BB">
                  <w:pPr>
                    <w:pStyle w:val="6"/>
                    <w:spacing w:before="176" w:line="221" w:lineRule="auto"/>
                    <w:ind w:left="189"/>
                    <w:rPr>
                      <w:sz w:val="22"/>
                      <w:szCs w:val="22"/>
                    </w:rPr>
                  </w:pPr>
                  <w:r>
                    <w:rPr>
                      <w:spacing w:val="-5"/>
                      <w:sz w:val="22"/>
                      <w:szCs w:val="22"/>
                    </w:rPr>
                    <w:t>总硬度</w:t>
                  </w:r>
                </w:p>
              </w:tc>
              <w:tc>
                <w:tcPr>
                  <w:tcW w:w="1019" w:type="dxa"/>
                  <w:vAlign w:val="top"/>
                </w:tcPr>
                <w:p w14:paraId="2CCC69E8">
                  <w:pPr>
                    <w:pStyle w:val="6"/>
                    <w:spacing w:before="34" w:line="221" w:lineRule="auto"/>
                    <w:ind w:left="188"/>
                    <w:rPr>
                      <w:sz w:val="22"/>
                      <w:szCs w:val="22"/>
                    </w:rPr>
                  </w:pPr>
                  <w:r>
                    <w:rPr>
                      <w:spacing w:val="-4"/>
                      <w:sz w:val="22"/>
                      <w:szCs w:val="22"/>
                    </w:rPr>
                    <w:t>溶解性</w:t>
                  </w:r>
                </w:p>
                <w:p w14:paraId="17076512">
                  <w:pPr>
                    <w:pStyle w:val="6"/>
                    <w:spacing w:before="22" w:line="205" w:lineRule="auto"/>
                    <w:ind w:left="191"/>
                    <w:rPr>
                      <w:sz w:val="22"/>
                      <w:szCs w:val="22"/>
                    </w:rPr>
                  </w:pPr>
                  <w:r>
                    <w:rPr>
                      <w:spacing w:val="-5"/>
                      <w:sz w:val="22"/>
                      <w:szCs w:val="22"/>
                    </w:rPr>
                    <w:t>总固体</w:t>
                  </w:r>
                </w:p>
              </w:tc>
              <w:tc>
                <w:tcPr>
                  <w:tcW w:w="1019" w:type="dxa"/>
                  <w:vAlign w:val="top"/>
                </w:tcPr>
                <w:p w14:paraId="724ED9B5">
                  <w:pPr>
                    <w:pStyle w:val="6"/>
                    <w:spacing w:before="33" w:line="223" w:lineRule="auto"/>
                    <w:ind w:left="300" w:right="171" w:hanging="108"/>
                    <w:rPr>
                      <w:sz w:val="22"/>
                      <w:szCs w:val="22"/>
                    </w:rPr>
                  </w:pPr>
                  <w:r>
                    <w:rPr>
                      <w:spacing w:val="-5"/>
                      <w:sz w:val="22"/>
                      <w:szCs w:val="22"/>
                    </w:rPr>
                    <w:t>总大肠</w:t>
                  </w:r>
                  <w:r>
                    <w:rPr>
                      <w:spacing w:val="-6"/>
                      <w:sz w:val="22"/>
                      <w:szCs w:val="22"/>
                    </w:rPr>
                    <w:t>菌群</w:t>
                  </w:r>
                </w:p>
              </w:tc>
              <w:tc>
                <w:tcPr>
                  <w:tcW w:w="955" w:type="dxa"/>
                  <w:vAlign w:val="top"/>
                </w:tcPr>
                <w:p w14:paraId="69D77A90">
                  <w:pPr>
                    <w:pStyle w:val="6"/>
                    <w:spacing w:before="33" w:line="223" w:lineRule="auto"/>
                    <w:ind w:left="376" w:right="137" w:hanging="219"/>
                    <w:rPr>
                      <w:sz w:val="22"/>
                      <w:szCs w:val="22"/>
                    </w:rPr>
                  </w:pPr>
                  <w:r>
                    <w:rPr>
                      <w:spacing w:val="-4"/>
                      <w:sz w:val="22"/>
                      <w:szCs w:val="22"/>
                    </w:rPr>
                    <w:t>细菌总</w:t>
                  </w:r>
                  <w:r>
                    <w:rPr>
                      <w:sz w:val="22"/>
                      <w:szCs w:val="22"/>
                    </w:rPr>
                    <w:t>数</w:t>
                  </w:r>
                </w:p>
              </w:tc>
              <w:tc>
                <w:tcPr>
                  <w:tcW w:w="958" w:type="dxa"/>
                  <w:vAlign w:val="top"/>
                </w:tcPr>
                <w:p w14:paraId="334CE1FB">
                  <w:pPr>
                    <w:pStyle w:val="6"/>
                    <w:spacing w:before="176" w:line="220" w:lineRule="auto"/>
                    <w:ind w:left="154"/>
                    <w:rPr>
                      <w:sz w:val="22"/>
                      <w:szCs w:val="22"/>
                    </w:rPr>
                  </w:pPr>
                  <w:r>
                    <w:rPr>
                      <w:spacing w:val="-3"/>
                      <w:sz w:val="22"/>
                      <w:szCs w:val="22"/>
                    </w:rPr>
                    <w:t>石油类</w:t>
                  </w:r>
                </w:p>
              </w:tc>
            </w:tr>
            <w:tr w14:paraId="48DB8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2092" w:type="dxa"/>
                  <w:gridSpan w:val="2"/>
                  <w:vMerge w:val="continue"/>
                  <w:tcBorders>
                    <w:top w:val="nil"/>
                    <w:tl2br w:val="single" w:color="000000" w:sz="6" w:space="0"/>
                  </w:tcBorders>
                  <w:vAlign w:val="top"/>
                </w:tcPr>
                <w:p w14:paraId="0FF368AF">
                  <w:pPr>
                    <w:rPr>
                      <w:rFonts w:ascii="Arial"/>
                      <w:sz w:val="21"/>
                    </w:rPr>
                  </w:pPr>
                </w:p>
              </w:tc>
              <w:tc>
                <w:tcPr>
                  <w:tcW w:w="1173" w:type="dxa"/>
                  <w:vAlign w:val="top"/>
                </w:tcPr>
                <w:p w14:paraId="1A8AA3D6">
                  <w:pPr>
                    <w:spacing w:before="169" w:line="193" w:lineRule="auto"/>
                    <w:ind w:left="34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mg/L</w:t>
                  </w:r>
                </w:p>
              </w:tc>
              <w:tc>
                <w:tcPr>
                  <w:tcW w:w="1018" w:type="dxa"/>
                  <w:vAlign w:val="top"/>
                </w:tcPr>
                <w:p w14:paraId="2BDB9BEE">
                  <w:pPr>
                    <w:spacing w:before="169" w:line="193" w:lineRule="auto"/>
                    <w:ind w:left="26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mg/L</w:t>
                  </w:r>
                </w:p>
              </w:tc>
              <w:tc>
                <w:tcPr>
                  <w:tcW w:w="1018" w:type="dxa"/>
                  <w:vAlign w:val="top"/>
                </w:tcPr>
                <w:p w14:paraId="4EA0C1A2">
                  <w:pPr>
                    <w:spacing w:before="169" w:line="193" w:lineRule="auto"/>
                    <w:ind w:left="26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mg/L</w:t>
                  </w:r>
                </w:p>
              </w:tc>
              <w:tc>
                <w:tcPr>
                  <w:tcW w:w="1018" w:type="dxa"/>
                  <w:vAlign w:val="top"/>
                </w:tcPr>
                <w:p w14:paraId="00623190">
                  <w:pPr>
                    <w:spacing w:before="169" w:line="193" w:lineRule="auto"/>
                    <w:ind w:left="26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mg/L</w:t>
                  </w:r>
                </w:p>
              </w:tc>
              <w:tc>
                <w:tcPr>
                  <w:tcW w:w="1018" w:type="dxa"/>
                  <w:vAlign w:val="top"/>
                </w:tcPr>
                <w:p w14:paraId="06BD3BAA">
                  <w:pPr>
                    <w:spacing w:before="169" w:line="193" w:lineRule="auto"/>
                    <w:ind w:left="26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mg/L</w:t>
                  </w:r>
                </w:p>
              </w:tc>
              <w:tc>
                <w:tcPr>
                  <w:tcW w:w="1018" w:type="dxa"/>
                  <w:vAlign w:val="top"/>
                </w:tcPr>
                <w:p w14:paraId="13479491">
                  <w:pPr>
                    <w:spacing w:before="169" w:line="193" w:lineRule="auto"/>
                    <w:ind w:left="26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mg/L</w:t>
                  </w:r>
                </w:p>
              </w:tc>
              <w:tc>
                <w:tcPr>
                  <w:tcW w:w="1019" w:type="dxa"/>
                  <w:vAlign w:val="top"/>
                </w:tcPr>
                <w:p w14:paraId="012455ED">
                  <w:pPr>
                    <w:spacing w:before="169" w:line="193" w:lineRule="auto"/>
                    <w:ind w:left="26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mg/L</w:t>
                  </w:r>
                </w:p>
              </w:tc>
              <w:tc>
                <w:tcPr>
                  <w:tcW w:w="1019" w:type="dxa"/>
                  <w:vAlign w:val="top"/>
                </w:tcPr>
                <w:p w14:paraId="64C16985">
                  <w:pPr>
                    <w:pStyle w:val="6"/>
                    <w:spacing w:before="138" w:line="220" w:lineRule="auto"/>
                    <w:ind w:left="222"/>
                    <w:rPr>
                      <w:rFonts w:ascii="Times New Roman" w:hAnsi="Times New Roman" w:eastAsia="Times New Roman" w:cs="Times New Roman"/>
                      <w:sz w:val="22"/>
                      <w:szCs w:val="22"/>
                    </w:rPr>
                  </w:pPr>
                  <w:r>
                    <w:rPr>
                      <w:spacing w:val="-2"/>
                      <w:sz w:val="22"/>
                      <w:szCs w:val="22"/>
                    </w:rPr>
                    <w:t>个</w:t>
                  </w:r>
                  <w:r>
                    <w:rPr>
                      <w:rFonts w:ascii="Times New Roman" w:hAnsi="Times New Roman" w:eastAsia="Times New Roman" w:cs="Times New Roman"/>
                      <w:spacing w:val="-2"/>
                      <w:sz w:val="22"/>
                      <w:szCs w:val="22"/>
                    </w:rPr>
                    <w:t>/mL</w:t>
                  </w:r>
                </w:p>
              </w:tc>
              <w:tc>
                <w:tcPr>
                  <w:tcW w:w="955" w:type="dxa"/>
                  <w:vAlign w:val="top"/>
                </w:tcPr>
                <w:p w14:paraId="3171E96F">
                  <w:pPr>
                    <w:pStyle w:val="6"/>
                    <w:spacing w:before="138" w:line="220" w:lineRule="auto"/>
                    <w:ind w:left="192"/>
                    <w:rPr>
                      <w:rFonts w:ascii="Times New Roman" w:hAnsi="Times New Roman" w:eastAsia="Times New Roman" w:cs="Times New Roman"/>
                      <w:sz w:val="22"/>
                      <w:szCs w:val="22"/>
                    </w:rPr>
                  </w:pPr>
                  <w:r>
                    <w:rPr>
                      <w:spacing w:val="-3"/>
                      <w:sz w:val="22"/>
                      <w:szCs w:val="22"/>
                    </w:rPr>
                    <w:t>个</w:t>
                  </w:r>
                  <w:r>
                    <w:rPr>
                      <w:rFonts w:ascii="Times New Roman" w:hAnsi="Times New Roman" w:eastAsia="Times New Roman" w:cs="Times New Roman"/>
                      <w:spacing w:val="-3"/>
                      <w:sz w:val="22"/>
                      <w:szCs w:val="22"/>
                    </w:rPr>
                    <w:t>/mL</w:t>
                  </w:r>
                </w:p>
              </w:tc>
              <w:tc>
                <w:tcPr>
                  <w:tcW w:w="958" w:type="dxa"/>
                  <w:vAlign w:val="top"/>
                </w:tcPr>
                <w:p w14:paraId="3A71EB9A">
                  <w:pPr>
                    <w:spacing w:before="169" w:line="193" w:lineRule="auto"/>
                    <w:ind w:left="23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mg/L</w:t>
                  </w:r>
                </w:p>
              </w:tc>
            </w:tr>
            <w:tr w14:paraId="5EE03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092" w:type="dxa"/>
                  <w:gridSpan w:val="2"/>
                  <w:vAlign w:val="top"/>
                </w:tcPr>
                <w:p w14:paraId="40EC2EE7">
                  <w:pPr>
                    <w:pStyle w:val="6"/>
                    <w:spacing w:before="77" w:line="220" w:lineRule="auto"/>
                    <w:ind w:left="282"/>
                    <w:rPr>
                      <w:sz w:val="22"/>
                      <w:szCs w:val="22"/>
                    </w:rPr>
                  </w:pPr>
                  <w:r>
                    <w:rPr>
                      <w:spacing w:val="-4"/>
                      <w:sz w:val="22"/>
                      <w:szCs w:val="22"/>
                    </w:rPr>
                    <w:t>标准值</w:t>
                  </w:r>
                  <w:r>
                    <w:rPr>
                      <w:spacing w:val="19"/>
                      <w:sz w:val="22"/>
                      <w:szCs w:val="22"/>
                    </w:rPr>
                    <w:t xml:space="preserve"> </w:t>
                  </w:r>
                  <w:r>
                    <w:rPr>
                      <w:spacing w:val="-4"/>
                      <w:sz w:val="22"/>
                      <w:szCs w:val="22"/>
                    </w:rPr>
                    <w:t>(</w:t>
                  </w:r>
                  <w:r>
                    <w:rPr>
                      <w:rFonts w:ascii="Times New Roman" w:hAnsi="Times New Roman" w:eastAsia="Times New Roman" w:cs="Times New Roman"/>
                      <w:spacing w:val="-4"/>
                      <w:sz w:val="22"/>
                      <w:szCs w:val="22"/>
                    </w:rPr>
                    <w:t>Ⅲ</w:t>
                  </w:r>
                  <w:r>
                    <w:rPr>
                      <w:spacing w:val="-4"/>
                      <w:sz w:val="22"/>
                      <w:szCs w:val="22"/>
                    </w:rPr>
                    <w:t>类）</w:t>
                  </w:r>
                </w:p>
              </w:tc>
              <w:tc>
                <w:tcPr>
                  <w:tcW w:w="1173" w:type="dxa"/>
                  <w:vAlign w:val="top"/>
                </w:tcPr>
                <w:p w14:paraId="3E23D6EE">
                  <w:pPr>
                    <w:spacing w:before="115" w:line="189" w:lineRule="auto"/>
                    <w:ind w:left="3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0.001</w:t>
                  </w:r>
                </w:p>
              </w:tc>
              <w:tc>
                <w:tcPr>
                  <w:tcW w:w="1018" w:type="dxa"/>
                  <w:vAlign w:val="top"/>
                </w:tcPr>
                <w:p w14:paraId="4C5A2E5C">
                  <w:pPr>
                    <w:spacing w:before="115" w:line="189" w:lineRule="auto"/>
                    <w:ind w:left="26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0.005</w:t>
                  </w:r>
                </w:p>
              </w:tc>
              <w:tc>
                <w:tcPr>
                  <w:tcW w:w="1018" w:type="dxa"/>
                  <w:vAlign w:val="top"/>
                </w:tcPr>
                <w:p w14:paraId="360F9E85">
                  <w:pPr>
                    <w:spacing w:before="115" w:line="189" w:lineRule="auto"/>
                    <w:ind w:left="37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0.3</w:t>
                  </w:r>
                </w:p>
              </w:tc>
              <w:tc>
                <w:tcPr>
                  <w:tcW w:w="1018" w:type="dxa"/>
                  <w:vAlign w:val="top"/>
                </w:tcPr>
                <w:p w14:paraId="63C92D24">
                  <w:pPr>
                    <w:spacing w:before="115" w:line="189" w:lineRule="auto"/>
                    <w:ind w:left="31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0.10</w:t>
                  </w:r>
                </w:p>
              </w:tc>
              <w:tc>
                <w:tcPr>
                  <w:tcW w:w="1018" w:type="dxa"/>
                  <w:vAlign w:val="top"/>
                </w:tcPr>
                <w:p w14:paraId="05E68A0A">
                  <w:pPr>
                    <w:spacing w:before="115" w:line="189" w:lineRule="auto"/>
                    <w:ind w:left="3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0.05</w:t>
                  </w:r>
                </w:p>
              </w:tc>
              <w:tc>
                <w:tcPr>
                  <w:tcW w:w="1018" w:type="dxa"/>
                  <w:vAlign w:val="top"/>
                </w:tcPr>
                <w:p w14:paraId="7E3330E4">
                  <w:pPr>
                    <w:spacing w:before="115" w:line="189" w:lineRule="auto"/>
                    <w:ind w:left="34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450</w:t>
                  </w:r>
                </w:p>
              </w:tc>
              <w:tc>
                <w:tcPr>
                  <w:tcW w:w="1019" w:type="dxa"/>
                  <w:vAlign w:val="top"/>
                </w:tcPr>
                <w:p w14:paraId="54282F17">
                  <w:pPr>
                    <w:spacing w:before="115" w:line="189" w:lineRule="auto"/>
                    <w:ind w:left="313"/>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1000</w:t>
                  </w:r>
                </w:p>
              </w:tc>
              <w:tc>
                <w:tcPr>
                  <w:tcW w:w="1019" w:type="dxa"/>
                  <w:vAlign w:val="top"/>
                </w:tcPr>
                <w:p w14:paraId="64488BA1">
                  <w:pPr>
                    <w:spacing w:before="115" w:line="189" w:lineRule="auto"/>
                    <w:ind w:left="37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w:t>
                  </w:r>
                </w:p>
              </w:tc>
              <w:tc>
                <w:tcPr>
                  <w:tcW w:w="955" w:type="dxa"/>
                  <w:vAlign w:val="top"/>
                </w:tcPr>
                <w:p w14:paraId="526048C1">
                  <w:pPr>
                    <w:spacing w:before="115" w:line="189" w:lineRule="auto"/>
                    <w:ind w:left="339"/>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958" w:type="dxa"/>
                  <w:vAlign w:val="top"/>
                </w:tcPr>
                <w:p w14:paraId="2AA31349">
                  <w:pPr>
                    <w:spacing w:before="111" w:line="193" w:lineRule="auto"/>
                    <w:ind w:left="23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0.05*</w:t>
                  </w:r>
                </w:p>
              </w:tc>
            </w:tr>
            <w:tr w14:paraId="24AC1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26" w:type="dxa"/>
                  <w:vMerge w:val="restart"/>
                  <w:tcBorders>
                    <w:bottom w:val="nil"/>
                  </w:tcBorders>
                  <w:vAlign w:val="top"/>
                </w:tcPr>
                <w:p w14:paraId="7B3B8FCA">
                  <w:pPr>
                    <w:spacing w:line="248" w:lineRule="auto"/>
                    <w:rPr>
                      <w:rFonts w:ascii="Arial"/>
                      <w:sz w:val="21"/>
                    </w:rPr>
                  </w:pPr>
                </w:p>
                <w:p w14:paraId="58C1003A">
                  <w:pPr>
                    <w:pStyle w:val="6"/>
                    <w:spacing w:before="71" w:line="244" w:lineRule="auto"/>
                    <w:ind w:left="319" w:right="187" w:hanging="120"/>
                    <w:rPr>
                      <w:sz w:val="22"/>
                      <w:szCs w:val="22"/>
                    </w:rPr>
                  </w:pPr>
                  <w:r>
                    <w:rPr>
                      <w:spacing w:val="-6"/>
                      <w:sz w:val="22"/>
                      <w:szCs w:val="22"/>
                    </w:rPr>
                    <w:t>油罐</w:t>
                  </w:r>
                  <w:r>
                    <w:rPr>
                      <w:sz w:val="22"/>
                      <w:szCs w:val="22"/>
                    </w:rPr>
                    <w:t>区</w:t>
                  </w:r>
                </w:p>
              </w:tc>
              <w:tc>
                <w:tcPr>
                  <w:tcW w:w="1266" w:type="dxa"/>
                  <w:vAlign w:val="top"/>
                </w:tcPr>
                <w:p w14:paraId="4AFE9D55">
                  <w:pPr>
                    <w:pStyle w:val="6"/>
                    <w:spacing w:before="78" w:line="220" w:lineRule="auto"/>
                    <w:ind w:left="300"/>
                    <w:rPr>
                      <w:sz w:val="22"/>
                      <w:szCs w:val="22"/>
                    </w:rPr>
                  </w:pPr>
                  <w:r>
                    <w:rPr>
                      <w:spacing w:val="-3"/>
                      <w:sz w:val="22"/>
                      <w:szCs w:val="22"/>
                    </w:rPr>
                    <w:t>浓度值</w:t>
                  </w:r>
                </w:p>
              </w:tc>
              <w:tc>
                <w:tcPr>
                  <w:tcW w:w="1173" w:type="dxa"/>
                  <w:vAlign w:val="top"/>
                </w:tcPr>
                <w:p w14:paraId="615044F1">
                  <w:pPr>
                    <w:spacing w:before="100" w:line="204" w:lineRule="auto"/>
                    <w:ind w:left="22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4×10</w:t>
                  </w:r>
                  <w:r>
                    <w:rPr>
                      <w:rFonts w:ascii="Times New Roman" w:hAnsi="Times New Roman" w:eastAsia="Times New Roman" w:cs="Times New Roman"/>
                      <w:spacing w:val="-1"/>
                      <w:position w:val="6"/>
                      <w:sz w:val="14"/>
                      <w:szCs w:val="14"/>
                    </w:rPr>
                    <w:t>-5</w:t>
                  </w:r>
                  <w:r>
                    <w:rPr>
                      <w:rFonts w:ascii="Times New Roman" w:hAnsi="Times New Roman" w:eastAsia="Times New Roman" w:cs="Times New Roman"/>
                      <w:spacing w:val="-1"/>
                      <w:sz w:val="22"/>
                      <w:szCs w:val="22"/>
                    </w:rPr>
                    <w:t>L</w:t>
                  </w:r>
                </w:p>
              </w:tc>
              <w:tc>
                <w:tcPr>
                  <w:tcW w:w="1018" w:type="dxa"/>
                  <w:vAlign w:val="top"/>
                </w:tcPr>
                <w:p w14:paraId="762E5B86">
                  <w:pPr>
                    <w:spacing w:before="116" w:line="189" w:lineRule="auto"/>
                    <w:ind w:left="20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0.0005</w:t>
                  </w:r>
                </w:p>
              </w:tc>
              <w:tc>
                <w:tcPr>
                  <w:tcW w:w="1018" w:type="dxa"/>
                  <w:vAlign w:val="top"/>
                </w:tcPr>
                <w:p w14:paraId="2269DE6B">
                  <w:pPr>
                    <w:spacing w:before="116" w:line="189" w:lineRule="auto"/>
                    <w:ind w:left="25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0.01L</w:t>
                  </w:r>
                </w:p>
              </w:tc>
              <w:tc>
                <w:tcPr>
                  <w:tcW w:w="1018" w:type="dxa"/>
                  <w:vAlign w:val="top"/>
                </w:tcPr>
                <w:p w14:paraId="53FCA5F6">
                  <w:pPr>
                    <w:spacing w:before="116" w:line="189" w:lineRule="auto"/>
                    <w:ind w:left="25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0.01L</w:t>
                  </w:r>
                </w:p>
              </w:tc>
              <w:tc>
                <w:tcPr>
                  <w:tcW w:w="1018" w:type="dxa"/>
                  <w:vAlign w:val="top"/>
                </w:tcPr>
                <w:p w14:paraId="0F71EED1">
                  <w:pPr>
                    <w:spacing w:before="116" w:line="189" w:lineRule="auto"/>
                    <w:ind w:left="19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0.004L</w:t>
                  </w:r>
                </w:p>
              </w:tc>
              <w:tc>
                <w:tcPr>
                  <w:tcW w:w="1018" w:type="dxa"/>
                  <w:vAlign w:val="top"/>
                </w:tcPr>
                <w:p w14:paraId="2674B91E">
                  <w:pPr>
                    <w:spacing w:before="116" w:line="189" w:lineRule="auto"/>
                    <w:ind w:left="34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252</w:t>
                  </w:r>
                </w:p>
              </w:tc>
              <w:tc>
                <w:tcPr>
                  <w:tcW w:w="1019" w:type="dxa"/>
                  <w:vAlign w:val="top"/>
                </w:tcPr>
                <w:p w14:paraId="6696F4CB">
                  <w:pPr>
                    <w:spacing w:before="116" w:line="189" w:lineRule="auto"/>
                    <w:ind w:left="35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380</w:t>
                  </w:r>
                </w:p>
              </w:tc>
              <w:tc>
                <w:tcPr>
                  <w:tcW w:w="1019" w:type="dxa"/>
                  <w:vAlign w:val="top"/>
                </w:tcPr>
                <w:p w14:paraId="187052E1">
                  <w:pPr>
                    <w:spacing w:before="116" w:line="189" w:lineRule="auto"/>
                    <w:ind w:left="458"/>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955" w:type="dxa"/>
                  <w:vAlign w:val="top"/>
                </w:tcPr>
                <w:p w14:paraId="27F4D5F1">
                  <w:pPr>
                    <w:spacing w:before="116" w:line="189" w:lineRule="auto"/>
                    <w:ind w:left="37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63</w:t>
                  </w:r>
                </w:p>
              </w:tc>
              <w:tc>
                <w:tcPr>
                  <w:tcW w:w="958" w:type="dxa"/>
                  <w:vAlign w:val="top"/>
                </w:tcPr>
                <w:p w14:paraId="012F3F2A">
                  <w:pPr>
                    <w:spacing w:before="116" w:line="189" w:lineRule="auto"/>
                    <w:ind w:left="29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0.04</w:t>
                  </w:r>
                </w:p>
              </w:tc>
            </w:tr>
            <w:tr w14:paraId="273E8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26" w:type="dxa"/>
                  <w:vMerge w:val="continue"/>
                  <w:tcBorders>
                    <w:top w:val="nil"/>
                    <w:bottom w:val="nil"/>
                  </w:tcBorders>
                  <w:vAlign w:val="top"/>
                </w:tcPr>
                <w:p w14:paraId="1C2587EF">
                  <w:pPr>
                    <w:rPr>
                      <w:rFonts w:ascii="Arial"/>
                      <w:sz w:val="21"/>
                    </w:rPr>
                  </w:pPr>
                </w:p>
              </w:tc>
              <w:tc>
                <w:tcPr>
                  <w:tcW w:w="1266" w:type="dxa"/>
                  <w:vAlign w:val="top"/>
                </w:tcPr>
                <w:p w14:paraId="7CCE61FC">
                  <w:pPr>
                    <w:pStyle w:val="6"/>
                    <w:spacing w:before="79" w:line="220" w:lineRule="auto"/>
                    <w:ind w:left="396"/>
                    <w:rPr>
                      <w:sz w:val="22"/>
                      <w:szCs w:val="22"/>
                    </w:rPr>
                  </w:pPr>
                  <w:r>
                    <w:rPr>
                      <w:rFonts w:ascii="Times New Roman" w:hAnsi="Times New Roman" w:eastAsia="Times New Roman" w:cs="Times New Roman"/>
                      <w:spacing w:val="-2"/>
                      <w:sz w:val="22"/>
                      <w:szCs w:val="22"/>
                    </w:rPr>
                    <w:t>Pi</w:t>
                  </w:r>
                  <w:r>
                    <w:rPr>
                      <w:rFonts w:ascii="Times New Roman" w:hAnsi="Times New Roman" w:eastAsia="Times New Roman" w:cs="Times New Roman"/>
                      <w:spacing w:val="11"/>
                      <w:sz w:val="22"/>
                      <w:szCs w:val="22"/>
                    </w:rPr>
                    <w:t xml:space="preserve"> </w:t>
                  </w:r>
                  <w:r>
                    <w:rPr>
                      <w:spacing w:val="-2"/>
                      <w:sz w:val="22"/>
                      <w:szCs w:val="22"/>
                    </w:rPr>
                    <w:t>值</w:t>
                  </w:r>
                </w:p>
              </w:tc>
              <w:tc>
                <w:tcPr>
                  <w:tcW w:w="1173" w:type="dxa"/>
                  <w:vAlign w:val="top"/>
                </w:tcPr>
                <w:p w14:paraId="395D6C21">
                  <w:pPr>
                    <w:spacing w:before="117" w:line="189" w:lineRule="auto"/>
                    <w:ind w:left="39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0.04</w:t>
                  </w:r>
                </w:p>
              </w:tc>
              <w:tc>
                <w:tcPr>
                  <w:tcW w:w="1018" w:type="dxa"/>
                  <w:vAlign w:val="top"/>
                </w:tcPr>
                <w:p w14:paraId="775019BC">
                  <w:pPr>
                    <w:spacing w:before="117" w:line="189" w:lineRule="auto"/>
                    <w:ind w:left="37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w:t>
                  </w:r>
                </w:p>
              </w:tc>
              <w:tc>
                <w:tcPr>
                  <w:tcW w:w="1018" w:type="dxa"/>
                  <w:vAlign w:val="top"/>
                </w:tcPr>
                <w:p w14:paraId="515ED881">
                  <w:pPr>
                    <w:spacing w:before="117" w:line="189" w:lineRule="auto"/>
                    <w:ind w:left="26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0.033</w:t>
                  </w:r>
                </w:p>
              </w:tc>
              <w:tc>
                <w:tcPr>
                  <w:tcW w:w="1018" w:type="dxa"/>
                  <w:vAlign w:val="top"/>
                </w:tcPr>
                <w:p w14:paraId="73A44E03">
                  <w:pPr>
                    <w:spacing w:before="117" w:line="189" w:lineRule="auto"/>
                    <w:ind w:left="37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w:t>
                  </w:r>
                </w:p>
              </w:tc>
              <w:tc>
                <w:tcPr>
                  <w:tcW w:w="1018" w:type="dxa"/>
                  <w:vAlign w:val="top"/>
                </w:tcPr>
                <w:p w14:paraId="79060B3C">
                  <w:pPr>
                    <w:spacing w:before="117" w:line="189" w:lineRule="auto"/>
                    <w:ind w:left="3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0.08</w:t>
                  </w:r>
                </w:p>
              </w:tc>
              <w:tc>
                <w:tcPr>
                  <w:tcW w:w="1018" w:type="dxa"/>
                  <w:vAlign w:val="top"/>
                </w:tcPr>
                <w:p w14:paraId="0A791D91">
                  <w:pPr>
                    <w:spacing w:before="117" w:line="189" w:lineRule="auto"/>
                    <w:ind w:left="32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0.56</w:t>
                  </w:r>
                </w:p>
              </w:tc>
              <w:tc>
                <w:tcPr>
                  <w:tcW w:w="1019" w:type="dxa"/>
                  <w:vAlign w:val="top"/>
                </w:tcPr>
                <w:p w14:paraId="6CBC6A8D">
                  <w:pPr>
                    <w:spacing w:before="117" w:line="189" w:lineRule="auto"/>
                    <w:ind w:left="32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0.38</w:t>
                  </w:r>
                </w:p>
              </w:tc>
              <w:tc>
                <w:tcPr>
                  <w:tcW w:w="1019" w:type="dxa"/>
                  <w:vAlign w:val="top"/>
                </w:tcPr>
                <w:p w14:paraId="5BF06366">
                  <w:pPr>
                    <w:spacing w:before="117" w:line="189" w:lineRule="auto"/>
                    <w:ind w:left="26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0.667</w:t>
                  </w:r>
                </w:p>
              </w:tc>
              <w:tc>
                <w:tcPr>
                  <w:tcW w:w="955" w:type="dxa"/>
                  <w:vAlign w:val="top"/>
                </w:tcPr>
                <w:p w14:paraId="38FB9C00">
                  <w:pPr>
                    <w:spacing w:before="117" w:line="189" w:lineRule="auto"/>
                    <w:ind w:left="29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0.63</w:t>
                  </w:r>
                </w:p>
              </w:tc>
              <w:tc>
                <w:tcPr>
                  <w:tcW w:w="958" w:type="dxa"/>
                  <w:vAlign w:val="top"/>
                </w:tcPr>
                <w:p w14:paraId="672604E0">
                  <w:pPr>
                    <w:spacing w:before="117" w:line="189" w:lineRule="auto"/>
                    <w:ind w:left="34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0.8</w:t>
                  </w:r>
                </w:p>
              </w:tc>
            </w:tr>
            <w:tr w14:paraId="467AD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26" w:type="dxa"/>
                  <w:vMerge w:val="continue"/>
                  <w:tcBorders>
                    <w:top w:val="nil"/>
                  </w:tcBorders>
                  <w:vAlign w:val="top"/>
                </w:tcPr>
                <w:p w14:paraId="207CF338">
                  <w:pPr>
                    <w:rPr>
                      <w:rFonts w:ascii="Arial"/>
                      <w:sz w:val="21"/>
                    </w:rPr>
                  </w:pPr>
                </w:p>
              </w:tc>
              <w:tc>
                <w:tcPr>
                  <w:tcW w:w="1266" w:type="dxa"/>
                  <w:vAlign w:val="top"/>
                </w:tcPr>
                <w:p w14:paraId="15419A4D">
                  <w:pPr>
                    <w:pStyle w:val="6"/>
                    <w:spacing w:before="79" w:line="221" w:lineRule="auto"/>
                    <w:ind w:left="196"/>
                    <w:rPr>
                      <w:sz w:val="22"/>
                      <w:szCs w:val="22"/>
                    </w:rPr>
                  </w:pPr>
                  <w:r>
                    <w:rPr>
                      <w:spacing w:val="-3"/>
                      <w:sz w:val="22"/>
                      <w:szCs w:val="22"/>
                    </w:rPr>
                    <w:t>是否达标</w:t>
                  </w:r>
                </w:p>
              </w:tc>
              <w:tc>
                <w:tcPr>
                  <w:tcW w:w="1173" w:type="dxa"/>
                  <w:vAlign w:val="top"/>
                </w:tcPr>
                <w:p w14:paraId="46320F98">
                  <w:pPr>
                    <w:pStyle w:val="6"/>
                    <w:spacing w:before="79" w:line="221" w:lineRule="auto"/>
                    <w:ind w:left="365"/>
                    <w:rPr>
                      <w:sz w:val="22"/>
                      <w:szCs w:val="22"/>
                    </w:rPr>
                  </w:pPr>
                  <w:r>
                    <w:rPr>
                      <w:spacing w:val="-3"/>
                      <w:sz w:val="22"/>
                      <w:szCs w:val="22"/>
                    </w:rPr>
                    <w:t>达标</w:t>
                  </w:r>
                </w:p>
              </w:tc>
              <w:tc>
                <w:tcPr>
                  <w:tcW w:w="1018" w:type="dxa"/>
                  <w:vAlign w:val="top"/>
                </w:tcPr>
                <w:p w14:paraId="12A6D4B0">
                  <w:pPr>
                    <w:pStyle w:val="6"/>
                    <w:spacing w:before="79" w:line="221" w:lineRule="auto"/>
                    <w:ind w:left="289"/>
                    <w:rPr>
                      <w:sz w:val="22"/>
                      <w:szCs w:val="22"/>
                    </w:rPr>
                  </w:pPr>
                  <w:r>
                    <w:rPr>
                      <w:spacing w:val="-3"/>
                      <w:sz w:val="22"/>
                      <w:szCs w:val="22"/>
                    </w:rPr>
                    <w:t>达标</w:t>
                  </w:r>
                </w:p>
              </w:tc>
              <w:tc>
                <w:tcPr>
                  <w:tcW w:w="1018" w:type="dxa"/>
                  <w:vAlign w:val="top"/>
                </w:tcPr>
                <w:p w14:paraId="4D171E3C">
                  <w:pPr>
                    <w:pStyle w:val="6"/>
                    <w:spacing w:before="79" w:line="221" w:lineRule="auto"/>
                    <w:ind w:left="289"/>
                    <w:rPr>
                      <w:sz w:val="22"/>
                      <w:szCs w:val="22"/>
                    </w:rPr>
                  </w:pPr>
                  <w:r>
                    <w:rPr>
                      <w:spacing w:val="-3"/>
                      <w:sz w:val="22"/>
                      <w:szCs w:val="22"/>
                    </w:rPr>
                    <w:t>达标</w:t>
                  </w:r>
                </w:p>
              </w:tc>
              <w:tc>
                <w:tcPr>
                  <w:tcW w:w="1018" w:type="dxa"/>
                  <w:vAlign w:val="top"/>
                </w:tcPr>
                <w:p w14:paraId="7A21986D">
                  <w:pPr>
                    <w:pStyle w:val="6"/>
                    <w:spacing w:before="79" w:line="221" w:lineRule="auto"/>
                    <w:ind w:left="291"/>
                    <w:rPr>
                      <w:sz w:val="22"/>
                      <w:szCs w:val="22"/>
                    </w:rPr>
                  </w:pPr>
                  <w:r>
                    <w:rPr>
                      <w:spacing w:val="-3"/>
                      <w:sz w:val="22"/>
                      <w:szCs w:val="22"/>
                    </w:rPr>
                    <w:t>达标</w:t>
                  </w:r>
                </w:p>
              </w:tc>
              <w:tc>
                <w:tcPr>
                  <w:tcW w:w="1018" w:type="dxa"/>
                  <w:vAlign w:val="top"/>
                </w:tcPr>
                <w:p w14:paraId="360FD03F">
                  <w:pPr>
                    <w:pStyle w:val="6"/>
                    <w:spacing w:before="79" w:line="221" w:lineRule="auto"/>
                    <w:ind w:left="290"/>
                    <w:rPr>
                      <w:sz w:val="22"/>
                      <w:szCs w:val="22"/>
                    </w:rPr>
                  </w:pPr>
                  <w:r>
                    <w:rPr>
                      <w:spacing w:val="-3"/>
                      <w:sz w:val="22"/>
                      <w:szCs w:val="22"/>
                    </w:rPr>
                    <w:t>达标</w:t>
                  </w:r>
                </w:p>
              </w:tc>
              <w:tc>
                <w:tcPr>
                  <w:tcW w:w="1018" w:type="dxa"/>
                  <w:vAlign w:val="top"/>
                </w:tcPr>
                <w:p w14:paraId="0CBBD549">
                  <w:pPr>
                    <w:pStyle w:val="6"/>
                    <w:spacing w:before="79" w:line="221" w:lineRule="auto"/>
                    <w:ind w:left="292"/>
                    <w:rPr>
                      <w:sz w:val="22"/>
                      <w:szCs w:val="22"/>
                    </w:rPr>
                  </w:pPr>
                  <w:r>
                    <w:rPr>
                      <w:spacing w:val="-3"/>
                      <w:sz w:val="22"/>
                      <w:szCs w:val="22"/>
                    </w:rPr>
                    <w:t>达标</w:t>
                  </w:r>
                </w:p>
              </w:tc>
              <w:tc>
                <w:tcPr>
                  <w:tcW w:w="1019" w:type="dxa"/>
                  <w:vAlign w:val="top"/>
                </w:tcPr>
                <w:p w14:paraId="160C0743">
                  <w:pPr>
                    <w:pStyle w:val="6"/>
                    <w:spacing w:before="79" w:line="221" w:lineRule="auto"/>
                    <w:ind w:left="294"/>
                    <w:rPr>
                      <w:sz w:val="22"/>
                      <w:szCs w:val="22"/>
                    </w:rPr>
                  </w:pPr>
                  <w:r>
                    <w:rPr>
                      <w:spacing w:val="-3"/>
                      <w:sz w:val="22"/>
                      <w:szCs w:val="22"/>
                    </w:rPr>
                    <w:t>达标</w:t>
                  </w:r>
                </w:p>
              </w:tc>
              <w:tc>
                <w:tcPr>
                  <w:tcW w:w="1019" w:type="dxa"/>
                  <w:vAlign w:val="top"/>
                </w:tcPr>
                <w:p w14:paraId="71BBF082">
                  <w:pPr>
                    <w:pStyle w:val="6"/>
                    <w:spacing w:before="79" w:line="221" w:lineRule="auto"/>
                    <w:ind w:left="295"/>
                    <w:rPr>
                      <w:sz w:val="22"/>
                      <w:szCs w:val="22"/>
                    </w:rPr>
                  </w:pPr>
                  <w:r>
                    <w:rPr>
                      <w:spacing w:val="-3"/>
                      <w:sz w:val="22"/>
                      <w:szCs w:val="22"/>
                    </w:rPr>
                    <w:t>达标</w:t>
                  </w:r>
                </w:p>
              </w:tc>
              <w:tc>
                <w:tcPr>
                  <w:tcW w:w="955" w:type="dxa"/>
                  <w:vAlign w:val="top"/>
                </w:tcPr>
                <w:p w14:paraId="2B0BF80A">
                  <w:pPr>
                    <w:pStyle w:val="6"/>
                    <w:spacing w:before="79" w:line="221" w:lineRule="auto"/>
                    <w:ind w:left="265"/>
                    <w:rPr>
                      <w:sz w:val="22"/>
                      <w:szCs w:val="22"/>
                    </w:rPr>
                  </w:pPr>
                  <w:r>
                    <w:rPr>
                      <w:spacing w:val="-3"/>
                      <w:sz w:val="22"/>
                      <w:szCs w:val="22"/>
                    </w:rPr>
                    <w:t>达标</w:t>
                  </w:r>
                </w:p>
              </w:tc>
              <w:tc>
                <w:tcPr>
                  <w:tcW w:w="958" w:type="dxa"/>
                  <w:vAlign w:val="top"/>
                </w:tcPr>
                <w:p w14:paraId="6D0D4E9A">
                  <w:pPr>
                    <w:pStyle w:val="6"/>
                    <w:spacing w:before="79" w:line="221" w:lineRule="auto"/>
                    <w:ind w:left="263"/>
                    <w:rPr>
                      <w:sz w:val="22"/>
                      <w:szCs w:val="22"/>
                    </w:rPr>
                  </w:pPr>
                  <w:r>
                    <w:rPr>
                      <w:spacing w:val="-3"/>
                      <w:sz w:val="22"/>
                      <w:szCs w:val="22"/>
                    </w:rPr>
                    <w:t>达标</w:t>
                  </w:r>
                </w:p>
              </w:tc>
            </w:tr>
          </w:tbl>
          <w:p w14:paraId="70E11795">
            <w:pPr>
              <w:pStyle w:val="6"/>
              <w:spacing w:before="188" w:line="225" w:lineRule="auto"/>
              <w:ind w:left="1002"/>
              <w:rPr>
                <w:sz w:val="20"/>
                <w:szCs w:val="20"/>
              </w:rPr>
            </w:pPr>
            <w:r>
              <w:rPr>
                <w:spacing w:val="9"/>
                <w:sz w:val="20"/>
                <w:szCs w:val="20"/>
              </w:rPr>
              <w:t xml:space="preserve">注：① </w:t>
            </w:r>
            <w:r>
              <w:rPr>
                <w:rFonts w:ascii="Times New Roman" w:hAnsi="Times New Roman" w:eastAsia="Times New Roman" w:cs="Times New Roman"/>
                <w:spacing w:val="9"/>
                <w:sz w:val="20"/>
                <w:szCs w:val="20"/>
              </w:rPr>
              <w:t>“L”</w:t>
            </w:r>
            <w:r>
              <w:rPr>
                <w:spacing w:val="9"/>
                <w:sz w:val="20"/>
                <w:szCs w:val="20"/>
              </w:rPr>
              <w:t>表示检测值小于方法检出限；②</w:t>
            </w:r>
            <w:r>
              <w:rPr>
                <w:rFonts w:ascii="Times New Roman" w:hAnsi="Times New Roman" w:eastAsia="Times New Roman" w:cs="Times New Roman"/>
                <w:spacing w:val="9"/>
                <w:sz w:val="20"/>
                <w:szCs w:val="20"/>
              </w:rPr>
              <w:t>*</w:t>
            </w:r>
            <w:r>
              <w:rPr>
                <w:spacing w:val="9"/>
                <w:sz w:val="20"/>
                <w:szCs w:val="20"/>
              </w:rPr>
              <w:t>石油类参照执行《地表水环</w:t>
            </w:r>
            <w:r>
              <w:rPr>
                <w:spacing w:val="8"/>
                <w:sz w:val="20"/>
                <w:szCs w:val="20"/>
              </w:rPr>
              <w:t>境质量标准》（</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3838-2002</w:t>
            </w:r>
            <w:r>
              <w:rPr>
                <w:spacing w:val="8"/>
                <w:sz w:val="20"/>
                <w:szCs w:val="20"/>
              </w:rPr>
              <w:t>）</w:t>
            </w:r>
            <w:r>
              <w:rPr>
                <w:rFonts w:ascii="Times New Roman" w:hAnsi="Times New Roman" w:eastAsia="Times New Roman" w:cs="Times New Roman"/>
                <w:spacing w:val="8"/>
                <w:sz w:val="20"/>
                <w:szCs w:val="20"/>
              </w:rPr>
              <w:t>Ⅲ</w:t>
            </w:r>
            <w:r>
              <w:rPr>
                <w:spacing w:val="8"/>
                <w:sz w:val="20"/>
                <w:szCs w:val="20"/>
              </w:rPr>
              <w:t>类标准。</w:t>
            </w:r>
          </w:p>
        </w:tc>
      </w:tr>
    </w:tbl>
    <w:p w14:paraId="09B10B22">
      <w:pPr>
        <w:pStyle w:val="2"/>
        <w:rPr>
          <w:sz w:val="21"/>
        </w:rPr>
      </w:pPr>
    </w:p>
    <w:p w14:paraId="24FFCD2B">
      <w:pPr>
        <w:rPr>
          <w:sz w:val="21"/>
          <w:szCs w:val="21"/>
        </w:rPr>
        <w:sectPr>
          <w:footerReference r:id="rId61" w:type="default"/>
          <w:pgSz w:w="16840" w:h="11907"/>
          <w:pgMar w:top="400" w:right="1588" w:bottom="1004" w:left="2014" w:header="0" w:footer="776" w:gutter="0"/>
          <w:cols w:space="720" w:num="1"/>
        </w:sectPr>
      </w:pPr>
    </w:p>
    <w:p w14:paraId="6AACCA28">
      <w:pPr>
        <w:spacing w:before="19"/>
      </w:pPr>
    </w:p>
    <w:p w14:paraId="15C144B5">
      <w:pPr>
        <w:spacing w:before="19"/>
      </w:pPr>
    </w:p>
    <w:p w14:paraId="3778D47F">
      <w:pPr>
        <w:spacing w:before="19"/>
      </w:pPr>
    </w:p>
    <w:p w14:paraId="56E7D9D0">
      <w:pPr>
        <w:spacing w:before="18"/>
      </w:pPr>
    </w:p>
    <w:p w14:paraId="08BB95F0">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5"/>
        <w:gridCol w:w="8270"/>
      </w:tblGrid>
      <w:tr w14:paraId="7556F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06" w:hRule="atLeast"/>
        </w:trPr>
        <w:tc>
          <w:tcPr>
            <w:tcW w:w="795" w:type="dxa"/>
            <w:vAlign w:val="top"/>
          </w:tcPr>
          <w:p w14:paraId="74E78127">
            <w:pPr>
              <w:spacing w:line="243" w:lineRule="auto"/>
              <w:rPr>
                <w:rFonts w:ascii="Arial"/>
                <w:sz w:val="21"/>
              </w:rPr>
            </w:pPr>
          </w:p>
          <w:p w14:paraId="3655E43B">
            <w:pPr>
              <w:spacing w:line="243" w:lineRule="auto"/>
              <w:rPr>
                <w:rFonts w:ascii="Arial"/>
                <w:sz w:val="21"/>
              </w:rPr>
            </w:pPr>
          </w:p>
          <w:p w14:paraId="6E0CF910">
            <w:pPr>
              <w:spacing w:line="243" w:lineRule="auto"/>
              <w:rPr>
                <w:rFonts w:ascii="Arial"/>
                <w:sz w:val="21"/>
              </w:rPr>
            </w:pPr>
          </w:p>
          <w:p w14:paraId="176F9B6E">
            <w:pPr>
              <w:spacing w:line="243" w:lineRule="auto"/>
              <w:rPr>
                <w:rFonts w:ascii="Arial"/>
                <w:sz w:val="21"/>
              </w:rPr>
            </w:pPr>
          </w:p>
          <w:p w14:paraId="4DDBC0E1">
            <w:pPr>
              <w:spacing w:line="243" w:lineRule="auto"/>
              <w:rPr>
                <w:rFonts w:ascii="Arial"/>
                <w:sz w:val="21"/>
              </w:rPr>
            </w:pPr>
          </w:p>
          <w:p w14:paraId="6A7CF8BC">
            <w:pPr>
              <w:spacing w:line="243" w:lineRule="auto"/>
              <w:rPr>
                <w:rFonts w:ascii="Arial"/>
                <w:sz w:val="21"/>
              </w:rPr>
            </w:pPr>
          </w:p>
          <w:p w14:paraId="6A11F1C9">
            <w:pPr>
              <w:spacing w:line="243" w:lineRule="auto"/>
              <w:rPr>
                <w:rFonts w:ascii="Arial"/>
                <w:sz w:val="21"/>
              </w:rPr>
            </w:pPr>
          </w:p>
          <w:p w14:paraId="18E642C1">
            <w:pPr>
              <w:spacing w:line="243" w:lineRule="auto"/>
              <w:rPr>
                <w:rFonts w:ascii="Arial"/>
                <w:sz w:val="21"/>
              </w:rPr>
            </w:pPr>
          </w:p>
          <w:p w14:paraId="200EC333">
            <w:pPr>
              <w:spacing w:line="243" w:lineRule="auto"/>
              <w:rPr>
                <w:rFonts w:ascii="Arial"/>
                <w:sz w:val="21"/>
              </w:rPr>
            </w:pPr>
          </w:p>
          <w:p w14:paraId="7BBFFA67">
            <w:pPr>
              <w:spacing w:line="243" w:lineRule="auto"/>
              <w:rPr>
                <w:rFonts w:ascii="Arial"/>
                <w:sz w:val="21"/>
              </w:rPr>
            </w:pPr>
          </w:p>
          <w:p w14:paraId="777A34A7">
            <w:pPr>
              <w:spacing w:line="243" w:lineRule="auto"/>
              <w:rPr>
                <w:rFonts w:ascii="Arial"/>
                <w:sz w:val="21"/>
              </w:rPr>
            </w:pPr>
          </w:p>
          <w:p w14:paraId="3A390F6B">
            <w:pPr>
              <w:spacing w:line="243" w:lineRule="auto"/>
              <w:rPr>
                <w:rFonts w:ascii="Arial"/>
                <w:sz w:val="21"/>
              </w:rPr>
            </w:pPr>
          </w:p>
          <w:p w14:paraId="7D3202FB">
            <w:pPr>
              <w:spacing w:line="243" w:lineRule="auto"/>
              <w:rPr>
                <w:rFonts w:ascii="Arial"/>
                <w:sz w:val="21"/>
              </w:rPr>
            </w:pPr>
          </w:p>
          <w:p w14:paraId="16E8C28F">
            <w:pPr>
              <w:spacing w:line="243" w:lineRule="auto"/>
              <w:rPr>
                <w:rFonts w:ascii="Arial"/>
                <w:sz w:val="21"/>
              </w:rPr>
            </w:pPr>
          </w:p>
          <w:p w14:paraId="6EE9D619">
            <w:pPr>
              <w:spacing w:line="243" w:lineRule="auto"/>
              <w:rPr>
                <w:rFonts w:ascii="Arial"/>
                <w:sz w:val="21"/>
              </w:rPr>
            </w:pPr>
          </w:p>
          <w:p w14:paraId="1E094A0B">
            <w:pPr>
              <w:spacing w:line="244" w:lineRule="auto"/>
              <w:rPr>
                <w:rFonts w:ascii="Arial"/>
                <w:sz w:val="21"/>
              </w:rPr>
            </w:pPr>
          </w:p>
          <w:p w14:paraId="4CF474A4">
            <w:pPr>
              <w:spacing w:line="244" w:lineRule="auto"/>
              <w:rPr>
                <w:rFonts w:ascii="Arial"/>
                <w:sz w:val="21"/>
              </w:rPr>
            </w:pPr>
          </w:p>
          <w:p w14:paraId="7CC13A8F">
            <w:pPr>
              <w:spacing w:line="244" w:lineRule="auto"/>
              <w:rPr>
                <w:rFonts w:ascii="Arial"/>
                <w:sz w:val="21"/>
              </w:rPr>
            </w:pPr>
          </w:p>
          <w:p w14:paraId="5478593F">
            <w:pPr>
              <w:spacing w:line="244" w:lineRule="auto"/>
              <w:rPr>
                <w:rFonts w:ascii="Arial"/>
                <w:sz w:val="21"/>
              </w:rPr>
            </w:pPr>
          </w:p>
          <w:p w14:paraId="3417BCFD">
            <w:pPr>
              <w:spacing w:line="244" w:lineRule="auto"/>
              <w:rPr>
                <w:rFonts w:ascii="Arial"/>
                <w:sz w:val="21"/>
              </w:rPr>
            </w:pPr>
          </w:p>
          <w:p w14:paraId="23BB7590">
            <w:pPr>
              <w:spacing w:line="244" w:lineRule="auto"/>
              <w:rPr>
                <w:rFonts w:ascii="Arial"/>
                <w:sz w:val="21"/>
              </w:rPr>
            </w:pPr>
          </w:p>
          <w:p w14:paraId="3FB20F7D">
            <w:pPr>
              <w:spacing w:line="244" w:lineRule="auto"/>
              <w:rPr>
                <w:rFonts w:ascii="Arial"/>
                <w:sz w:val="21"/>
              </w:rPr>
            </w:pPr>
          </w:p>
          <w:p w14:paraId="6B73855D">
            <w:pPr>
              <w:spacing w:line="244" w:lineRule="auto"/>
              <w:rPr>
                <w:rFonts w:ascii="Arial"/>
                <w:sz w:val="21"/>
              </w:rPr>
            </w:pPr>
          </w:p>
          <w:p w14:paraId="3008CE86">
            <w:pPr>
              <w:pStyle w:val="6"/>
              <w:spacing w:before="81" w:line="249" w:lineRule="auto"/>
              <w:ind w:left="144" w:right="137" w:firstLine="19"/>
              <w:jc w:val="both"/>
            </w:pPr>
            <w:r>
              <w:rPr>
                <w:spacing w:val="-6"/>
              </w:rPr>
              <w:t>区域</w:t>
            </w:r>
            <w:r>
              <w:rPr>
                <w:spacing w:val="4"/>
              </w:rPr>
              <w:t>环境质量</w:t>
            </w:r>
          </w:p>
          <w:p w14:paraId="2DBCBF52">
            <w:pPr>
              <w:pStyle w:val="6"/>
              <w:spacing w:before="1" w:line="225" w:lineRule="auto"/>
              <w:ind w:left="146"/>
              <w:outlineLvl w:val="0"/>
            </w:pPr>
            <w:r>
              <w:rPr>
                <w:spacing w:val="3"/>
              </w:rPr>
              <w:t>现状</w:t>
            </w:r>
          </w:p>
        </w:tc>
        <w:tc>
          <w:tcPr>
            <w:tcW w:w="8270" w:type="dxa"/>
            <w:vAlign w:val="top"/>
          </w:tcPr>
          <w:p w14:paraId="1EA718AD">
            <w:pPr>
              <w:pStyle w:val="6"/>
              <w:spacing w:before="149" w:line="340" w:lineRule="auto"/>
              <w:ind w:left="115" w:right="108" w:firstLine="549"/>
              <w:jc w:val="both"/>
            </w:pPr>
            <w:r>
              <w:rPr>
                <w:spacing w:val="5"/>
              </w:rPr>
              <w:t>由表</w:t>
            </w:r>
            <w:r>
              <w:rPr>
                <w:spacing w:val="-47"/>
              </w:rPr>
              <w:t xml:space="preserve"> </w:t>
            </w:r>
            <w:r>
              <w:rPr>
                <w:rFonts w:ascii="Times New Roman" w:hAnsi="Times New Roman" w:eastAsia="Times New Roman" w:cs="Times New Roman"/>
                <w:spacing w:val="5"/>
              </w:rPr>
              <w:t xml:space="preserve">3.1-5 </w:t>
            </w:r>
            <w:r>
              <w:rPr>
                <w:spacing w:val="5"/>
              </w:rPr>
              <w:t>和表</w:t>
            </w:r>
            <w:r>
              <w:rPr>
                <w:spacing w:val="-47"/>
              </w:rPr>
              <w:t xml:space="preserve"> </w:t>
            </w:r>
            <w:r>
              <w:rPr>
                <w:rFonts w:ascii="Times New Roman" w:hAnsi="Times New Roman" w:eastAsia="Times New Roman" w:cs="Times New Roman"/>
                <w:spacing w:val="5"/>
              </w:rPr>
              <w:t xml:space="preserve">3.1-6 </w:t>
            </w:r>
            <w:r>
              <w:rPr>
                <w:spacing w:val="5"/>
              </w:rPr>
              <w:t>可知，本项目所在</w:t>
            </w:r>
            <w:r>
              <w:rPr>
                <w:spacing w:val="4"/>
              </w:rPr>
              <w:t>各指标监测值均满足《地下</w:t>
            </w:r>
            <w:r>
              <w:rPr>
                <w:spacing w:val="6"/>
              </w:rPr>
              <w:t>水质量标准》（</w:t>
            </w:r>
            <w:r>
              <w:rPr>
                <w:rFonts w:ascii="Times New Roman" w:hAnsi="Times New Roman" w:eastAsia="Times New Roman" w:cs="Times New Roman"/>
              </w:rPr>
              <w:t>GB</w:t>
            </w:r>
            <w:r>
              <w:rPr>
                <w:rFonts w:ascii="Times New Roman" w:hAnsi="Times New Roman" w:eastAsia="Times New Roman" w:cs="Times New Roman"/>
                <w:spacing w:val="6"/>
              </w:rPr>
              <w:t>/T14848-2017</w:t>
            </w:r>
            <w:r>
              <w:rPr>
                <w:spacing w:val="5"/>
              </w:rPr>
              <w:t>）</w:t>
            </w:r>
            <w:r>
              <w:rPr>
                <w:rFonts w:ascii="Times New Roman" w:hAnsi="Times New Roman" w:eastAsia="Times New Roman" w:cs="Times New Roman"/>
              </w:rPr>
              <w:t>III</w:t>
            </w:r>
            <w:r>
              <w:rPr>
                <w:rFonts w:ascii="Times New Roman" w:hAnsi="Times New Roman" w:eastAsia="Times New Roman" w:cs="Times New Roman"/>
                <w:spacing w:val="5"/>
              </w:rPr>
              <w:t xml:space="preserve"> </w:t>
            </w:r>
            <w:r>
              <w:rPr>
                <w:spacing w:val="5"/>
              </w:rPr>
              <w:t>类标准值，监测结果说明该区域地</w:t>
            </w:r>
            <w:r>
              <w:rPr>
                <w:spacing w:val="7"/>
              </w:rPr>
              <w:t>下水环境质量较好。</w:t>
            </w:r>
          </w:p>
          <w:p w14:paraId="25B7915D">
            <w:pPr>
              <w:pStyle w:val="6"/>
              <w:spacing w:line="226" w:lineRule="auto"/>
              <w:ind w:left="627"/>
            </w:pPr>
            <w:r>
              <w:rPr>
                <w:rFonts w:ascii="Times New Roman" w:hAnsi="Times New Roman" w:eastAsia="Times New Roman" w:cs="Times New Roman"/>
                <w:b/>
                <w:bCs/>
                <w:spacing w:val="2"/>
              </w:rPr>
              <w:t>3.1.4</w:t>
            </w:r>
            <w:r>
              <w:rPr>
                <w:rFonts w:ascii="Times New Roman" w:hAnsi="Times New Roman" w:eastAsia="Times New Roman" w:cs="Times New Roman"/>
                <w:b/>
                <w:bCs/>
                <w:spacing w:val="26"/>
              </w:rPr>
              <w:t xml:space="preserve"> </w:t>
            </w:r>
            <w:r>
              <w:rPr>
                <w:b/>
                <w:bCs/>
                <w:spacing w:val="2"/>
              </w:rPr>
              <w:t>声环境</w:t>
            </w:r>
          </w:p>
          <w:p w14:paraId="1C363869">
            <w:pPr>
              <w:pStyle w:val="6"/>
              <w:spacing w:before="152" w:line="339" w:lineRule="auto"/>
              <w:ind w:left="112" w:right="108" w:firstLine="521"/>
              <w:jc w:val="both"/>
            </w:pPr>
            <w:r>
              <w:rPr>
                <w:spacing w:val="10"/>
              </w:rPr>
              <w:t>本项目位于重庆市九龙坡区石堰村八社</w:t>
            </w:r>
            <w:r>
              <w:rPr>
                <w:rFonts w:ascii="Times New Roman" w:hAnsi="Times New Roman" w:eastAsia="Times New Roman" w:cs="Times New Roman"/>
                <w:spacing w:val="10"/>
              </w:rPr>
              <w:t>(</w:t>
            </w:r>
            <w:r>
              <w:rPr>
                <w:spacing w:val="10"/>
              </w:rPr>
              <w:t>乔鹤佳苑小区旁</w:t>
            </w:r>
            <w:r>
              <w:rPr>
                <w:rFonts w:ascii="Times New Roman" w:hAnsi="Times New Roman" w:eastAsia="Times New Roman" w:cs="Times New Roman"/>
                <w:spacing w:val="10"/>
              </w:rPr>
              <w:t>)</w:t>
            </w:r>
            <w:r>
              <w:rPr>
                <w:rFonts w:ascii="Times New Roman" w:hAnsi="Times New Roman" w:eastAsia="Times New Roman" w:cs="Times New Roman"/>
                <w:spacing w:val="-11"/>
              </w:rPr>
              <w:t xml:space="preserve"> </w:t>
            </w:r>
            <w:r>
              <w:rPr>
                <w:spacing w:val="10"/>
              </w:rPr>
              <w:t>，评价委</w:t>
            </w:r>
            <w:r>
              <w:rPr>
                <w:spacing w:val="8"/>
              </w:rPr>
              <w:t>托了重庆港庆测控技术有限公司于</w:t>
            </w:r>
            <w:r>
              <w:rPr>
                <w:spacing w:val="-46"/>
              </w:rPr>
              <w:t xml:space="preserve"> </w:t>
            </w:r>
            <w:r>
              <w:rPr>
                <w:rFonts w:ascii="Times New Roman" w:hAnsi="Times New Roman" w:eastAsia="Times New Roman" w:cs="Times New Roman"/>
                <w:spacing w:val="8"/>
              </w:rPr>
              <w:t xml:space="preserve">2026 </w:t>
            </w:r>
            <w:r>
              <w:rPr>
                <w:spacing w:val="8"/>
              </w:rPr>
              <w:t>年</w:t>
            </w:r>
            <w:r>
              <w:rPr>
                <w:spacing w:val="-48"/>
              </w:rPr>
              <w:t xml:space="preserve"> </w:t>
            </w:r>
            <w:r>
              <w:rPr>
                <w:rFonts w:ascii="Times New Roman" w:hAnsi="Times New Roman" w:eastAsia="Times New Roman" w:cs="Times New Roman"/>
                <w:spacing w:val="8"/>
              </w:rPr>
              <w:t>2</w:t>
            </w:r>
            <w:r>
              <w:rPr>
                <w:rFonts w:ascii="Times New Roman" w:hAnsi="Times New Roman" w:eastAsia="Times New Roman" w:cs="Times New Roman"/>
                <w:spacing w:val="24"/>
              </w:rPr>
              <w:t xml:space="preserve"> </w:t>
            </w:r>
            <w:r>
              <w:rPr>
                <w:spacing w:val="8"/>
              </w:rPr>
              <w:t>月</w:t>
            </w:r>
            <w:r>
              <w:rPr>
                <w:spacing w:val="-45"/>
              </w:rPr>
              <w:t xml:space="preserve"> </w:t>
            </w:r>
            <w:r>
              <w:rPr>
                <w:rFonts w:ascii="Times New Roman" w:hAnsi="Times New Roman" w:eastAsia="Times New Roman" w:cs="Times New Roman"/>
                <w:spacing w:val="8"/>
              </w:rPr>
              <w:t xml:space="preserve">3  </w:t>
            </w:r>
            <w:r>
              <w:rPr>
                <w:spacing w:val="8"/>
              </w:rPr>
              <w:t>日对项目所在地的声</w:t>
            </w:r>
            <w:r>
              <w:rPr>
                <w:spacing w:val="9"/>
              </w:rPr>
              <w:t>环境现状进行实测，监测期间，加油站为正常运行状态。监测报告编号</w:t>
            </w:r>
            <w:r>
              <w:rPr>
                <w:spacing w:val="6"/>
              </w:rPr>
              <w:t>为港庆（监）字〔</w:t>
            </w:r>
            <w:r>
              <w:rPr>
                <w:rFonts w:ascii="Times New Roman" w:hAnsi="Times New Roman" w:eastAsia="Times New Roman" w:cs="Times New Roman"/>
                <w:spacing w:val="6"/>
              </w:rPr>
              <w:t>2026</w:t>
            </w:r>
            <w:r>
              <w:rPr>
                <w:spacing w:val="6"/>
              </w:rPr>
              <w:t>〕第</w:t>
            </w:r>
            <w:r>
              <w:rPr>
                <w:spacing w:val="-48"/>
              </w:rPr>
              <w:t xml:space="preserve"> </w:t>
            </w:r>
            <w:r>
              <w:rPr>
                <w:rFonts w:ascii="Times New Roman" w:hAnsi="Times New Roman" w:eastAsia="Times New Roman" w:cs="Times New Roman"/>
                <w:spacing w:val="6"/>
              </w:rPr>
              <w:t>01068</w:t>
            </w:r>
            <w:r>
              <w:rPr>
                <w:rFonts w:ascii="Times New Roman" w:hAnsi="Times New Roman" w:eastAsia="Times New Roman" w:cs="Times New Roman"/>
                <w:spacing w:val="5"/>
              </w:rPr>
              <w:t>-</w:t>
            </w:r>
            <w:r>
              <w:rPr>
                <w:rFonts w:ascii="Times New Roman" w:hAnsi="Times New Roman" w:eastAsia="Times New Roman" w:cs="Times New Roman"/>
              </w:rPr>
              <w:t>HP</w:t>
            </w:r>
            <w:r>
              <w:rPr>
                <w:rFonts w:ascii="Times New Roman" w:hAnsi="Times New Roman" w:eastAsia="Times New Roman" w:cs="Times New Roman"/>
                <w:spacing w:val="21"/>
              </w:rPr>
              <w:t xml:space="preserve"> </w:t>
            </w:r>
            <w:r>
              <w:rPr>
                <w:spacing w:val="5"/>
              </w:rPr>
              <w:t>号。</w:t>
            </w:r>
          </w:p>
          <w:p w14:paraId="3E69DA93">
            <w:pPr>
              <w:pStyle w:val="6"/>
              <w:spacing w:before="4" w:line="225" w:lineRule="auto"/>
              <w:ind w:left="644"/>
            </w:pPr>
            <w:r>
              <w:rPr>
                <w:spacing w:val="7"/>
              </w:rPr>
              <w:t>（</w:t>
            </w:r>
            <w:r>
              <w:rPr>
                <w:rFonts w:ascii="Times New Roman" w:hAnsi="Times New Roman" w:eastAsia="Times New Roman" w:cs="Times New Roman"/>
                <w:spacing w:val="7"/>
              </w:rPr>
              <w:t>1</w:t>
            </w:r>
            <w:r>
              <w:rPr>
                <w:spacing w:val="7"/>
              </w:rPr>
              <w:t>）监测数据基本情况</w:t>
            </w:r>
          </w:p>
          <w:p w14:paraId="7771631A">
            <w:pPr>
              <w:pStyle w:val="6"/>
              <w:spacing w:before="155" w:line="226" w:lineRule="auto"/>
              <w:ind w:left="634"/>
            </w:pPr>
            <w:r>
              <w:rPr>
                <w:spacing w:val="8"/>
              </w:rPr>
              <w:t>监测项目：昼间、夜间等效声级；</w:t>
            </w:r>
          </w:p>
          <w:p w14:paraId="49B4792C">
            <w:pPr>
              <w:pStyle w:val="6"/>
              <w:spacing w:before="153" w:line="340" w:lineRule="auto"/>
              <w:ind w:left="116" w:right="108" w:firstLine="517"/>
            </w:pPr>
            <w:r>
              <w:rPr>
                <w:spacing w:val="9"/>
              </w:rPr>
              <w:t>监测点位：声环境现状质量监测共设置</w:t>
            </w:r>
            <w:r>
              <w:rPr>
                <w:spacing w:val="-55"/>
              </w:rPr>
              <w:t xml:space="preserve"> </w:t>
            </w:r>
            <w:r>
              <w:rPr>
                <w:rFonts w:ascii="Times New Roman" w:hAnsi="Times New Roman" w:eastAsia="Times New Roman" w:cs="Times New Roman"/>
                <w:spacing w:val="9"/>
              </w:rPr>
              <w:t xml:space="preserve">2 </w:t>
            </w:r>
            <w:r>
              <w:rPr>
                <w:spacing w:val="9"/>
              </w:rPr>
              <w:t>个监测点</w:t>
            </w:r>
            <w:r>
              <w:rPr>
                <w:spacing w:val="8"/>
              </w:rPr>
              <w:t>位，分别位于加油站西侧乔鹤佳苑</w:t>
            </w:r>
            <w:r>
              <w:rPr>
                <w:spacing w:val="-48"/>
              </w:rPr>
              <w:t xml:space="preserve"> </w:t>
            </w:r>
            <w:r>
              <w:rPr>
                <w:rFonts w:ascii="Times New Roman" w:hAnsi="Times New Roman" w:eastAsia="Times New Roman" w:cs="Times New Roman"/>
                <w:spacing w:val="8"/>
              </w:rPr>
              <w:t xml:space="preserve">5 </w:t>
            </w:r>
            <w:r>
              <w:rPr>
                <w:spacing w:val="8"/>
              </w:rPr>
              <w:t>栋（邻近田福路）、加</w:t>
            </w:r>
            <w:r>
              <w:rPr>
                <w:spacing w:val="7"/>
              </w:rPr>
              <w:t>油站南侧乔鹤佳苑</w:t>
            </w:r>
            <w:r>
              <w:rPr>
                <w:spacing w:val="-46"/>
              </w:rPr>
              <w:t xml:space="preserve"> </w:t>
            </w:r>
            <w:r>
              <w:rPr>
                <w:rFonts w:ascii="Times New Roman" w:hAnsi="Times New Roman" w:eastAsia="Times New Roman" w:cs="Times New Roman"/>
                <w:spacing w:val="7"/>
              </w:rPr>
              <w:t xml:space="preserve">6 </w:t>
            </w:r>
            <w:r>
              <w:rPr>
                <w:spacing w:val="7"/>
              </w:rPr>
              <w:t>栋。</w:t>
            </w:r>
          </w:p>
          <w:p w14:paraId="2012047C">
            <w:pPr>
              <w:pStyle w:val="6"/>
              <w:spacing w:before="2" w:line="225" w:lineRule="auto"/>
              <w:ind w:left="634"/>
            </w:pPr>
            <w:r>
              <w:rPr>
                <w:spacing w:val="-1"/>
              </w:rPr>
              <w:t>监测时间：</w:t>
            </w:r>
            <w:r>
              <w:rPr>
                <w:rFonts w:ascii="Times New Roman" w:hAnsi="Times New Roman" w:eastAsia="Times New Roman" w:cs="Times New Roman"/>
                <w:spacing w:val="-1"/>
              </w:rPr>
              <w:t>2026</w:t>
            </w:r>
            <w:r>
              <w:rPr>
                <w:rFonts w:ascii="Times New Roman" w:hAnsi="Times New Roman" w:eastAsia="Times New Roman" w:cs="Times New Roman"/>
                <w:spacing w:val="25"/>
                <w:w w:val="101"/>
              </w:rPr>
              <w:t xml:space="preserve"> </w:t>
            </w:r>
            <w:r>
              <w:rPr>
                <w:spacing w:val="-1"/>
              </w:rPr>
              <w:t>年</w:t>
            </w:r>
            <w:r>
              <w:rPr>
                <w:spacing w:val="-55"/>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19"/>
              </w:rPr>
              <w:t xml:space="preserve"> </w:t>
            </w:r>
            <w:r>
              <w:rPr>
                <w:spacing w:val="-1"/>
              </w:rPr>
              <w:t>月</w:t>
            </w:r>
            <w:r>
              <w:rPr>
                <w:spacing w:val="-47"/>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57"/>
              </w:rPr>
              <w:t xml:space="preserve"> </w:t>
            </w:r>
            <w:r>
              <w:rPr>
                <w:spacing w:val="-1"/>
              </w:rPr>
              <w:t>日；</w:t>
            </w:r>
          </w:p>
          <w:p w14:paraId="47F77702">
            <w:pPr>
              <w:pStyle w:val="6"/>
              <w:spacing w:before="152" w:line="226" w:lineRule="auto"/>
              <w:ind w:left="634"/>
            </w:pPr>
            <w:r>
              <w:rPr>
                <w:spacing w:val="8"/>
              </w:rPr>
              <w:t>监测频率：连续监测一天，昼、夜各一次；</w:t>
            </w:r>
          </w:p>
          <w:p w14:paraId="49B6D56A">
            <w:pPr>
              <w:pStyle w:val="6"/>
              <w:spacing w:before="156" w:line="339" w:lineRule="auto"/>
              <w:ind w:left="133" w:right="108" w:firstLine="500"/>
            </w:pPr>
            <w:r>
              <w:rPr>
                <w:spacing w:val="8"/>
              </w:rPr>
              <w:t>监测分析方法：按照《声环境质量标准》</w:t>
            </w:r>
            <w:r>
              <w:rPr>
                <w:spacing w:val="-94"/>
              </w:rPr>
              <w:t xml:space="preserve"> </w:t>
            </w:r>
            <w:r>
              <w:rPr>
                <w:spacing w:val="8"/>
              </w:rPr>
              <w:t>（</w:t>
            </w:r>
            <w:r>
              <w:rPr>
                <w:rFonts w:ascii="Times New Roman" w:hAnsi="Times New Roman" w:eastAsia="Times New Roman" w:cs="Times New Roman"/>
              </w:rPr>
              <w:t>GB</w:t>
            </w:r>
            <w:r>
              <w:rPr>
                <w:rFonts w:ascii="Times New Roman" w:hAnsi="Times New Roman" w:eastAsia="Times New Roman" w:cs="Times New Roman"/>
                <w:spacing w:val="8"/>
              </w:rPr>
              <w:t>3096-2008</w:t>
            </w:r>
            <w:r>
              <w:rPr>
                <w:spacing w:val="8"/>
              </w:rPr>
              <w:t>）</w:t>
            </w:r>
            <w:r>
              <w:rPr>
                <w:spacing w:val="-72"/>
              </w:rPr>
              <w:t xml:space="preserve"> </w:t>
            </w:r>
            <w:r>
              <w:rPr>
                <w:spacing w:val="8"/>
              </w:rPr>
              <w:t>中规定</w:t>
            </w:r>
            <w:r>
              <w:rPr>
                <w:spacing w:val="2"/>
              </w:rPr>
              <w:t>的方法进行。</w:t>
            </w:r>
          </w:p>
          <w:p w14:paraId="66F66D8B">
            <w:pPr>
              <w:pStyle w:val="6"/>
              <w:spacing w:before="1" w:line="224" w:lineRule="auto"/>
              <w:ind w:left="644"/>
            </w:pPr>
            <w:r>
              <w:rPr>
                <w:spacing w:val="7"/>
              </w:rPr>
              <w:t>（</w:t>
            </w:r>
            <w:r>
              <w:rPr>
                <w:rFonts w:ascii="Times New Roman" w:hAnsi="Times New Roman" w:eastAsia="Times New Roman" w:cs="Times New Roman"/>
                <w:spacing w:val="7"/>
              </w:rPr>
              <w:t>2</w:t>
            </w:r>
            <w:r>
              <w:rPr>
                <w:spacing w:val="7"/>
              </w:rPr>
              <w:t>）监测结果及评价</w:t>
            </w:r>
          </w:p>
          <w:p w14:paraId="5DC38382">
            <w:pPr>
              <w:pStyle w:val="6"/>
              <w:spacing w:before="156" w:line="225" w:lineRule="auto"/>
              <w:ind w:left="645"/>
            </w:pPr>
            <w:r>
              <w:rPr>
                <w:spacing w:val="6"/>
              </w:rPr>
              <w:t>噪声监测统计及评价结果见表</w:t>
            </w:r>
            <w:r>
              <w:rPr>
                <w:spacing w:val="-46"/>
              </w:rPr>
              <w:t xml:space="preserve"> </w:t>
            </w:r>
            <w:r>
              <w:rPr>
                <w:rFonts w:ascii="Times New Roman" w:hAnsi="Times New Roman" w:eastAsia="Times New Roman" w:cs="Times New Roman"/>
                <w:spacing w:val="6"/>
              </w:rPr>
              <w:t>3.1-7</w:t>
            </w:r>
            <w:r>
              <w:rPr>
                <w:rFonts w:ascii="Times New Roman" w:hAnsi="Times New Roman" w:eastAsia="Times New Roman" w:cs="Times New Roman"/>
                <w:spacing w:val="-31"/>
              </w:rPr>
              <w:t xml:space="preserve"> </w:t>
            </w:r>
            <w:r>
              <w:rPr>
                <w:spacing w:val="6"/>
              </w:rPr>
              <w:t>，监测点位见附</w:t>
            </w:r>
            <w:r>
              <w:rPr>
                <w:spacing w:val="5"/>
              </w:rPr>
              <w:t>图。</w:t>
            </w:r>
          </w:p>
          <w:p w14:paraId="0E4B93A8">
            <w:pPr>
              <w:pStyle w:val="6"/>
              <w:spacing w:before="156" w:line="225" w:lineRule="auto"/>
              <w:ind w:left="1510"/>
            </w:pPr>
            <w:r>
              <w:rPr>
                <w:spacing w:val="6"/>
              </w:rPr>
              <w:t>表</w:t>
            </w:r>
            <w:r>
              <w:rPr>
                <w:spacing w:val="-50"/>
              </w:rPr>
              <w:t xml:space="preserve"> </w:t>
            </w:r>
            <w:r>
              <w:rPr>
                <w:rFonts w:ascii="Times New Roman" w:hAnsi="Times New Roman" w:eastAsia="Times New Roman" w:cs="Times New Roman"/>
                <w:spacing w:val="6"/>
              </w:rPr>
              <w:t xml:space="preserve">3.1-7    </w:t>
            </w:r>
            <w:r>
              <w:rPr>
                <w:spacing w:val="6"/>
              </w:rPr>
              <w:t>噪声现状评价结果</w:t>
            </w:r>
            <w:r>
              <w:rPr>
                <w:spacing w:val="12"/>
              </w:rPr>
              <w:t xml:space="preserve">  </w:t>
            </w:r>
            <w:r>
              <w:rPr>
                <w:spacing w:val="6"/>
              </w:rPr>
              <w:t>单位：</w:t>
            </w:r>
            <w:r>
              <w:rPr>
                <w:rFonts w:ascii="Times New Roman" w:hAnsi="Times New Roman" w:eastAsia="Times New Roman" w:cs="Times New Roman"/>
              </w:rPr>
              <w:t>dB</w:t>
            </w:r>
            <w:r>
              <w:rPr>
                <w:spacing w:val="6"/>
              </w:rPr>
              <w:t>（</w:t>
            </w:r>
            <w:r>
              <w:rPr>
                <w:rFonts w:ascii="Times New Roman" w:hAnsi="Times New Roman" w:eastAsia="Times New Roman" w:cs="Times New Roman"/>
                <w:spacing w:val="6"/>
              </w:rPr>
              <w:t>A</w:t>
            </w:r>
            <w:r>
              <w:rPr>
                <w:spacing w:val="6"/>
              </w:rPr>
              <w:t>）</w:t>
            </w:r>
          </w:p>
          <w:p w14:paraId="6A6CF048">
            <w:pPr>
              <w:spacing w:line="118" w:lineRule="auto"/>
              <w:rPr>
                <w:rFonts w:ascii="Arial"/>
                <w:sz w:val="2"/>
              </w:rPr>
            </w:pPr>
          </w:p>
          <w:tbl>
            <w:tblPr>
              <w:tblStyle w:val="5"/>
              <w:tblW w:w="8046" w:type="dxa"/>
              <w:tblInd w:w="1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4"/>
              <w:gridCol w:w="726"/>
              <w:gridCol w:w="1441"/>
              <w:gridCol w:w="1148"/>
              <w:gridCol w:w="1147"/>
              <w:gridCol w:w="1147"/>
              <w:gridCol w:w="1153"/>
            </w:tblGrid>
            <w:tr w14:paraId="1F6AE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284" w:type="dxa"/>
                  <w:vAlign w:val="top"/>
                </w:tcPr>
                <w:p w14:paraId="35CDC7AA">
                  <w:pPr>
                    <w:pStyle w:val="6"/>
                    <w:spacing w:before="177" w:line="222" w:lineRule="auto"/>
                    <w:ind w:left="318"/>
                    <w:rPr>
                      <w:sz w:val="22"/>
                      <w:szCs w:val="22"/>
                    </w:rPr>
                  </w:pPr>
                  <w:r>
                    <w:rPr>
                      <w:spacing w:val="-3"/>
                      <w:sz w:val="22"/>
                      <w:szCs w:val="22"/>
                    </w:rPr>
                    <w:t>监测点</w:t>
                  </w:r>
                </w:p>
              </w:tc>
              <w:tc>
                <w:tcPr>
                  <w:tcW w:w="726" w:type="dxa"/>
                  <w:vAlign w:val="top"/>
                </w:tcPr>
                <w:p w14:paraId="1B5DD788">
                  <w:pPr>
                    <w:pStyle w:val="6"/>
                    <w:spacing w:before="177" w:line="222" w:lineRule="auto"/>
                    <w:ind w:left="148"/>
                    <w:rPr>
                      <w:sz w:val="22"/>
                      <w:szCs w:val="22"/>
                    </w:rPr>
                  </w:pPr>
                  <w:r>
                    <w:rPr>
                      <w:spacing w:val="-4"/>
                      <w:sz w:val="22"/>
                      <w:szCs w:val="22"/>
                    </w:rPr>
                    <w:t>方位</w:t>
                  </w:r>
                </w:p>
              </w:tc>
              <w:tc>
                <w:tcPr>
                  <w:tcW w:w="1441" w:type="dxa"/>
                  <w:vAlign w:val="top"/>
                </w:tcPr>
                <w:p w14:paraId="354A70C2">
                  <w:pPr>
                    <w:pStyle w:val="6"/>
                    <w:spacing w:before="37" w:line="219" w:lineRule="auto"/>
                    <w:ind w:left="179"/>
                    <w:rPr>
                      <w:sz w:val="22"/>
                      <w:szCs w:val="22"/>
                    </w:rPr>
                  </w:pPr>
                  <w:r>
                    <w:rPr>
                      <w:spacing w:val="-3"/>
                      <w:sz w:val="22"/>
                      <w:szCs w:val="22"/>
                    </w:rPr>
                    <w:t>与本项目厂</w:t>
                  </w:r>
                </w:p>
                <w:p w14:paraId="3D7CF15E">
                  <w:pPr>
                    <w:pStyle w:val="6"/>
                    <w:spacing w:before="24" w:line="207" w:lineRule="auto"/>
                    <w:ind w:left="180"/>
                    <w:rPr>
                      <w:sz w:val="22"/>
                      <w:szCs w:val="22"/>
                    </w:rPr>
                  </w:pPr>
                  <w:r>
                    <w:rPr>
                      <w:spacing w:val="-3"/>
                      <w:sz w:val="22"/>
                      <w:szCs w:val="22"/>
                    </w:rPr>
                    <w:t>界最近距离</w:t>
                  </w:r>
                </w:p>
              </w:tc>
              <w:tc>
                <w:tcPr>
                  <w:tcW w:w="1148" w:type="dxa"/>
                  <w:vAlign w:val="top"/>
                </w:tcPr>
                <w:p w14:paraId="606085EB">
                  <w:pPr>
                    <w:pStyle w:val="6"/>
                    <w:spacing w:before="177" w:line="222" w:lineRule="auto"/>
                    <w:ind w:left="141"/>
                    <w:rPr>
                      <w:sz w:val="22"/>
                      <w:szCs w:val="22"/>
                    </w:rPr>
                  </w:pPr>
                  <w:r>
                    <w:rPr>
                      <w:spacing w:val="-3"/>
                      <w:sz w:val="22"/>
                      <w:szCs w:val="22"/>
                    </w:rPr>
                    <w:t>监测时间</w:t>
                  </w:r>
                </w:p>
              </w:tc>
              <w:tc>
                <w:tcPr>
                  <w:tcW w:w="1147" w:type="dxa"/>
                  <w:vAlign w:val="top"/>
                </w:tcPr>
                <w:p w14:paraId="357F611E">
                  <w:pPr>
                    <w:pStyle w:val="6"/>
                    <w:spacing w:before="178" w:line="221" w:lineRule="auto"/>
                    <w:ind w:left="140"/>
                    <w:rPr>
                      <w:sz w:val="22"/>
                      <w:szCs w:val="22"/>
                    </w:rPr>
                  </w:pPr>
                  <w:r>
                    <w:rPr>
                      <w:spacing w:val="-3"/>
                      <w:sz w:val="22"/>
                      <w:szCs w:val="22"/>
                    </w:rPr>
                    <w:t>监测结果</w:t>
                  </w:r>
                </w:p>
              </w:tc>
              <w:tc>
                <w:tcPr>
                  <w:tcW w:w="1147" w:type="dxa"/>
                  <w:vAlign w:val="top"/>
                </w:tcPr>
                <w:p w14:paraId="558EC35F">
                  <w:pPr>
                    <w:pStyle w:val="6"/>
                    <w:spacing w:before="178" w:line="220" w:lineRule="auto"/>
                    <w:ind w:left="251"/>
                    <w:rPr>
                      <w:sz w:val="22"/>
                      <w:szCs w:val="22"/>
                    </w:rPr>
                  </w:pPr>
                  <w:r>
                    <w:rPr>
                      <w:spacing w:val="-3"/>
                      <w:sz w:val="22"/>
                      <w:szCs w:val="22"/>
                    </w:rPr>
                    <w:t>标准值</w:t>
                  </w:r>
                </w:p>
              </w:tc>
              <w:tc>
                <w:tcPr>
                  <w:tcW w:w="1153" w:type="dxa"/>
                  <w:vAlign w:val="top"/>
                </w:tcPr>
                <w:p w14:paraId="5A9CE692">
                  <w:pPr>
                    <w:pStyle w:val="6"/>
                    <w:spacing w:before="37" w:line="223" w:lineRule="auto"/>
                    <w:ind w:left="251" w:right="243" w:firstLine="113"/>
                    <w:rPr>
                      <w:sz w:val="22"/>
                      <w:szCs w:val="22"/>
                    </w:rPr>
                  </w:pPr>
                  <w:r>
                    <w:rPr>
                      <w:spacing w:val="-5"/>
                      <w:sz w:val="22"/>
                      <w:szCs w:val="22"/>
                    </w:rPr>
                    <w:t>最大</w:t>
                  </w:r>
                  <w:r>
                    <w:rPr>
                      <w:spacing w:val="-3"/>
                      <w:sz w:val="22"/>
                      <w:szCs w:val="22"/>
                    </w:rPr>
                    <w:t>超标值</w:t>
                  </w:r>
                </w:p>
              </w:tc>
            </w:tr>
            <w:tr w14:paraId="43999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284" w:type="dxa"/>
                  <w:vMerge w:val="restart"/>
                  <w:tcBorders>
                    <w:bottom w:val="nil"/>
                  </w:tcBorders>
                  <w:vAlign w:val="top"/>
                </w:tcPr>
                <w:p w14:paraId="4E89E563">
                  <w:pPr>
                    <w:pStyle w:val="6"/>
                    <w:spacing w:before="122"/>
                    <w:ind w:left="319" w:right="148" w:hanging="174"/>
                    <w:rPr>
                      <w:sz w:val="22"/>
                      <w:szCs w:val="22"/>
                    </w:rPr>
                  </w:pPr>
                  <w:r>
                    <w:rPr>
                      <w:rFonts w:ascii="Times New Roman" w:hAnsi="Times New Roman" w:eastAsia="Times New Roman" w:cs="Times New Roman"/>
                      <w:sz w:val="22"/>
                      <w:szCs w:val="22"/>
                    </w:rPr>
                    <w:t xml:space="preserve">N1 </w:t>
                  </w:r>
                  <w:r>
                    <w:rPr>
                      <w:sz w:val="22"/>
                      <w:szCs w:val="22"/>
                    </w:rPr>
                    <w:t>乔鹤佳</w:t>
                  </w:r>
                  <w:r>
                    <w:rPr>
                      <w:spacing w:val="-7"/>
                      <w:sz w:val="22"/>
                      <w:szCs w:val="22"/>
                    </w:rPr>
                    <w:t>苑</w:t>
                  </w:r>
                  <w:r>
                    <w:rPr>
                      <w:spacing w:val="-45"/>
                      <w:sz w:val="22"/>
                      <w:szCs w:val="22"/>
                    </w:rPr>
                    <w:t xml:space="preserve"> </w:t>
                  </w:r>
                  <w:r>
                    <w:rPr>
                      <w:rFonts w:ascii="Times New Roman" w:hAnsi="Times New Roman" w:eastAsia="Times New Roman" w:cs="Times New Roman"/>
                      <w:spacing w:val="-7"/>
                      <w:sz w:val="22"/>
                      <w:szCs w:val="22"/>
                    </w:rPr>
                    <w:t>5</w:t>
                  </w:r>
                  <w:r>
                    <w:rPr>
                      <w:rFonts w:ascii="Times New Roman" w:hAnsi="Times New Roman" w:eastAsia="Times New Roman" w:cs="Times New Roman"/>
                      <w:spacing w:val="8"/>
                      <w:sz w:val="22"/>
                      <w:szCs w:val="22"/>
                    </w:rPr>
                    <w:t xml:space="preserve"> </w:t>
                  </w:r>
                  <w:r>
                    <w:rPr>
                      <w:spacing w:val="-7"/>
                      <w:sz w:val="22"/>
                      <w:szCs w:val="22"/>
                    </w:rPr>
                    <w:t>栋</w:t>
                  </w:r>
                </w:p>
              </w:tc>
              <w:tc>
                <w:tcPr>
                  <w:tcW w:w="726" w:type="dxa"/>
                  <w:vMerge w:val="restart"/>
                  <w:tcBorders>
                    <w:bottom w:val="nil"/>
                  </w:tcBorders>
                  <w:vAlign w:val="top"/>
                </w:tcPr>
                <w:p w14:paraId="3FA8A648">
                  <w:pPr>
                    <w:rPr>
                      <w:rFonts w:ascii="Arial"/>
                      <w:sz w:val="21"/>
                    </w:rPr>
                  </w:pPr>
                </w:p>
                <w:p w14:paraId="13C54E32">
                  <w:pPr>
                    <w:spacing w:before="63" w:line="186" w:lineRule="auto"/>
                    <w:ind w:left="256"/>
                    <w:rPr>
                      <w:rFonts w:ascii="Times New Roman" w:hAnsi="Times New Roman" w:eastAsia="Times New Roman" w:cs="Times New Roman"/>
                      <w:sz w:val="22"/>
                      <w:szCs w:val="22"/>
                    </w:rPr>
                  </w:pPr>
                  <w:r>
                    <w:rPr>
                      <w:rFonts w:ascii="Times New Roman" w:hAnsi="Times New Roman" w:eastAsia="Times New Roman" w:cs="Times New Roman"/>
                      <w:sz w:val="22"/>
                      <w:szCs w:val="22"/>
                    </w:rPr>
                    <w:t>W</w:t>
                  </w:r>
                </w:p>
              </w:tc>
              <w:tc>
                <w:tcPr>
                  <w:tcW w:w="1441" w:type="dxa"/>
                  <w:vMerge w:val="restart"/>
                  <w:tcBorders>
                    <w:bottom w:val="nil"/>
                  </w:tcBorders>
                  <w:vAlign w:val="top"/>
                </w:tcPr>
                <w:p w14:paraId="7F4FF55D">
                  <w:pPr>
                    <w:spacing w:before="301" w:line="189" w:lineRule="auto"/>
                    <w:ind w:left="52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20m</w:t>
                  </w:r>
                </w:p>
              </w:tc>
              <w:tc>
                <w:tcPr>
                  <w:tcW w:w="1148" w:type="dxa"/>
                  <w:vAlign w:val="top"/>
                </w:tcPr>
                <w:p w14:paraId="686F6377">
                  <w:pPr>
                    <w:pStyle w:val="6"/>
                    <w:spacing w:before="74" w:line="223" w:lineRule="auto"/>
                    <w:ind w:left="357"/>
                    <w:rPr>
                      <w:sz w:val="22"/>
                      <w:szCs w:val="22"/>
                    </w:rPr>
                  </w:pPr>
                  <w:r>
                    <w:rPr>
                      <w:spacing w:val="-3"/>
                      <w:sz w:val="22"/>
                      <w:szCs w:val="22"/>
                    </w:rPr>
                    <w:t>昼间</w:t>
                  </w:r>
                </w:p>
              </w:tc>
              <w:tc>
                <w:tcPr>
                  <w:tcW w:w="1147" w:type="dxa"/>
                  <w:vAlign w:val="top"/>
                </w:tcPr>
                <w:p w14:paraId="5FC80D47">
                  <w:pPr>
                    <w:spacing w:before="112" w:line="189" w:lineRule="auto"/>
                    <w:ind w:left="47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65</w:t>
                  </w:r>
                </w:p>
              </w:tc>
              <w:tc>
                <w:tcPr>
                  <w:tcW w:w="1147" w:type="dxa"/>
                  <w:vAlign w:val="top"/>
                </w:tcPr>
                <w:p w14:paraId="2B2890FB">
                  <w:pPr>
                    <w:spacing w:before="112" w:line="189" w:lineRule="auto"/>
                    <w:ind w:left="47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70</w:t>
                  </w:r>
                </w:p>
              </w:tc>
              <w:tc>
                <w:tcPr>
                  <w:tcW w:w="1153" w:type="dxa"/>
                  <w:vAlign w:val="top"/>
                </w:tcPr>
                <w:p w14:paraId="295E18FD">
                  <w:pPr>
                    <w:spacing w:before="108" w:line="193" w:lineRule="auto"/>
                    <w:ind w:left="54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28EDB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284" w:type="dxa"/>
                  <w:vMerge w:val="continue"/>
                  <w:tcBorders>
                    <w:top w:val="nil"/>
                  </w:tcBorders>
                  <w:vAlign w:val="top"/>
                </w:tcPr>
                <w:p w14:paraId="605900A7">
                  <w:pPr>
                    <w:rPr>
                      <w:rFonts w:ascii="Arial"/>
                      <w:sz w:val="21"/>
                    </w:rPr>
                  </w:pPr>
                </w:p>
              </w:tc>
              <w:tc>
                <w:tcPr>
                  <w:tcW w:w="726" w:type="dxa"/>
                  <w:vMerge w:val="continue"/>
                  <w:tcBorders>
                    <w:top w:val="nil"/>
                  </w:tcBorders>
                  <w:vAlign w:val="top"/>
                </w:tcPr>
                <w:p w14:paraId="2E3CDD6E">
                  <w:pPr>
                    <w:rPr>
                      <w:rFonts w:ascii="Arial"/>
                      <w:sz w:val="21"/>
                    </w:rPr>
                  </w:pPr>
                </w:p>
              </w:tc>
              <w:tc>
                <w:tcPr>
                  <w:tcW w:w="1441" w:type="dxa"/>
                  <w:vMerge w:val="continue"/>
                  <w:tcBorders>
                    <w:top w:val="nil"/>
                  </w:tcBorders>
                  <w:vAlign w:val="top"/>
                </w:tcPr>
                <w:p w14:paraId="17F69428">
                  <w:pPr>
                    <w:rPr>
                      <w:rFonts w:ascii="Arial"/>
                      <w:sz w:val="21"/>
                    </w:rPr>
                  </w:pPr>
                </w:p>
              </w:tc>
              <w:tc>
                <w:tcPr>
                  <w:tcW w:w="1148" w:type="dxa"/>
                  <w:vAlign w:val="top"/>
                </w:tcPr>
                <w:p w14:paraId="1FDEAEB1">
                  <w:pPr>
                    <w:pStyle w:val="6"/>
                    <w:spacing w:before="75" w:line="220" w:lineRule="auto"/>
                    <w:ind w:left="362"/>
                    <w:rPr>
                      <w:sz w:val="22"/>
                      <w:szCs w:val="22"/>
                    </w:rPr>
                  </w:pPr>
                  <w:r>
                    <w:rPr>
                      <w:spacing w:val="-6"/>
                      <w:sz w:val="22"/>
                      <w:szCs w:val="22"/>
                    </w:rPr>
                    <w:t>夜间</w:t>
                  </w:r>
                </w:p>
              </w:tc>
              <w:tc>
                <w:tcPr>
                  <w:tcW w:w="1147" w:type="dxa"/>
                  <w:vAlign w:val="top"/>
                </w:tcPr>
                <w:p w14:paraId="136F87D8">
                  <w:pPr>
                    <w:spacing w:before="113" w:line="189" w:lineRule="auto"/>
                    <w:ind w:left="46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49</w:t>
                  </w:r>
                </w:p>
              </w:tc>
              <w:tc>
                <w:tcPr>
                  <w:tcW w:w="1147" w:type="dxa"/>
                  <w:vAlign w:val="top"/>
                </w:tcPr>
                <w:p w14:paraId="2E413932">
                  <w:pPr>
                    <w:spacing w:before="116" w:line="186" w:lineRule="auto"/>
                    <w:ind w:left="473"/>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55</w:t>
                  </w:r>
                </w:p>
              </w:tc>
              <w:tc>
                <w:tcPr>
                  <w:tcW w:w="1153" w:type="dxa"/>
                  <w:vAlign w:val="top"/>
                </w:tcPr>
                <w:p w14:paraId="58BA6B0C">
                  <w:pPr>
                    <w:spacing w:before="109" w:line="193" w:lineRule="auto"/>
                    <w:ind w:left="54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2C6F4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284" w:type="dxa"/>
                  <w:vMerge w:val="restart"/>
                  <w:tcBorders>
                    <w:bottom w:val="nil"/>
                  </w:tcBorders>
                  <w:vAlign w:val="top"/>
                </w:tcPr>
                <w:p w14:paraId="1A49AC2D">
                  <w:pPr>
                    <w:pStyle w:val="6"/>
                    <w:spacing w:before="122" w:line="242" w:lineRule="auto"/>
                    <w:ind w:left="319" w:right="148" w:hanging="174"/>
                    <w:rPr>
                      <w:sz w:val="22"/>
                      <w:szCs w:val="22"/>
                    </w:rPr>
                  </w:pPr>
                  <w:r>
                    <w:rPr>
                      <w:rFonts w:ascii="Times New Roman" w:hAnsi="Times New Roman" w:eastAsia="Times New Roman" w:cs="Times New Roman"/>
                      <w:sz w:val="22"/>
                      <w:szCs w:val="22"/>
                    </w:rPr>
                    <w:t xml:space="preserve">N2 </w:t>
                  </w:r>
                  <w:r>
                    <w:rPr>
                      <w:sz w:val="22"/>
                      <w:szCs w:val="22"/>
                    </w:rPr>
                    <w:t>乔鹤佳</w:t>
                  </w:r>
                  <w:r>
                    <w:rPr>
                      <w:spacing w:val="-7"/>
                      <w:sz w:val="22"/>
                      <w:szCs w:val="22"/>
                    </w:rPr>
                    <w:t>苑</w:t>
                  </w:r>
                  <w:r>
                    <w:rPr>
                      <w:spacing w:val="-45"/>
                      <w:sz w:val="22"/>
                      <w:szCs w:val="22"/>
                    </w:rPr>
                    <w:t xml:space="preserve"> </w:t>
                  </w:r>
                  <w:r>
                    <w:rPr>
                      <w:rFonts w:ascii="Times New Roman" w:hAnsi="Times New Roman" w:eastAsia="Times New Roman" w:cs="Times New Roman"/>
                      <w:spacing w:val="-7"/>
                      <w:sz w:val="22"/>
                      <w:szCs w:val="22"/>
                    </w:rPr>
                    <w:t>6</w:t>
                  </w:r>
                  <w:r>
                    <w:rPr>
                      <w:rFonts w:ascii="Times New Roman" w:hAnsi="Times New Roman" w:eastAsia="Times New Roman" w:cs="Times New Roman"/>
                      <w:spacing w:val="8"/>
                      <w:sz w:val="22"/>
                      <w:szCs w:val="22"/>
                    </w:rPr>
                    <w:t xml:space="preserve"> </w:t>
                  </w:r>
                  <w:r>
                    <w:rPr>
                      <w:spacing w:val="-7"/>
                      <w:sz w:val="22"/>
                      <w:szCs w:val="22"/>
                    </w:rPr>
                    <w:t>栋</w:t>
                  </w:r>
                </w:p>
              </w:tc>
              <w:tc>
                <w:tcPr>
                  <w:tcW w:w="726" w:type="dxa"/>
                  <w:vMerge w:val="restart"/>
                  <w:tcBorders>
                    <w:bottom w:val="nil"/>
                  </w:tcBorders>
                  <w:vAlign w:val="top"/>
                </w:tcPr>
                <w:p w14:paraId="5FDA82F9">
                  <w:pPr>
                    <w:spacing w:before="304" w:line="189" w:lineRule="auto"/>
                    <w:ind w:left="311"/>
                    <w:rPr>
                      <w:rFonts w:ascii="Times New Roman" w:hAnsi="Times New Roman" w:eastAsia="Times New Roman" w:cs="Times New Roman"/>
                      <w:sz w:val="22"/>
                      <w:szCs w:val="22"/>
                    </w:rPr>
                  </w:pPr>
                  <w:r>
                    <w:rPr>
                      <w:rFonts w:ascii="Times New Roman" w:hAnsi="Times New Roman" w:eastAsia="Times New Roman" w:cs="Times New Roman"/>
                      <w:sz w:val="22"/>
                      <w:szCs w:val="22"/>
                    </w:rPr>
                    <w:t>S</w:t>
                  </w:r>
                </w:p>
              </w:tc>
              <w:tc>
                <w:tcPr>
                  <w:tcW w:w="1441" w:type="dxa"/>
                  <w:vMerge w:val="restart"/>
                  <w:tcBorders>
                    <w:bottom w:val="nil"/>
                  </w:tcBorders>
                  <w:vAlign w:val="top"/>
                </w:tcPr>
                <w:p w14:paraId="1628B927">
                  <w:pPr>
                    <w:spacing w:before="304" w:line="189" w:lineRule="auto"/>
                    <w:ind w:left="52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20m</w:t>
                  </w:r>
                </w:p>
              </w:tc>
              <w:tc>
                <w:tcPr>
                  <w:tcW w:w="1148" w:type="dxa"/>
                  <w:vAlign w:val="top"/>
                </w:tcPr>
                <w:p w14:paraId="1EB95362">
                  <w:pPr>
                    <w:pStyle w:val="6"/>
                    <w:spacing w:before="76" w:line="223" w:lineRule="auto"/>
                    <w:ind w:left="357"/>
                    <w:rPr>
                      <w:sz w:val="22"/>
                      <w:szCs w:val="22"/>
                    </w:rPr>
                  </w:pPr>
                  <w:r>
                    <w:rPr>
                      <w:spacing w:val="-3"/>
                      <w:sz w:val="22"/>
                      <w:szCs w:val="22"/>
                    </w:rPr>
                    <w:t>昼间</w:t>
                  </w:r>
                </w:p>
              </w:tc>
              <w:tc>
                <w:tcPr>
                  <w:tcW w:w="1147" w:type="dxa"/>
                  <w:vAlign w:val="top"/>
                </w:tcPr>
                <w:p w14:paraId="489F09DF">
                  <w:pPr>
                    <w:spacing w:before="114" w:line="189" w:lineRule="auto"/>
                    <w:ind w:left="47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53</w:t>
                  </w:r>
                </w:p>
              </w:tc>
              <w:tc>
                <w:tcPr>
                  <w:tcW w:w="1147" w:type="dxa"/>
                  <w:vAlign w:val="top"/>
                </w:tcPr>
                <w:p w14:paraId="311BA3B7">
                  <w:pPr>
                    <w:spacing w:before="114" w:line="189" w:lineRule="auto"/>
                    <w:ind w:left="47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1153" w:type="dxa"/>
                  <w:vAlign w:val="top"/>
                </w:tcPr>
                <w:p w14:paraId="3F848E82">
                  <w:pPr>
                    <w:spacing w:before="110" w:line="193" w:lineRule="auto"/>
                    <w:ind w:left="54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04E3D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284" w:type="dxa"/>
                  <w:vMerge w:val="continue"/>
                  <w:tcBorders>
                    <w:top w:val="nil"/>
                  </w:tcBorders>
                  <w:vAlign w:val="top"/>
                </w:tcPr>
                <w:p w14:paraId="751BFEA6">
                  <w:pPr>
                    <w:rPr>
                      <w:rFonts w:ascii="Arial"/>
                      <w:sz w:val="21"/>
                    </w:rPr>
                  </w:pPr>
                </w:p>
              </w:tc>
              <w:tc>
                <w:tcPr>
                  <w:tcW w:w="726" w:type="dxa"/>
                  <w:vMerge w:val="continue"/>
                  <w:tcBorders>
                    <w:top w:val="nil"/>
                  </w:tcBorders>
                  <w:vAlign w:val="top"/>
                </w:tcPr>
                <w:p w14:paraId="7A5834A9">
                  <w:pPr>
                    <w:rPr>
                      <w:rFonts w:ascii="Arial"/>
                      <w:sz w:val="21"/>
                    </w:rPr>
                  </w:pPr>
                </w:p>
              </w:tc>
              <w:tc>
                <w:tcPr>
                  <w:tcW w:w="1441" w:type="dxa"/>
                  <w:vMerge w:val="continue"/>
                  <w:tcBorders>
                    <w:top w:val="nil"/>
                  </w:tcBorders>
                  <w:vAlign w:val="top"/>
                </w:tcPr>
                <w:p w14:paraId="665A7AF5">
                  <w:pPr>
                    <w:rPr>
                      <w:rFonts w:ascii="Arial"/>
                      <w:sz w:val="21"/>
                    </w:rPr>
                  </w:pPr>
                </w:p>
              </w:tc>
              <w:tc>
                <w:tcPr>
                  <w:tcW w:w="1148" w:type="dxa"/>
                  <w:vAlign w:val="top"/>
                </w:tcPr>
                <w:p w14:paraId="1FADFA53">
                  <w:pPr>
                    <w:pStyle w:val="6"/>
                    <w:spacing w:before="77" w:line="220" w:lineRule="auto"/>
                    <w:ind w:left="362"/>
                    <w:rPr>
                      <w:sz w:val="22"/>
                      <w:szCs w:val="22"/>
                    </w:rPr>
                  </w:pPr>
                  <w:r>
                    <w:rPr>
                      <w:spacing w:val="-6"/>
                      <w:sz w:val="22"/>
                      <w:szCs w:val="22"/>
                    </w:rPr>
                    <w:t>夜间</w:t>
                  </w:r>
                </w:p>
              </w:tc>
              <w:tc>
                <w:tcPr>
                  <w:tcW w:w="1147" w:type="dxa"/>
                  <w:vAlign w:val="top"/>
                </w:tcPr>
                <w:p w14:paraId="77E0263B">
                  <w:pPr>
                    <w:spacing w:before="115" w:line="189" w:lineRule="auto"/>
                    <w:ind w:left="46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47</w:t>
                  </w:r>
                </w:p>
              </w:tc>
              <w:tc>
                <w:tcPr>
                  <w:tcW w:w="1147" w:type="dxa"/>
                  <w:vAlign w:val="top"/>
                </w:tcPr>
                <w:p w14:paraId="6A8CC666">
                  <w:pPr>
                    <w:spacing w:before="115" w:line="189" w:lineRule="auto"/>
                    <w:ind w:left="473"/>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1153" w:type="dxa"/>
                  <w:vAlign w:val="top"/>
                </w:tcPr>
                <w:p w14:paraId="3E12F34B">
                  <w:pPr>
                    <w:spacing w:before="111" w:line="193" w:lineRule="auto"/>
                    <w:ind w:left="54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bl>
          <w:p w14:paraId="3111372B">
            <w:pPr>
              <w:spacing w:line="261" w:lineRule="auto"/>
              <w:rPr>
                <w:rFonts w:ascii="Arial"/>
                <w:sz w:val="21"/>
              </w:rPr>
            </w:pPr>
          </w:p>
          <w:p w14:paraId="2CDBF22F">
            <w:pPr>
              <w:spacing w:line="262" w:lineRule="auto"/>
              <w:rPr>
                <w:rFonts w:ascii="Arial"/>
                <w:sz w:val="21"/>
              </w:rPr>
            </w:pPr>
          </w:p>
          <w:p w14:paraId="62B300ED">
            <w:pPr>
              <w:pStyle w:val="6"/>
              <w:spacing w:before="82" w:line="304" w:lineRule="auto"/>
              <w:ind w:left="112" w:firstLine="551"/>
              <w:jc w:val="both"/>
            </w:pPr>
            <w:r>
              <w:rPr>
                <w:spacing w:val="1"/>
              </w:rPr>
              <w:t>由表</w:t>
            </w:r>
            <w:r>
              <w:rPr>
                <w:spacing w:val="-29"/>
              </w:rPr>
              <w:t xml:space="preserve"> </w:t>
            </w:r>
            <w:r>
              <w:rPr>
                <w:rFonts w:ascii="Times New Roman" w:hAnsi="Times New Roman" w:eastAsia="Times New Roman" w:cs="Times New Roman"/>
                <w:spacing w:val="1"/>
              </w:rPr>
              <w:t xml:space="preserve">3.1-7 </w:t>
            </w:r>
            <w:r>
              <w:rPr>
                <w:spacing w:val="1"/>
              </w:rPr>
              <w:t>可知，</w:t>
            </w:r>
            <w:r>
              <w:rPr>
                <w:rFonts w:ascii="Times New Roman" w:hAnsi="Times New Roman" w:eastAsia="Times New Roman" w:cs="Times New Roman"/>
                <w:spacing w:val="1"/>
              </w:rPr>
              <w:t>N1</w:t>
            </w:r>
            <w:r>
              <w:rPr>
                <w:rFonts w:ascii="Times New Roman" w:hAnsi="Times New Roman" w:eastAsia="Times New Roman" w:cs="Times New Roman"/>
                <w:spacing w:val="18"/>
              </w:rPr>
              <w:t xml:space="preserve"> </w:t>
            </w:r>
            <w:r>
              <w:rPr>
                <w:spacing w:val="1"/>
              </w:rPr>
              <w:t>声环境监测点昼、夜间满足《声环境质量标准》</w:t>
            </w:r>
            <w:r>
              <w:t xml:space="preserve"> </w:t>
            </w: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3096-2008</w:t>
            </w:r>
            <w:r>
              <w:rPr>
                <w:spacing w:val="5"/>
              </w:rPr>
              <w:t>）</w:t>
            </w:r>
            <w:r>
              <w:rPr>
                <w:rFonts w:ascii="Times New Roman" w:hAnsi="Times New Roman" w:eastAsia="Times New Roman" w:cs="Times New Roman"/>
                <w:spacing w:val="5"/>
              </w:rPr>
              <w:t xml:space="preserve">4a </w:t>
            </w:r>
            <w:r>
              <w:rPr>
                <w:spacing w:val="5"/>
              </w:rPr>
              <w:t>类标准，</w:t>
            </w:r>
            <w:r>
              <w:rPr>
                <w:rFonts w:ascii="Times New Roman" w:hAnsi="Times New Roman" w:eastAsia="Times New Roman" w:cs="Times New Roman"/>
                <w:spacing w:val="5"/>
              </w:rPr>
              <w:t>N2</w:t>
            </w:r>
            <w:r>
              <w:rPr>
                <w:rFonts w:ascii="Times New Roman" w:hAnsi="Times New Roman" w:eastAsia="Times New Roman" w:cs="Times New Roman"/>
                <w:spacing w:val="20"/>
              </w:rPr>
              <w:t xml:space="preserve"> </w:t>
            </w:r>
            <w:r>
              <w:rPr>
                <w:spacing w:val="5"/>
              </w:rPr>
              <w:t>声</w:t>
            </w:r>
            <w:r>
              <w:rPr>
                <w:spacing w:val="4"/>
              </w:rPr>
              <w:t>环境监测点昼、夜间满足《声环境质</w:t>
            </w:r>
            <w:r>
              <w:t>量标准》（</w:t>
            </w:r>
            <w:r>
              <w:rPr>
                <w:rFonts w:ascii="Times New Roman" w:hAnsi="Times New Roman" w:eastAsia="Times New Roman" w:cs="Times New Roman"/>
              </w:rPr>
              <w:t>GB3096-2008</w:t>
            </w:r>
            <w:r>
              <w:t>）</w:t>
            </w:r>
            <w:r>
              <w:rPr>
                <w:rFonts w:ascii="Times New Roman" w:hAnsi="Times New Roman" w:eastAsia="Times New Roman" w:cs="Times New Roman"/>
              </w:rPr>
              <w:t xml:space="preserve">2 </w:t>
            </w:r>
            <w:r>
              <w:t>类标准，表明项目所在区域声环境质量较好。</w:t>
            </w:r>
          </w:p>
        </w:tc>
      </w:tr>
    </w:tbl>
    <w:p w14:paraId="3F00ED09">
      <w:pPr>
        <w:pStyle w:val="2"/>
        <w:rPr>
          <w:sz w:val="21"/>
        </w:rPr>
      </w:pPr>
    </w:p>
    <w:p w14:paraId="0438DCF3">
      <w:pPr>
        <w:rPr>
          <w:sz w:val="21"/>
          <w:szCs w:val="21"/>
        </w:rPr>
        <w:sectPr>
          <w:footerReference r:id="rId62" w:type="default"/>
          <w:pgSz w:w="11907" w:h="16840"/>
          <w:pgMar w:top="400" w:right="1418" w:bottom="1008" w:left="1418" w:header="0" w:footer="770" w:gutter="0"/>
          <w:cols w:space="720" w:num="1"/>
        </w:sectPr>
      </w:pPr>
    </w:p>
    <w:p w14:paraId="4C67E16E">
      <w:pPr>
        <w:spacing w:before="19"/>
      </w:pPr>
    </w:p>
    <w:p w14:paraId="54D24CA7">
      <w:pPr>
        <w:spacing w:before="19"/>
      </w:pPr>
    </w:p>
    <w:p w14:paraId="76C66F9C">
      <w:pPr>
        <w:spacing w:before="19"/>
      </w:pPr>
    </w:p>
    <w:p w14:paraId="405628F4">
      <w:pPr>
        <w:spacing w:before="18"/>
      </w:pPr>
    </w:p>
    <w:p w14:paraId="58389C00">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5"/>
        <w:gridCol w:w="8270"/>
      </w:tblGrid>
      <w:tr w14:paraId="3E88B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71" w:hRule="atLeast"/>
        </w:trPr>
        <w:tc>
          <w:tcPr>
            <w:tcW w:w="795" w:type="dxa"/>
            <w:vAlign w:val="top"/>
          </w:tcPr>
          <w:p w14:paraId="41BEBA7D">
            <w:pPr>
              <w:rPr>
                <w:rFonts w:ascii="Arial"/>
                <w:sz w:val="21"/>
              </w:rPr>
            </w:pPr>
          </w:p>
        </w:tc>
        <w:tc>
          <w:tcPr>
            <w:tcW w:w="8270" w:type="dxa"/>
            <w:vAlign w:val="top"/>
          </w:tcPr>
          <w:p w14:paraId="7190E256">
            <w:pPr>
              <w:pStyle w:val="6"/>
              <w:spacing w:before="150" w:line="227" w:lineRule="auto"/>
              <w:ind w:left="106"/>
            </w:pPr>
            <w:r>
              <w:rPr>
                <w:rFonts w:ascii="Times New Roman" w:hAnsi="Times New Roman" w:eastAsia="Times New Roman" w:cs="Times New Roman"/>
                <w:b/>
                <w:bCs/>
                <w:spacing w:val="5"/>
              </w:rPr>
              <w:t xml:space="preserve">3.1.5 </w:t>
            </w:r>
            <w:r>
              <w:rPr>
                <w:b/>
                <w:bCs/>
                <w:spacing w:val="5"/>
              </w:rPr>
              <w:t>土壤环境</w:t>
            </w:r>
          </w:p>
          <w:p w14:paraId="67E43C90">
            <w:pPr>
              <w:pStyle w:val="6"/>
              <w:spacing w:before="150" w:line="340" w:lineRule="auto"/>
              <w:ind w:left="111" w:right="108" w:firstLine="522"/>
              <w:jc w:val="both"/>
            </w:pPr>
            <w:r>
              <w:rPr>
                <w:spacing w:val="9"/>
              </w:rPr>
              <w:t>本项目为加油站建设项目，可能存在土壤环境污染途径，本次评价</w:t>
            </w:r>
            <w:r>
              <w:rPr>
                <w:spacing w:val="8"/>
              </w:rPr>
              <w:t>在场地内设置</w:t>
            </w:r>
            <w:r>
              <w:rPr>
                <w:spacing w:val="-25"/>
              </w:rPr>
              <w:t xml:space="preserve"> </w:t>
            </w:r>
            <w:r>
              <w:rPr>
                <w:rFonts w:ascii="Times New Roman" w:hAnsi="Times New Roman" w:eastAsia="Times New Roman" w:cs="Times New Roman"/>
                <w:spacing w:val="8"/>
              </w:rPr>
              <w:t xml:space="preserve">1 </w:t>
            </w:r>
            <w:r>
              <w:rPr>
                <w:spacing w:val="8"/>
              </w:rPr>
              <w:t>个土壤表层样背景监测点，评价委托重庆港庆测控技术</w:t>
            </w:r>
            <w:r>
              <w:rPr>
                <w:spacing w:val="4"/>
              </w:rPr>
              <w:t>有限公司于</w:t>
            </w:r>
            <w:r>
              <w:rPr>
                <w:spacing w:val="-42"/>
              </w:rPr>
              <w:t xml:space="preserve"> </w:t>
            </w:r>
            <w:r>
              <w:rPr>
                <w:rFonts w:ascii="Times New Roman" w:hAnsi="Times New Roman" w:eastAsia="Times New Roman" w:cs="Times New Roman"/>
                <w:spacing w:val="4"/>
              </w:rPr>
              <w:t xml:space="preserve">2026 </w:t>
            </w:r>
            <w:r>
              <w:rPr>
                <w:spacing w:val="4"/>
              </w:rPr>
              <w:t>年</w:t>
            </w:r>
            <w:r>
              <w:rPr>
                <w:spacing w:val="-30"/>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1"/>
              </w:rPr>
              <w:t xml:space="preserve"> </w:t>
            </w:r>
            <w:r>
              <w:rPr>
                <w:spacing w:val="4"/>
              </w:rPr>
              <w:t>月</w:t>
            </w:r>
            <w:r>
              <w:rPr>
                <w:spacing w:val="-49"/>
              </w:rPr>
              <w:t xml:space="preserve"> </w:t>
            </w:r>
            <w:r>
              <w:rPr>
                <w:rFonts w:ascii="Times New Roman" w:hAnsi="Times New Roman" w:eastAsia="Times New Roman" w:cs="Times New Roman"/>
                <w:spacing w:val="4"/>
              </w:rPr>
              <w:t xml:space="preserve">31  </w:t>
            </w:r>
            <w:r>
              <w:rPr>
                <w:spacing w:val="4"/>
              </w:rPr>
              <w:t>日进行土壤环境现状监测，并出具了监测报</w:t>
            </w:r>
            <w:r>
              <w:rPr>
                <w:spacing w:val="6"/>
              </w:rPr>
              <w:t>告编号为港庆（监）字〔</w:t>
            </w:r>
            <w:r>
              <w:rPr>
                <w:rFonts w:ascii="Times New Roman" w:hAnsi="Times New Roman" w:eastAsia="Times New Roman" w:cs="Times New Roman"/>
                <w:spacing w:val="6"/>
              </w:rPr>
              <w:t>2026</w:t>
            </w:r>
            <w:r>
              <w:rPr>
                <w:spacing w:val="6"/>
              </w:rPr>
              <w:t>〕第</w:t>
            </w:r>
            <w:r>
              <w:rPr>
                <w:spacing w:val="-38"/>
              </w:rPr>
              <w:t xml:space="preserve"> </w:t>
            </w:r>
            <w:r>
              <w:rPr>
                <w:rFonts w:ascii="Times New Roman" w:hAnsi="Times New Roman" w:eastAsia="Times New Roman" w:cs="Times New Roman"/>
                <w:spacing w:val="6"/>
              </w:rPr>
              <w:t>01068-</w:t>
            </w:r>
            <w:r>
              <w:rPr>
                <w:rFonts w:ascii="Times New Roman" w:hAnsi="Times New Roman" w:eastAsia="Times New Roman" w:cs="Times New Roman"/>
              </w:rPr>
              <w:t>HP</w:t>
            </w:r>
            <w:r>
              <w:rPr>
                <w:rFonts w:ascii="Times New Roman" w:hAnsi="Times New Roman" w:eastAsia="Times New Roman" w:cs="Times New Roman"/>
                <w:spacing w:val="21"/>
              </w:rPr>
              <w:t xml:space="preserve"> </w:t>
            </w:r>
            <w:r>
              <w:rPr>
                <w:spacing w:val="6"/>
              </w:rPr>
              <w:t>号。</w:t>
            </w:r>
          </w:p>
          <w:p w14:paraId="25FB2DC1">
            <w:pPr>
              <w:pStyle w:val="6"/>
              <w:spacing w:line="225" w:lineRule="auto"/>
              <w:ind w:left="620"/>
            </w:pPr>
            <w:r>
              <w:rPr>
                <w:spacing w:val="-3"/>
              </w:rPr>
              <w:t>（</w:t>
            </w:r>
            <w:r>
              <w:rPr>
                <w:rFonts w:ascii="Times New Roman" w:hAnsi="Times New Roman" w:eastAsia="Times New Roman" w:cs="Times New Roman"/>
                <w:spacing w:val="-3"/>
              </w:rPr>
              <w:t>1</w:t>
            </w:r>
            <w:r>
              <w:rPr>
                <w:spacing w:val="-3"/>
              </w:rPr>
              <w:t>）监测布点及采样时间</w:t>
            </w:r>
          </w:p>
          <w:p w14:paraId="5800B1A1">
            <w:pPr>
              <w:pStyle w:val="6"/>
              <w:spacing w:before="156" w:line="339" w:lineRule="auto"/>
              <w:ind w:left="112" w:right="96" w:firstLine="497"/>
            </w:pPr>
            <w:r>
              <w:rPr>
                <w:spacing w:val="1"/>
              </w:rPr>
              <w:t>本次评价在场地内设置</w:t>
            </w:r>
            <w:r>
              <w:rPr>
                <w:spacing w:val="-37"/>
              </w:rPr>
              <w:t xml:space="preserve"> </w:t>
            </w:r>
            <w:r>
              <w:rPr>
                <w:rFonts w:ascii="Times New Roman" w:hAnsi="Times New Roman" w:eastAsia="Times New Roman" w:cs="Times New Roman"/>
                <w:spacing w:val="1"/>
              </w:rPr>
              <w:t xml:space="preserve">1 </w:t>
            </w:r>
            <w:r>
              <w:rPr>
                <w:spacing w:val="1"/>
              </w:rPr>
              <w:t>个表层样点，位于现有工程绿化带，针对表</w:t>
            </w:r>
            <w:r>
              <w:rPr>
                <w:spacing w:val="-2"/>
              </w:rPr>
              <w:t>层样进行监测。</w:t>
            </w:r>
          </w:p>
          <w:p w14:paraId="7D8FC738">
            <w:pPr>
              <w:pStyle w:val="6"/>
              <w:spacing w:line="225" w:lineRule="auto"/>
              <w:jc w:val="right"/>
            </w:pPr>
            <w:r>
              <w:rPr>
                <w:spacing w:val="-1"/>
              </w:rPr>
              <w:t>监测点位布设情况、监测时间详见表</w:t>
            </w:r>
            <w:r>
              <w:rPr>
                <w:spacing w:val="-74"/>
              </w:rPr>
              <w:t xml:space="preserve"> </w:t>
            </w:r>
            <w:r>
              <w:rPr>
                <w:rFonts w:ascii="Times New Roman" w:hAnsi="Times New Roman" w:eastAsia="Times New Roman" w:cs="Times New Roman"/>
                <w:spacing w:val="-1"/>
              </w:rPr>
              <w:t>3.1-8</w:t>
            </w:r>
            <w:r>
              <w:rPr>
                <w:spacing w:val="-1"/>
              </w:rPr>
              <w:t>，土壤理化特性见表</w:t>
            </w:r>
            <w:r>
              <w:rPr>
                <w:spacing w:val="-73"/>
              </w:rPr>
              <w:t xml:space="preserve"> </w:t>
            </w:r>
            <w:r>
              <w:rPr>
                <w:rFonts w:ascii="Times New Roman" w:hAnsi="Times New Roman" w:eastAsia="Times New Roman" w:cs="Times New Roman"/>
                <w:spacing w:val="-1"/>
              </w:rPr>
              <w:t>3.1-9</w:t>
            </w:r>
            <w:r>
              <w:rPr>
                <w:spacing w:val="-1"/>
              </w:rPr>
              <w:t>。</w:t>
            </w:r>
          </w:p>
          <w:p w14:paraId="2035E606">
            <w:pPr>
              <w:pStyle w:val="6"/>
              <w:spacing w:before="156" w:line="225" w:lineRule="auto"/>
              <w:ind w:left="2014"/>
            </w:pPr>
            <w:r>
              <w:rPr>
                <w:spacing w:val="6"/>
              </w:rPr>
              <w:t>表</w:t>
            </w:r>
            <w:r>
              <w:rPr>
                <w:spacing w:val="-41"/>
              </w:rPr>
              <w:t xml:space="preserve"> </w:t>
            </w:r>
            <w:r>
              <w:rPr>
                <w:rFonts w:ascii="Times New Roman" w:hAnsi="Times New Roman" w:eastAsia="Times New Roman" w:cs="Times New Roman"/>
                <w:spacing w:val="6"/>
              </w:rPr>
              <w:t xml:space="preserve">3.1-8    </w:t>
            </w:r>
            <w:r>
              <w:rPr>
                <w:spacing w:val="6"/>
              </w:rPr>
              <w:t>土壤环境现状监测布点信息</w:t>
            </w:r>
          </w:p>
          <w:p w14:paraId="3638A395">
            <w:pPr>
              <w:spacing w:line="101" w:lineRule="auto"/>
              <w:rPr>
                <w:rFonts w:ascii="Arial"/>
                <w:sz w:val="2"/>
              </w:rPr>
            </w:pPr>
          </w:p>
          <w:tbl>
            <w:tblPr>
              <w:tblStyle w:val="5"/>
              <w:tblW w:w="8048"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6"/>
              <w:gridCol w:w="2221"/>
              <w:gridCol w:w="1403"/>
              <w:gridCol w:w="2409"/>
              <w:gridCol w:w="856"/>
              <w:gridCol w:w="693"/>
            </w:tblGrid>
            <w:tr w14:paraId="23D2A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466" w:type="dxa"/>
                  <w:textDirection w:val="tbRlV"/>
                  <w:vAlign w:val="top"/>
                </w:tcPr>
                <w:p w14:paraId="2A790309">
                  <w:pPr>
                    <w:pStyle w:val="6"/>
                    <w:spacing w:before="119" w:line="207" w:lineRule="auto"/>
                    <w:ind w:left="37"/>
                    <w:rPr>
                      <w:sz w:val="22"/>
                      <w:szCs w:val="22"/>
                    </w:rPr>
                  </w:pPr>
                  <w:r>
                    <w:rPr>
                      <w:spacing w:val="33"/>
                      <w:sz w:val="22"/>
                      <w:szCs w:val="22"/>
                    </w:rPr>
                    <w:t>编号</w:t>
                  </w:r>
                </w:p>
              </w:tc>
              <w:tc>
                <w:tcPr>
                  <w:tcW w:w="2221" w:type="dxa"/>
                  <w:vAlign w:val="top"/>
                </w:tcPr>
                <w:p w14:paraId="1DEA82E6">
                  <w:pPr>
                    <w:pStyle w:val="6"/>
                    <w:spacing w:before="179" w:line="221" w:lineRule="auto"/>
                    <w:ind w:left="456"/>
                    <w:rPr>
                      <w:sz w:val="22"/>
                      <w:szCs w:val="22"/>
                    </w:rPr>
                  </w:pPr>
                  <w:r>
                    <w:rPr>
                      <w:spacing w:val="-2"/>
                      <w:sz w:val="22"/>
                      <w:szCs w:val="22"/>
                    </w:rPr>
                    <w:t>监测点位情况</w:t>
                  </w:r>
                </w:p>
              </w:tc>
              <w:tc>
                <w:tcPr>
                  <w:tcW w:w="1403" w:type="dxa"/>
                  <w:vAlign w:val="top"/>
                </w:tcPr>
                <w:p w14:paraId="0F47240D">
                  <w:pPr>
                    <w:pStyle w:val="6"/>
                    <w:spacing w:before="37" w:line="223" w:lineRule="auto"/>
                    <w:ind w:left="485" w:right="148" w:hanging="328"/>
                    <w:rPr>
                      <w:sz w:val="22"/>
                      <w:szCs w:val="22"/>
                    </w:rPr>
                  </w:pPr>
                  <w:r>
                    <w:rPr>
                      <w:spacing w:val="-2"/>
                      <w:sz w:val="22"/>
                      <w:szCs w:val="22"/>
                    </w:rPr>
                    <w:t>监测时间及</w:t>
                  </w:r>
                  <w:r>
                    <w:rPr>
                      <w:spacing w:val="-4"/>
                      <w:sz w:val="22"/>
                      <w:szCs w:val="22"/>
                    </w:rPr>
                    <w:t>频率</w:t>
                  </w:r>
                </w:p>
              </w:tc>
              <w:tc>
                <w:tcPr>
                  <w:tcW w:w="2409" w:type="dxa"/>
                  <w:vAlign w:val="top"/>
                </w:tcPr>
                <w:p w14:paraId="1F77C587">
                  <w:pPr>
                    <w:pStyle w:val="6"/>
                    <w:spacing w:before="179" w:line="221" w:lineRule="auto"/>
                    <w:ind w:left="770"/>
                    <w:rPr>
                      <w:sz w:val="22"/>
                      <w:szCs w:val="22"/>
                    </w:rPr>
                  </w:pPr>
                  <w:r>
                    <w:rPr>
                      <w:spacing w:val="-3"/>
                      <w:sz w:val="22"/>
                      <w:szCs w:val="22"/>
                    </w:rPr>
                    <w:t>监测因子</w:t>
                  </w:r>
                </w:p>
              </w:tc>
              <w:tc>
                <w:tcPr>
                  <w:tcW w:w="856" w:type="dxa"/>
                  <w:vAlign w:val="top"/>
                </w:tcPr>
                <w:p w14:paraId="0FB3E169">
                  <w:pPr>
                    <w:pStyle w:val="6"/>
                    <w:spacing w:before="37" w:line="222" w:lineRule="auto"/>
                    <w:ind w:left="217"/>
                    <w:rPr>
                      <w:sz w:val="22"/>
                      <w:szCs w:val="22"/>
                    </w:rPr>
                  </w:pPr>
                  <w:r>
                    <w:rPr>
                      <w:spacing w:val="-5"/>
                      <w:sz w:val="22"/>
                      <w:szCs w:val="22"/>
                    </w:rPr>
                    <w:t>用地</w:t>
                  </w:r>
                </w:p>
                <w:p w14:paraId="6FD4FCCF">
                  <w:pPr>
                    <w:pStyle w:val="6"/>
                    <w:spacing w:before="21" w:line="206" w:lineRule="auto"/>
                    <w:ind w:left="218"/>
                    <w:rPr>
                      <w:sz w:val="22"/>
                      <w:szCs w:val="22"/>
                    </w:rPr>
                  </w:pPr>
                  <w:r>
                    <w:rPr>
                      <w:spacing w:val="-5"/>
                      <w:sz w:val="22"/>
                      <w:szCs w:val="22"/>
                    </w:rPr>
                    <w:t>性质</w:t>
                  </w:r>
                </w:p>
              </w:tc>
              <w:tc>
                <w:tcPr>
                  <w:tcW w:w="693" w:type="dxa"/>
                  <w:vAlign w:val="top"/>
                </w:tcPr>
                <w:p w14:paraId="2B325F04">
                  <w:pPr>
                    <w:pStyle w:val="6"/>
                    <w:spacing w:before="178" w:line="222" w:lineRule="auto"/>
                    <w:ind w:left="135"/>
                    <w:rPr>
                      <w:sz w:val="22"/>
                      <w:szCs w:val="22"/>
                    </w:rPr>
                  </w:pPr>
                  <w:r>
                    <w:rPr>
                      <w:spacing w:val="-5"/>
                      <w:sz w:val="22"/>
                      <w:szCs w:val="22"/>
                    </w:rPr>
                    <w:t>备注</w:t>
                  </w:r>
                </w:p>
              </w:tc>
            </w:tr>
            <w:tr w14:paraId="07137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466" w:type="dxa"/>
                  <w:vAlign w:val="top"/>
                </w:tcPr>
                <w:p w14:paraId="0A2D722F">
                  <w:pPr>
                    <w:spacing w:line="431" w:lineRule="auto"/>
                    <w:rPr>
                      <w:rFonts w:ascii="Arial"/>
                      <w:sz w:val="21"/>
                    </w:rPr>
                  </w:pPr>
                </w:p>
                <w:p w14:paraId="642459FF">
                  <w:pPr>
                    <w:spacing w:before="63" w:line="189" w:lineRule="auto"/>
                    <w:ind w:left="127"/>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S1</w:t>
                  </w:r>
                </w:p>
              </w:tc>
              <w:tc>
                <w:tcPr>
                  <w:tcW w:w="2221" w:type="dxa"/>
                  <w:vAlign w:val="top"/>
                </w:tcPr>
                <w:p w14:paraId="6BABC222">
                  <w:pPr>
                    <w:pStyle w:val="6"/>
                    <w:spacing w:before="31"/>
                    <w:ind w:left="333" w:right="171" w:hanging="208"/>
                    <w:rPr>
                      <w:sz w:val="22"/>
                      <w:szCs w:val="22"/>
                    </w:rPr>
                  </w:pPr>
                  <w:r>
                    <w:rPr>
                      <w:spacing w:val="-7"/>
                      <w:sz w:val="22"/>
                      <w:szCs w:val="22"/>
                    </w:rPr>
                    <w:t>绿化带（采样深度：</w:t>
                  </w:r>
                  <w:r>
                    <w:rPr>
                      <w:sz w:val="22"/>
                      <w:szCs w:val="22"/>
                    </w:rPr>
                    <w:t xml:space="preserve"> </w:t>
                  </w:r>
                  <w:r>
                    <w:rPr>
                      <w:rFonts w:ascii="Times New Roman" w:hAnsi="Times New Roman" w:eastAsia="Times New Roman" w:cs="Times New Roman"/>
                      <w:spacing w:val="-4"/>
                      <w:sz w:val="22"/>
                      <w:szCs w:val="22"/>
                    </w:rPr>
                    <w:t>0~0.2m</w:t>
                  </w:r>
                  <w:r>
                    <w:rPr>
                      <w:rFonts w:ascii="Times New Roman" w:hAnsi="Times New Roman" w:eastAsia="Times New Roman" w:cs="Times New Roman"/>
                      <w:spacing w:val="-23"/>
                      <w:sz w:val="22"/>
                      <w:szCs w:val="22"/>
                    </w:rPr>
                    <w:t xml:space="preserve"> </w:t>
                  </w:r>
                  <w:r>
                    <w:rPr>
                      <w:spacing w:val="-4"/>
                      <w:sz w:val="22"/>
                      <w:szCs w:val="22"/>
                    </w:rPr>
                    <w:t>，东经：</w:t>
                  </w:r>
                </w:p>
                <w:p w14:paraId="060BB496">
                  <w:pPr>
                    <w:pStyle w:val="6"/>
                    <w:spacing w:line="217" w:lineRule="auto"/>
                    <w:jc w:val="right"/>
                    <w:rPr>
                      <w:sz w:val="22"/>
                      <w:szCs w:val="22"/>
                    </w:rPr>
                  </w:pPr>
                  <w:r>
                    <w:rPr>
                      <w:rFonts w:ascii="Times New Roman" w:hAnsi="Times New Roman" w:eastAsia="Times New Roman" w:cs="Times New Roman"/>
                      <w:spacing w:val="-13"/>
                      <w:sz w:val="22"/>
                      <w:szCs w:val="22"/>
                    </w:rPr>
                    <w:t>106.432650</w:t>
                  </w:r>
                  <w:r>
                    <w:rPr>
                      <w:rFonts w:ascii="Times New Roman" w:hAnsi="Times New Roman" w:eastAsia="Times New Roman" w:cs="Times New Roman"/>
                      <w:spacing w:val="-24"/>
                      <w:sz w:val="22"/>
                      <w:szCs w:val="22"/>
                    </w:rPr>
                    <w:t xml:space="preserve"> </w:t>
                  </w:r>
                  <w:r>
                    <w:rPr>
                      <w:spacing w:val="-13"/>
                      <w:sz w:val="22"/>
                      <w:szCs w:val="22"/>
                    </w:rPr>
                    <w:t>°</w:t>
                  </w:r>
                  <w:r>
                    <w:rPr>
                      <w:spacing w:val="-83"/>
                      <w:sz w:val="22"/>
                      <w:szCs w:val="22"/>
                    </w:rPr>
                    <w:t xml:space="preserve"> </w:t>
                  </w:r>
                  <w:r>
                    <w:rPr>
                      <w:spacing w:val="-13"/>
                      <w:sz w:val="22"/>
                      <w:szCs w:val="22"/>
                    </w:rPr>
                    <w:t>,</w:t>
                  </w:r>
                  <w:r>
                    <w:rPr>
                      <w:spacing w:val="30"/>
                      <w:sz w:val="22"/>
                      <w:szCs w:val="22"/>
                    </w:rPr>
                    <w:t xml:space="preserve"> </w:t>
                  </w:r>
                  <w:r>
                    <w:rPr>
                      <w:spacing w:val="-13"/>
                      <w:sz w:val="22"/>
                      <w:szCs w:val="22"/>
                    </w:rPr>
                    <w:t>北纬：</w:t>
                  </w:r>
                </w:p>
                <w:p w14:paraId="1522275D">
                  <w:pPr>
                    <w:pStyle w:val="6"/>
                    <w:spacing w:before="27" w:line="208" w:lineRule="auto"/>
                    <w:ind w:left="422"/>
                    <w:rPr>
                      <w:sz w:val="22"/>
                      <w:szCs w:val="22"/>
                    </w:rPr>
                  </w:pPr>
                  <w:r>
                    <w:rPr>
                      <w:rFonts w:ascii="Times New Roman" w:hAnsi="Times New Roman" w:eastAsia="Times New Roman" w:cs="Times New Roman"/>
                      <w:spacing w:val="-3"/>
                      <w:sz w:val="22"/>
                      <w:szCs w:val="22"/>
                    </w:rPr>
                    <w:t>29.464712</w:t>
                  </w:r>
                  <w:r>
                    <w:rPr>
                      <w:rFonts w:ascii="Times New Roman" w:hAnsi="Times New Roman" w:eastAsia="Times New Roman" w:cs="Times New Roman"/>
                      <w:spacing w:val="-29"/>
                      <w:sz w:val="22"/>
                      <w:szCs w:val="22"/>
                    </w:rPr>
                    <w:t xml:space="preserve"> </w:t>
                  </w:r>
                  <w:r>
                    <w:rPr>
                      <w:spacing w:val="-3"/>
                      <w:sz w:val="22"/>
                      <w:szCs w:val="22"/>
                    </w:rPr>
                    <w:t>°</w:t>
                  </w:r>
                  <w:r>
                    <w:rPr>
                      <w:spacing w:val="-78"/>
                      <w:sz w:val="22"/>
                      <w:szCs w:val="22"/>
                    </w:rPr>
                    <w:t xml:space="preserve"> </w:t>
                  </w:r>
                  <w:r>
                    <w:rPr>
                      <w:spacing w:val="-3"/>
                      <w:sz w:val="22"/>
                      <w:szCs w:val="22"/>
                    </w:rPr>
                    <w:t>)</w:t>
                  </w:r>
                </w:p>
              </w:tc>
              <w:tc>
                <w:tcPr>
                  <w:tcW w:w="1403" w:type="dxa"/>
                  <w:vAlign w:val="top"/>
                </w:tcPr>
                <w:p w14:paraId="1EBD28B2">
                  <w:pPr>
                    <w:spacing w:line="243" w:lineRule="auto"/>
                    <w:rPr>
                      <w:rFonts w:ascii="Arial"/>
                      <w:sz w:val="21"/>
                    </w:rPr>
                  </w:pPr>
                </w:p>
                <w:p w14:paraId="25B803A6">
                  <w:pPr>
                    <w:pStyle w:val="6"/>
                    <w:spacing w:before="72" w:line="242" w:lineRule="auto"/>
                    <w:ind w:left="460" w:right="104" w:hanging="349"/>
                    <w:rPr>
                      <w:sz w:val="22"/>
                      <w:szCs w:val="22"/>
                    </w:rPr>
                  </w:pPr>
                  <w:r>
                    <w:rPr>
                      <w:spacing w:val="-11"/>
                      <w:sz w:val="22"/>
                      <w:szCs w:val="22"/>
                    </w:rPr>
                    <w:t>检测</w:t>
                  </w:r>
                  <w:r>
                    <w:rPr>
                      <w:spacing w:val="-29"/>
                      <w:sz w:val="22"/>
                      <w:szCs w:val="22"/>
                    </w:rPr>
                    <w:t xml:space="preserve"> </w:t>
                  </w:r>
                  <w:r>
                    <w:rPr>
                      <w:rFonts w:ascii="Times New Roman" w:hAnsi="Times New Roman" w:eastAsia="Times New Roman" w:cs="Times New Roman"/>
                      <w:spacing w:val="-11"/>
                      <w:sz w:val="22"/>
                      <w:szCs w:val="22"/>
                    </w:rPr>
                    <w:t>1</w:t>
                  </w:r>
                  <w:r>
                    <w:rPr>
                      <w:rFonts w:ascii="Times New Roman" w:hAnsi="Times New Roman" w:eastAsia="Times New Roman" w:cs="Times New Roman"/>
                      <w:spacing w:val="10"/>
                      <w:sz w:val="22"/>
                      <w:szCs w:val="22"/>
                    </w:rPr>
                    <w:t xml:space="preserve"> </w:t>
                  </w:r>
                  <w:r>
                    <w:rPr>
                      <w:spacing w:val="-11"/>
                      <w:sz w:val="22"/>
                      <w:szCs w:val="22"/>
                    </w:rPr>
                    <w:t>天，</w:t>
                  </w:r>
                  <w:r>
                    <w:rPr>
                      <w:rFonts w:ascii="Times New Roman" w:hAnsi="Times New Roman" w:eastAsia="Times New Roman" w:cs="Times New Roman"/>
                      <w:spacing w:val="-11"/>
                      <w:sz w:val="22"/>
                      <w:szCs w:val="22"/>
                    </w:rPr>
                    <w:t>1</w:t>
                  </w:r>
                  <w:r>
                    <w:rPr>
                      <w:spacing w:val="-5"/>
                      <w:sz w:val="22"/>
                      <w:szCs w:val="22"/>
                    </w:rPr>
                    <w:t>次</w:t>
                  </w:r>
                  <w:r>
                    <w:rPr>
                      <w:rFonts w:ascii="Times New Roman" w:hAnsi="Times New Roman" w:eastAsia="Times New Roman" w:cs="Times New Roman"/>
                      <w:spacing w:val="-5"/>
                      <w:sz w:val="22"/>
                      <w:szCs w:val="22"/>
                    </w:rPr>
                    <w:t>/</w:t>
                  </w:r>
                  <w:r>
                    <w:rPr>
                      <w:spacing w:val="-5"/>
                      <w:sz w:val="22"/>
                      <w:szCs w:val="22"/>
                    </w:rPr>
                    <w:t>天</w:t>
                  </w:r>
                </w:p>
              </w:tc>
              <w:tc>
                <w:tcPr>
                  <w:tcW w:w="2409" w:type="dxa"/>
                  <w:vAlign w:val="top"/>
                </w:tcPr>
                <w:p w14:paraId="2662B752">
                  <w:pPr>
                    <w:pStyle w:val="6"/>
                    <w:spacing w:before="31" w:line="232" w:lineRule="auto"/>
                    <w:ind w:left="110" w:right="26" w:firstLine="2"/>
                    <w:rPr>
                      <w:sz w:val="22"/>
                      <w:szCs w:val="22"/>
                    </w:rPr>
                  </w:pPr>
                  <w:r>
                    <w:rPr>
                      <w:spacing w:val="-4"/>
                      <w:sz w:val="22"/>
                      <w:szCs w:val="22"/>
                    </w:rPr>
                    <w:t>石油烃（</w:t>
                  </w:r>
                  <w:r>
                    <w:rPr>
                      <w:rFonts w:ascii="Times New Roman" w:hAnsi="Times New Roman" w:eastAsia="Times New Roman" w:cs="Times New Roman"/>
                      <w:spacing w:val="-4"/>
                      <w:sz w:val="22"/>
                      <w:szCs w:val="22"/>
                    </w:rPr>
                    <w:t>C</w:t>
                  </w:r>
                  <w:r>
                    <w:rPr>
                      <w:rFonts w:ascii="Times New Roman" w:hAnsi="Times New Roman" w:eastAsia="Times New Roman" w:cs="Times New Roman"/>
                      <w:spacing w:val="-4"/>
                      <w:position w:val="-1"/>
                      <w:sz w:val="14"/>
                      <w:szCs w:val="14"/>
                    </w:rPr>
                    <w:t>10</w:t>
                  </w:r>
                  <w:r>
                    <w:rPr>
                      <w:rFonts w:ascii="Times New Roman" w:hAnsi="Times New Roman" w:eastAsia="Times New Roman" w:cs="Times New Roman"/>
                      <w:spacing w:val="-4"/>
                      <w:sz w:val="22"/>
                      <w:szCs w:val="22"/>
                    </w:rPr>
                    <w:t>-C</w:t>
                  </w:r>
                  <w:r>
                    <w:rPr>
                      <w:rFonts w:ascii="Times New Roman" w:hAnsi="Times New Roman" w:eastAsia="Times New Roman" w:cs="Times New Roman"/>
                      <w:spacing w:val="-4"/>
                      <w:sz w:val="14"/>
                      <w:szCs w:val="14"/>
                    </w:rPr>
                    <w:t>40</w:t>
                  </w:r>
                  <w:r>
                    <w:rPr>
                      <w:spacing w:val="-25"/>
                      <w:sz w:val="22"/>
                      <w:szCs w:val="22"/>
                    </w:rPr>
                    <w:t>）、砷、</w:t>
                  </w:r>
                  <w:r>
                    <w:rPr>
                      <w:spacing w:val="1"/>
                      <w:sz w:val="22"/>
                      <w:szCs w:val="22"/>
                    </w:rPr>
                    <w:t>镉、铬（六价）、铜、</w:t>
                  </w:r>
                  <w:r>
                    <w:rPr>
                      <w:spacing w:val="-2"/>
                      <w:sz w:val="22"/>
                      <w:szCs w:val="22"/>
                    </w:rPr>
                    <w:t>铅、汞、镍、挥发性有机物、半挥发性有机物</w:t>
                  </w:r>
                </w:p>
              </w:tc>
              <w:tc>
                <w:tcPr>
                  <w:tcW w:w="856" w:type="dxa"/>
                  <w:vAlign w:val="top"/>
                </w:tcPr>
                <w:p w14:paraId="4BA7B90F">
                  <w:pPr>
                    <w:spacing w:line="245" w:lineRule="auto"/>
                    <w:rPr>
                      <w:rFonts w:ascii="Arial"/>
                      <w:sz w:val="21"/>
                    </w:rPr>
                  </w:pPr>
                </w:p>
                <w:p w14:paraId="093CFF4F">
                  <w:pPr>
                    <w:pStyle w:val="6"/>
                    <w:spacing w:before="72" w:line="242" w:lineRule="auto"/>
                    <w:ind w:left="217" w:right="201"/>
                    <w:rPr>
                      <w:sz w:val="22"/>
                      <w:szCs w:val="22"/>
                    </w:rPr>
                  </w:pPr>
                  <w:r>
                    <w:rPr>
                      <w:spacing w:val="-5"/>
                      <w:sz w:val="22"/>
                      <w:szCs w:val="22"/>
                    </w:rPr>
                    <w:t>建设用地</w:t>
                  </w:r>
                </w:p>
              </w:tc>
              <w:tc>
                <w:tcPr>
                  <w:tcW w:w="693" w:type="dxa"/>
                  <w:vAlign w:val="top"/>
                </w:tcPr>
                <w:p w14:paraId="319558CF">
                  <w:pPr>
                    <w:pStyle w:val="6"/>
                    <w:spacing w:before="175" w:line="222" w:lineRule="auto"/>
                    <w:ind w:left="169"/>
                    <w:rPr>
                      <w:sz w:val="22"/>
                      <w:szCs w:val="22"/>
                    </w:rPr>
                  </w:pPr>
                  <w:r>
                    <w:rPr>
                      <w:spacing w:val="-22"/>
                      <w:sz w:val="22"/>
                      <w:szCs w:val="22"/>
                    </w:rPr>
                    <w:t>占地</w:t>
                  </w:r>
                </w:p>
                <w:p w14:paraId="45F77232">
                  <w:pPr>
                    <w:pStyle w:val="6"/>
                    <w:spacing w:before="18" w:line="242" w:lineRule="auto"/>
                    <w:ind w:left="269" w:right="122" w:hanging="131"/>
                    <w:rPr>
                      <w:sz w:val="22"/>
                      <w:szCs w:val="22"/>
                    </w:rPr>
                  </w:pPr>
                  <w:r>
                    <w:rPr>
                      <w:spacing w:val="-7"/>
                      <w:sz w:val="22"/>
                      <w:szCs w:val="22"/>
                    </w:rPr>
                    <w:t>范围</w:t>
                  </w:r>
                  <w:r>
                    <w:rPr>
                      <w:sz w:val="22"/>
                      <w:szCs w:val="22"/>
                    </w:rPr>
                    <w:t>内</w:t>
                  </w:r>
                </w:p>
              </w:tc>
            </w:tr>
          </w:tbl>
          <w:p w14:paraId="5EA740D3">
            <w:pPr>
              <w:pStyle w:val="6"/>
              <w:spacing w:before="145" w:line="226" w:lineRule="auto"/>
              <w:ind w:left="2406"/>
            </w:pPr>
            <w:r>
              <w:rPr>
                <w:spacing w:val="5"/>
              </w:rPr>
              <w:t>表</w:t>
            </w:r>
            <w:r>
              <w:rPr>
                <w:spacing w:val="-36"/>
              </w:rPr>
              <w:t xml:space="preserve"> </w:t>
            </w:r>
            <w:r>
              <w:rPr>
                <w:rFonts w:ascii="Times New Roman" w:hAnsi="Times New Roman" w:eastAsia="Times New Roman" w:cs="Times New Roman"/>
                <w:spacing w:val="5"/>
              </w:rPr>
              <w:t xml:space="preserve">3.1-9    </w:t>
            </w:r>
            <w:r>
              <w:rPr>
                <w:spacing w:val="5"/>
              </w:rPr>
              <w:t>土壤理化特性调查表</w:t>
            </w:r>
          </w:p>
          <w:p w14:paraId="0E5FC753">
            <w:pPr>
              <w:spacing w:line="98" w:lineRule="auto"/>
              <w:rPr>
                <w:rFonts w:ascii="Arial"/>
                <w:sz w:val="2"/>
              </w:rPr>
            </w:pPr>
          </w:p>
          <w:tbl>
            <w:tblPr>
              <w:tblStyle w:val="5"/>
              <w:tblW w:w="8048"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9"/>
              <w:gridCol w:w="1300"/>
              <w:gridCol w:w="1299"/>
              <w:gridCol w:w="1299"/>
              <w:gridCol w:w="1485"/>
              <w:gridCol w:w="1676"/>
            </w:tblGrid>
            <w:tr w14:paraId="1E0A6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89" w:type="dxa"/>
                  <w:vMerge w:val="restart"/>
                  <w:tcBorders>
                    <w:bottom w:val="nil"/>
                  </w:tcBorders>
                  <w:vAlign w:val="top"/>
                </w:tcPr>
                <w:p w14:paraId="548A9333">
                  <w:pPr>
                    <w:pStyle w:val="6"/>
                    <w:spacing w:before="237" w:line="222" w:lineRule="auto"/>
                    <w:ind w:left="291"/>
                    <w:rPr>
                      <w:sz w:val="22"/>
                      <w:szCs w:val="22"/>
                    </w:rPr>
                  </w:pPr>
                  <w:r>
                    <w:rPr>
                      <w:spacing w:val="-10"/>
                      <w:sz w:val="22"/>
                      <w:szCs w:val="22"/>
                    </w:rPr>
                    <w:t>点位</w:t>
                  </w:r>
                </w:p>
              </w:tc>
              <w:tc>
                <w:tcPr>
                  <w:tcW w:w="1300" w:type="dxa"/>
                  <w:vMerge w:val="restart"/>
                  <w:tcBorders>
                    <w:bottom w:val="nil"/>
                  </w:tcBorders>
                  <w:vAlign w:val="top"/>
                </w:tcPr>
                <w:p w14:paraId="38FDAB1E">
                  <w:pPr>
                    <w:pStyle w:val="6"/>
                    <w:spacing w:before="238" w:line="220" w:lineRule="auto"/>
                    <w:ind w:left="434"/>
                    <w:rPr>
                      <w:sz w:val="22"/>
                      <w:szCs w:val="22"/>
                    </w:rPr>
                  </w:pPr>
                  <w:r>
                    <w:rPr>
                      <w:spacing w:val="-4"/>
                      <w:sz w:val="22"/>
                      <w:szCs w:val="22"/>
                    </w:rPr>
                    <w:t>层次</w:t>
                  </w:r>
                </w:p>
              </w:tc>
              <w:tc>
                <w:tcPr>
                  <w:tcW w:w="5759" w:type="dxa"/>
                  <w:gridSpan w:val="4"/>
                  <w:vAlign w:val="top"/>
                </w:tcPr>
                <w:p w14:paraId="6A896CE6">
                  <w:pPr>
                    <w:pStyle w:val="6"/>
                    <w:spacing w:before="62" w:line="221" w:lineRule="auto"/>
                    <w:ind w:left="2445"/>
                    <w:rPr>
                      <w:sz w:val="22"/>
                      <w:szCs w:val="22"/>
                    </w:rPr>
                  </w:pPr>
                  <w:r>
                    <w:rPr>
                      <w:spacing w:val="-3"/>
                      <w:sz w:val="22"/>
                      <w:szCs w:val="22"/>
                    </w:rPr>
                    <w:t>现场记录</w:t>
                  </w:r>
                </w:p>
              </w:tc>
            </w:tr>
            <w:tr w14:paraId="1B50D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89" w:type="dxa"/>
                  <w:vMerge w:val="continue"/>
                  <w:tcBorders>
                    <w:top w:val="nil"/>
                  </w:tcBorders>
                  <w:vAlign w:val="top"/>
                </w:tcPr>
                <w:p w14:paraId="77CB4036">
                  <w:pPr>
                    <w:rPr>
                      <w:rFonts w:ascii="Arial"/>
                      <w:sz w:val="21"/>
                    </w:rPr>
                  </w:pPr>
                </w:p>
              </w:tc>
              <w:tc>
                <w:tcPr>
                  <w:tcW w:w="1300" w:type="dxa"/>
                  <w:vMerge w:val="continue"/>
                  <w:tcBorders>
                    <w:top w:val="nil"/>
                  </w:tcBorders>
                  <w:vAlign w:val="top"/>
                </w:tcPr>
                <w:p w14:paraId="6D7A1F37">
                  <w:pPr>
                    <w:rPr>
                      <w:rFonts w:ascii="Arial"/>
                      <w:sz w:val="21"/>
                    </w:rPr>
                  </w:pPr>
                </w:p>
              </w:tc>
              <w:tc>
                <w:tcPr>
                  <w:tcW w:w="1299" w:type="dxa"/>
                  <w:vAlign w:val="top"/>
                </w:tcPr>
                <w:p w14:paraId="49D45E98">
                  <w:pPr>
                    <w:pStyle w:val="6"/>
                    <w:spacing w:before="59" w:line="222" w:lineRule="auto"/>
                    <w:ind w:left="433"/>
                    <w:rPr>
                      <w:sz w:val="22"/>
                      <w:szCs w:val="22"/>
                    </w:rPr>
                  </w:pPr>
                  <w:r>
                    <w:rPr>
                      <w:spacing w:val="-3"/>
                      <w:sz w:val="22"/>
                      <w:szCs w:val="22"/>
                    </w:rPr>
                    <w:t>颜色</w:t>
                  </w:r>
                </w:p>
              </w:tc>
              <w:tc>
                <w:tcPr>
                  <w:tcW w:w="1299" w:type="dxa"/>
                  <w:vAlign w:val="top"/>
                </w:tcPr>
                <w:p w14:paraId="225CD122">
                  <w:pPr>
                    <w:pStyle w:val="6"/>
                    <w:spacing w:before="60" w:line="221" w:lineRule="auto"/>
                    <w:ind w:left="437"/>
                    <w:rPr>
                      <w:sz w:val="22"/>
                      <w:szCs w:val="22"/>
                    </w:rPr>
                  </w:pPr>
                  <w:r>
                    <w:rPr>
                      <w:spacing w:val="-4"/>
                      <w:sz w:val="22"/>
                      <w:szCs w:val="22"/>
                    </w:rPr>
                    <w:t>质地</w:t>
                  </w:r>
                </w:p>
              </w:tc>
              <w:tc>
                <w:tcPr>
                  <w:tcW w:w="1485" w:type="dxa"/>
                  <w:vAlign w:val="top"/>
                </w:tcPr>
                <w:p w14:paraId="4903C9CC">
                  <w:pPr>
                    <w:pStyle w:val="6"/>
                    <w:spacing w:before="60" w:line="220" w:lineRule="auto"/>
                    <w:ind w:left="310"/>
                    <w:rPr>
                      <w:sz w:val="22"/>
                      <w:szCs w:val="22"/>
                    </w:rPr>
                  </w:pPr>
                  <w:r>
                    <w:rPr>
                      <w:spacing w:val="-2"/>
                      <w:sz w:val="22"/>
                      <w:szCs w:val="22"/>
                    </w:rPr>
                    <w:t>砂砾含量</w:t>
                  </w:r>
                </w:p>
              </w:tc>
              <w:tc>
                <w:tcPr>
                  <w:tcW w:w="1676" w:type="dxa"/>
                  <w:vAlign w:val="top"/>
                </w:tcPr>
                <w:p w14:paraId="5C974E06">
                  <w:pPr>
                    <w:pStyle w:val="6"/>
                    <w:spacing w:before="60" w:line="220" w:lineRule="auto"/>
                    <w:ind w:left="406"/>
                    <w:rPr>
                      <w:sz w:val="22"/>
                      <w:szCs w:val="22"/>
                    </w:rPr>
                  </w:pPr>
                  <w:r>
                    <w:rPr>
                      <w:spacing w:val="-3"/>
                      <w:sz w:val="22"/>
                      <w:szCs w:val="22"/>
                    </w:rPr>
                    <w:t>其他异物</w:t>
                  </w:r>
                </w:p>
              </w:tc>
            </w:tr>
            <w:tr w14:paraId="55DF5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89" w:type="dxa"/>
                  <w:vAlign w:val="top"/>
                </w:tcPr>
                <w:p w14:paraId="59572195">
                  <w:pPr>
                    <w:spacing w:before="98" w:line="189" w:lineRule="auto"/>
                    <w:ind w:left="389"/>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S1</w:t>
                  </w:r>
                </w:p>
              </w:tc>
              <w:tc>
                <w:tcPr>
                  <w:tcW w:w="1300" w:type="dxa"/>
                  <w:vAlign w:val="top"/>
                </w:tcPr>
                <w:p w14:paraId="4FF650DA">
                  <w:pPr>
                    <w:pStyle w:val="6"/>
                    <w:spacing w:before="62" w:line="220" w:lineRule="auto"/>
                    <w:ind w:left="322"/>
                    <w:rPr>
                      <w:sz w:val="22"/>
                      <w:szCs w:val="22"/>
                    </w:rPr>
                  </w:pPr>
                  <w:r>
                    <w:rPr>
                      <w:spacing w:val="-2"/>
                      <w:sz w:val="22"/>
                      <w:szCs w:val="22"/>
                    </w:rPr>
                    <w:t>表层样</w:t>
                  </w:r>
                </w:p>
              </w:tc>
              <w:tc>
                <w:tcPr>
                  <w:tcW w:w="1299" w:type="dxa"/>
                  <w:vAlign w:val="top"/>
                </w:tcPr>
                <w:p w14:paraId="715C2E45">
                  <w:pPr>
                    <w:pStyle w:val="6"/>
                    <w:spacing w:before="62" w:line="220" w:lineRule="auto"/>
                    <w:ind w:left="433"/>
                    <w:rPr>
                      <w:sz w:val="22"/>
                      <w:szCs w:val="22"/>
                    </w:rPr>
                  </w:pPr>
                  <w:r>
                    <w:rPr>
                      <w:spacing w:val="-3"/>
                      <w:sz w:val="22"/>
                      <w:szCs w:val="22"/>
                    </w:rPr>
                    <w:t>棕色</w:t>
                  </w:r>
                </w:p>
              </w:tc>
              <w:tc>
                <w:tcPr>
                  <w:tcW w:w="1299" w:type="dxa"/>
                  <w:vAlign w:val="top"/>
                </w:tcPr>
                <w:p w14:paraId="7D485200">
                  <w:pPr>
                    <w:pStyle w:val="6"/>
                    <w:spacing w:before="62" w:line="220" w:lineRule="auto"/>
                    <w:ind w:left="327"/>
                    <w:rPr>
                      <w:sz w:val="22"/>
                      <w:szCs w:val="22"/>
                    </w:rPr>
                  </w:pPr>
                  <w:r>
                    <w:rPr>
                      <w:spacing w:val="-3"/>
                      <w:sz w:val="22"/>
                      <w:szCs w:val="22"/>
                    </w:rPr>
                    <w:t>轻壤土</w:t>
                  </w:r>
                </w:p>
              </w:tc>
              <w:tc>
                <w:tcPr>
                  <w:tcW w:w="1485" w:type="dxa"/>
                  <w:vAlign w:val="top"/>
                </w:tcPr>
                <w:p w14:paraId="7276A6EB">
                  <w:pPr>
                    <w:pStyle w:val="6"/>
                    <w:spacing w:before="62" w:line="220" w:lineRule="auto"/>
                    <w:ind w:left="639"/>
                    <w:rPr>
                      <w:sz w:val="22"/>
                      <w:szCs w:val="22"/>
                    </w:rPr>
                  </w:pPr>
                  <w:r>
                    <w:rPr>
                      <w:sz w:val="22"/>
                      <w:szCs w:val="22"/>
                    </w:rPr>
                    <w:t>潮</w:t>
                  </w:r>
                </w:p>
              </w:tc>
              <w:tc>
                <w:tcPr>
                  <w:tcW w:w="1676" w:type="dxa"/>
                  <w:vAlign w:val="top"/>
                </w:tcPr>
                <w:p w14:paraId="4DF84A50">
                  <w:pPr>
                    <w:pStyle w:val="6"/>
                    <w:spacing w:before="62" w:line="221" w:lineRule="auto"/>
                    <w:ind w:left="406"/>
                    <w:rPr>
                      <w:sz w:val="22"/>
                      <w:szCs w:val="22"/>
                    </w:rPr>
                  </w:pPr>
                  <w:r>
                    <w:rPr>
                      <w:spacing w:val="-3"/>
                      <w:sz w:val="22"/>
                      <w:szCs w:val="22"/>
                    </w:rPr>
                    <w:t>少量根系</w:t>
                  </w:r>
                </w:p>
              </w:tc>
            </w:tr>
          </w:tbl>
          <w:p w14:paraId="0803DC60">
            <w:pPr>
              <w:spacing w:line="260" w:lineRule="auto"/>
              <w:rPr>
                <w:rFonts w:ascii="Arial"/>
                <w:sz w:val="21"/>
              </w:rPr>
            </w:pPr>
          </w:p>
          <w:p w14:paraId="16DB99B1">
            <w:pPr>
              <w:spacing w:line="260" w:lineRule="auto"/>
              <w:rPr>
                <w:rFonts w:ascii="Arial"/>
                <w:sz w:val="21"/>
              </w:rPr>
            </w:pPr>
          </w:p>
          <w:p w14:paraId="541B3C4B">
            <w:pPr>
              <w:pStyle w:val="6"/>
              <w:spacing w:before="81" w:line="225" w:lineRule="auto"/>
              <w:ind w:left="644"/>
            </w:pPr>
            <w:r>
              <w:rPr>
                <w:spacing w:val="6"/>
              </w:rPr>
              <w:t>（</w:t>
            </w:r>
            <w:r>
              <w:rPr>
                <w:rFonts w:ascii="Times New Roman" w:hAnsi="Times New Roman" w:eastAsia="Times New Roman" w:cs="Times New Roman"/>
                <w:spacing w:val="6"/>
              </w:rPr>
              <w:t>2</w:t>
            </w:r>
            <w:r>
              <w:rPr>
                <w:spacing w:val="6"/>
              </w:rPr>
              <w:t>）评价标准</w:t>
            </w:r>
          </w:p>
          <w:p w14:paraId="66A739CB">
            <w:pPr>
              <w:pStyle w:val="6"/>
              <w:spacing w:before="155" w:line="340" w:lineRule="auto"/>
              <w:ind w:left="115" w:right="108" w:firstLine="517"/>
            </w:pPr>
            <w:r>
              <w:rPr>
                <w:spacing w:val="9"/>
              </w:rPr>
              <w:t>根据区域土壤特点和土地功能，项目土壤监测点位位于站区内，属</w:t>
            </w:r>
            <w:r>
              <w:rPr>
                <w:spacing w:val="13"/>
              </w:rPr>
              <w:t>建设用地，执行《土壤环境质量 建设用地土壤污染风险管控标准（试</w:t>
            </w:r>
            <w:r>
              <w:rPr>
                <w:spacing w:val="7"/>
              </w:rPr>
              <w:t>行）》（</w:t>
            </w:r>
            <w:r>
              <w:rPr>
                <w:rFonts w:ascii="Times New Roman" w:hAnsi="Times New Roman" w:eastAsia="Times New Roman" w:cs="Times New Roman"/>
              </w:rPr>
              <w:t>GB</w:t>
            </w:r>
            <w:r>
              <w:rPr>
                <w:rFonts w:ascii="Times New Roman" w:hAnsi="Times New Roman" w:eastAsia="Times New Roman" w:cs="Times New Roman"/>
                <w:spacing w:val="7"/>
              </w:rPr>
              <w:t>36600-2018</w:t>
            </w:r>
            <w:r>
              <w:rPr>
                <w:spacing w:val="7"/>
              </w:rPr>
              <w:t>）第二类用地筛选值。</w:t>
            </w:r>
          </w:p>
          <w:p w14:paraId="51B9F2F1">
            <w:pPr>
              <w:pStyle w:val="6"/>
              <w:spacing w:before="1" w:line="224" w:lineRule="auto"/>
              <w:ind w:left="644"/>
            </w:pPr>
            <w:r>
              <w:rPr>
                <w:spacing w:val="6"/>
              </w:rPr>
              <w:t>（</w:t>
            </w:r>
            <w:r>
              <w:rPr>
                <w:rFonts w:ascii="Times New Roman" w:hAnsi="Times New Roman" w:eastAsia="Times New Roman" w:cs="Times New Roman"/>
                <w:spacing w:val="6"/>
              </w:rPr>
              <w:t>3</w:t>
            </w:r>
            <w:r>
              <w:rPr>
                <w:spacing w:val="6"/>
              </w:rPr>
              <w:t>）评价方法</w:t>
            </w:r>
          </w:p>
          <w:p w14:paraId="3ED92D0B">
            <w:pPr>
              <w:pStyle w:val="6"/>
              <w:spacing w:before="154" w:line="225" w:lineRule="auto"/>
              <w:ind w:left="632"/>
            </w:pPr>
            <w:r>
              <w:rPr>
                <w:spacing w:val="8"/>
              </w:rPr>
              <w:t>采用标准指数法评价。</w:t>
            </w:r>
          </w:p>
          <w:p w14:paraId="26B4C3CB">
            <w:pPr>
              <w:pStyle w:val="6"/>
              <w:spacing w:before="156" w:line="225" w:lineRule="auto"/>
              <w:ind w:left="644"/>
            </w:pPr>
            <w:r>
              <w:rPr>
                <w:spacing w:val="6"/>
              </w:rPr>
              <w:t>（</w:t>
            </w:r>
            <w:r>
              <w:rPr>
                <w:rFonts w:ascii="Times New Roman" w:hAnsi="Times New Roman" w:eastAsia="Times New Roman" w:cs="Times New Roman"/>
                <w:spacing w:val="6"/>
              </w:rPr>
              <w:t>4</w:t>
            </w:r>
            <w:r>
              <w:rPr>
                <w:spacing w:val="6"/>
              </w:rPr>
              <w:t>）评价结果</w:t>
            </w:r>
          </w:p>
          <w:p w14:paraId="500E53A8">
            <w:pPr>
              <w:pStyle w:val="6"/>
              <w:spacing w:before="156" w:line="225" w:lineRule="auto"/>
              <w:ind w:left="634"/>
            </w:pPr>
            <w:r>
              <w:rPr>
                <w:spacing w:val="5"/>
              </w:rPr>
              <w:t>土壤环境质量现状评价见下表</w:t>
            </w:r>
            <w:r>
              <w:rPr>
                <w:spacing w:val="-42"/>
              </w:rPr>
              <w:t xml:space="preserve"> </w:t>
            </w:r>
            <w:r>
              <w:rPr>
                <w:rFonts w:ascii="Times New Roman" w:hAnsi="Times New Roman" w:eastAsia="Times New Roman" w:cs="Times New Roman"/>
                <w:spacing w:val="5"/>
              </w:rPr>
              <w:t>3.1-</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 xml:space="preserve">10 </w:t>
            </w:r>
            <w:r>
              <w:rPr>
                <w:spacing w:val="5"/>
              </w:rPr>
              <w:t>所示。</w:t>
            </w:r>
          </w:p>
        </w:tc>
      </w:tr>
    </w:tbl>
    <w:p w14:paraId="54DDB805">
      <w:pPr>
        <w:pStyle w:val="2"/>
        <w:rPr>
          <w:sz w:val="21"/>
        </w:rPr>
      </w:pPr>
    </w:p>
    <w:p w14:paraId="1CCC576D">
      <w:pPr>
        <w:rPr>
          <w:sz w:val="21"/>
          <w:szCs w:val="21"/>
        </w:rPr>
        <w:sectPr>
          <w:footerReference r:id="rId63" w:type="default"/>
          <w:pgSz w:w="11907" w:h="16840"/>
          <w:pgMar w:top="400" w:right="1418" w:bottom="1005" w:left="1418" w:header="0" w:footer="776" w:gutter="0"/>
          <w:cols w:space="720" w:num="1"/>
        </w:sectPr>
      </w:pPr>
    </w:p>
    <w:p w14:paraId="19B09E5A">
      <w:pPr>
        <w:spacing w:before="42"/>
      </w:pPr>
    </w:p>
    <w:p w14:paraId="4A5D04BB">
      <w:pPr>
        <w:spacing w:before="41"/>
      </w:pPr>
    </w:p>
    <w:p w14:paraId="19FEF11C">
      <w:pPr>
        <w:spacing w:before="41"/>
      </w:pPr>
    </w:p>
    <w:p w14:paraId="1C52E434">
      <w:pPr>
        <w:spacing w:before="41"/>
      </w:pPr>
    </w:p>
    <w:tbl>
      <w:tblPr>
        <w:tblStyle w:val="5"/>
        <w:tblW w:w="132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3"/>
        <w:gridCol w:w="110"/>
        <w:gridCol w:w="939"/>
        <w:gridCol w:w="1153"/>
        <w:gridCol w:w="1134"/>
        <w:gridCol w:w="986"/>
        <w:gridCol w:w="985"/>
        <w:gridCol w:w="1102"/>
        <w:gridCol w:w="1275"/>
        <w:gridCol w:w="1215"/>
        <w:gridCol w:w="1334"/>
        <w:gridCol w:w="1190"/>
        <w:gridCol w:w="1060"/>
        <w:gridCol w:w="116"/>
      </w:tblGrid>
      <w:tr w14:paraId="6148A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633" w:type="dxa"/>
            <w:vMerge w:val="restart"/>
            <w:tcBorders>
              <w:bottom w:val="nil"/>
            </w:tcBorders>
            <w:textDirection w:val="tbRlV"/>
            <w:vAlign w:val="top"/>
          </w:tcPr>
          <w:p w14:paraId="7109BFA0">
            <w:pPr>
              <w:pStyle w:val="6"/>
              <w:spacing w:before="185" w:line="214" w:lineRule="auto"/>
              <w:ind w:left="2596"/>
            </w:pPr>
            <w:r>
              <w:rPr>
                <w:spacing w:val="8"/>
              </w:rPr>
              <w:t>区</w:t>
            </w:r>
            <w:r>
              <w:rPr>
                <w:spacing w:val="81"/>
              </w:rPr>
              <w:t xml:space="preserve"> </w:t>
            </w:r>
            <w:r>
              <w:rPr>
                <w:spacing w:val="8"/>
              </w:rPr>
              <w:t>域</w:t>
            </w:r>
            <w:r>
              <w:rPr>
                <w:spacing w:val="75"/>
              </w:rPr>
              <w:t xml:space="preserve"> </w:t>
            </w:r>
            <w:r>
              <w:rPr>
                <w:spacing w:val="8"/>
              </w:rPr>
              <w:t>环</w:t>
            </w:r>
            <w:r>
              <w:rPr>
                <w:spacing w:val="77"/>
              </w:rPr>
              <w:t xml:space="preserve"> </w:t>
            </w:r>
            <w:r>
              <w:rPr>
                <w:spacing w:val="8"/>
              </w:rPr>
              <w:t>境</w:t>
            </w:r>
            <w:r>
              <w:rPr>
                <w:spacing w:val="77"/>
              </w:rPr>
              <w:t xml:space="preserve"> </w:t>
            </w:r>
            <w:r>
              <w:rPr>
                <w:spacing w:val="8"/>
              </w:rPr>
              <w:t>质</w:t>
            </w:r>
            <w:r>
              <w:rPr>
                <w:spacing w:val="75"/>
              </w:rPr>
              <w:t xml:space="preserve"> </w:t>
            </w:r>
            <w:r>
              <w:rPr>
                <w:spacing w:val="8"/>
              </w:rPr>
              <w:t>量</w:t>
            </w:r>
            <w:r>
              <w:rPr>
                <w:spacing w:val="77"/>
              </w:rPr>
              <w:t xml:space="preserve"> </w:t>
            </w:r>
            <w:r>
              <w:rPr>
                <w:spacing w:val="8"/>
              </w:rPr>
              <w:t>现</w:t>
            </w:r>
            <w:r>
              <w:rPr>
                <w:spacing w:val="77"/>
              </w:rPr>
              <w:t xml:space="preserve"> </w:t>
            </w:r>
            <w:r>
              <w:rPr>
                <w:spacing w:val="8"/>
              </w:rPr>
              <w:t>状</w:t>
            </w:r>
          </w:p>
        </w:tc>
        <w:tc>
          <w:tcPr>
            <w:tcW w:w="12599" w:type="dxa"/>
            <w:gridSpan w:val="13"/>
            <w:vAlign w:val="top"/>
          </w:tcPr>
          <w:p w14:paraId="1567DE94">
            <w:pPr>
              <w:pStyle w:val="6"/>
              <w:spacing w:before="150" w:line="219" w:lineRule="auto"/>
              <w:ind w:left="2874"/>
              <w:rPr>
                <w:rFonts w:ascii="Times New Roman" w:hAnsi="Times New Roman" w:eastAsia="Times New Roman" w:cs="Times New Roman"/>
              </w:rPr>
            </w:pPr>
            <w:r>
              <w:rPr>
                <w:spacing w:val="6"/>
              </w:rPr>
              <w:t>表</w:t>
            </w:r>
            <w:r>
              <w:rPr>
                <w:spacing w:val="-36"/>
              </w:rPr>
              <w:t xml:space="preserve"> </w:t>
            </w:r>
            <w:r>
              <w:rPr>
                <w:rFonts w:ascii="Times New Roman" w:hAnsi="Times New Roman" w:eastAsia="Times New Roman" w:cs="Times New Roman"/>
                <w:spacing w:val="6"/>
              </w:rPr>
              <w:t>3.1-</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 xml:space="preserve">10    </w:t>
            </w:r>
            <w:r>
              <w:rPr>
                <w:spacing w:val="6"/>
              </w:rPr>
              <w:t>土壤环境质量现状监测及评价结果  单位：</w:t>
            </w:r>
            <w:r>
              <w:rPr>
                <w:rFonts w:ascii="Times New Roman" w:hAnsi="Times New Roman" w:eastAsia="Times New Roman" w:cs="Times New Roman"/>
              </w:rPr>
              <w:t>mg</w:t>
            </w:r>
            <w:r>
              <w:rPr>
                <w:rFonts w:ascii="Times New Roman" w:hAnsi="Times New Roman" w:eastAsia="Times New Roman" w:cs="Times New Roman"/>
                <w:spacing w:val="6"/>
              </w:rPr>
              <w:t>/</w:t>
            </w:r>
            <w:r>
              <w:rPr>
                <w:rFonts w:ascii="Times New Roman" w:hAnsi="Times New Roman" w:eastAsia="Times New Roman" w:cs="Times New Roman"/>
              </w:rPr>
              <w:t>kg</w:t>
            </w:r>
          </w:p>
        </w:tc>
      </w:tr>
      <w:tr w14:paraId="2ED7C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dxa"/>
            <w:vMerge w:val="continue"/>
            <w:tcBorders>
              <w:top w:val="nil"/>
              <w:bottom w:val="nil"/>
            </w:tcBorders>
            <w:textDirection w:val="tbRlV"/>
            <w:vAlign w:val="top"/>
          </w:tcPr>
          <w:p w14:paraId="4FF5A9F0">
            <w:pPr>
              <w:rPr>
                <w:rFonts w:ascii="Arial"/>
                <w:sz w:val="21"/>
              </w:rPr>
            </w:pPr>
          </w:p>
        </w:tc>
        <w:tc>
          <w:tcPr>
            <w:tcW w:w="110" w:type="dxa"/>
            <w:tcBorders>
              <w:top w:val="nil"/>
              <w:bottom w:val="nil"/>
            </w:tcBorders>
            <w:vAlign w:val="top"/>
          </w:tcPr>
          <w:p w14:paraId="7D033553">
            <w:pPr>
              <w:rPr>
                <w:rFonts w:ascii="Arial"/>
                <w:sz w:val="21"/>
              </w:rPr>
            </w:pPr>
          </w:p>
        </w:tc>
        <w:tc>
          <w:tcPr>
            <w:tcW w:w="939" w:type="dxa"/>
            <w:vAlign w:val="top"/>
          </w:tcPr>
          <w:p w14:paraId="7986ED4B">
            <w:pPr>
              <w:pStyle w:val="6"/>
              <w:spacing w:before="56" w:line="221" w:lineRule="auto"/>
              <w:ind w:left="257"/>
              <w:rPr>
                <w:sz w:val="22"/>
                <w:szCs w:val="22"/>
              </w:rPr>
            </w:pPr>
            <w:r>
              <w:rPr>
                <w:spacing w:val="-6"/>
                <w:sz w:val="22"/>
                <w:szCs w:val="22"/>
              </w:rPr>
              <w:t>项目</w:t>
            </w:r>
          </w:p>
        </w:tc>
        <w:tc>
          <w:tcPr>
            <w:tcW w:w="1153" w:type="dxa"/>
            <w:vAlign w:val="top"/>
          </w:tcPr>
          <w:p w14:paraId="095CDB51">
            <w:pPr>
              <w:pStyle w:val="6"/>
              <w:spacing w:before="56" w:line="219" w:lineRule="auto"/>
              <w:ind w:left="252"/>
              <w:rPr>
                <w:sz w:val="22"/>
                <w:szCs w:val="22"/>
              </w:rPr>
            </w:pPr>
            <w:r>
              <w:rPr>
                <w:spacing w:val="-3"/>
                <w:sz w:val="22"/>
                <w:szCs w:val="22"/>
              </w:rPr>
              <w:t>六价铬</w:t>
            </w:r>
          </w:p>
        </w:tc>
        <w:tc>
          <w:tcPr>
            <w:tcW w:w="1134" w:type="dxa"/>
            <w:vAlign w:val="top"/>
          </w:tcPr>
          <w:p w14:paraId="39ABD710">
            <w:pPr>
              <w:pStyle w:val="6"/>
              <w:spacing w:before="56" w:line="222" w:lineRule="auto"/>
              <w:ind w:left="463"/>
              <w:rPr>
                <w:sz w:val="22"/>
                <w:szCs w:val="22"/>
              </w:rPr>
            </w:pPr>
            <w:r>
              <w:rPr>
                <w:sz w:val="22"/>
                <w:szCs w:val="22"/>
              </w:rPr>
              <w:t>铜</w:t>
            </w:r>
          </w:p>
        </w:tc>
        <w:tc>
          <w:tcPr>
            <w:tcW w:w="986" w:type="dxa"/>
            <w:vAlign w:val="top"/>
          </w:tcPr>
          <w:p w14:paraId="600203D9">
            <w:pPr>
              <w:pStyle w:val="6"/>
              <w:spacing w:before="56" w:line="221" w:lineRule="auto"/>
              <w:ind w:left="386"/>
              <w:rPr>
                <w:sz w:val="22"/>
                <w:szCs w:val="22"/>
              </w:rPr>
            </w:pPr>
            <w:r>
              <w:rPr>
                <w:sz w:val="22"/>
                <w:szCs w:val="22"/>
              </w:rPr>
              <w:t>砷</w:t>
            </w:r>
          </w:p>
        </w:tc>
        <w:tc>
          <w:tcPr>
            <w:tcW w:w="985" w:type="dxa"/>
            <w:vAlign w:val="top"/>
          </w:tcPr>
          <w:p w14:paraId="57528D25">
            <w:pPr>
              <w:pStyle w:val="6"/>
              <w:spacing w:before="56" w:line="221" w:lineRule="auto"/>
              <w:ind w:left="388"/>
              <w:rPr>
                <w:sz w:val="22"/>
                <w:szCs w:val="22"/>
              </w:rPr>
            </w:pPr>
            <w:r>
              <w:rPr>
                <w:sz w:val="22"/>
                <w:szCs w:val="22"/>
              </w:rPr>
              <w:t>汞</w:t>
            </w:r>
          </w:p>
        </w:tc>
        <w:tc>
          <w:tcPr>
            <w:tcW w:w="1102" w:type="dxa"/>
            <w:vAlign w:val="top"/>
          </w:tcPr>
          <w:p w14:paraId="35630942">
            <w:pPr>
              <w:pStyle w:val="6"/>
              <w:spacing w:before="57" w:line="224" w:lineRule="auto"/>
              <w:ind w:left="447"/>
              <w:rPr>
                <w:sz w:val="22"/>
                <w:szCs w:val="22"/>
              </w:rPr>
            </w:pPr>
            <w:r>
              <w:rPr>
                <w:sz w:val="22"/>
                <w:szCs w:val="22"/>
              </w:rPr>
              <w:t>铅</w:t>
            </w:r>
          </w:p>
        </w:tc>
        <w:tc>
          <w:tcPr>
            <w:tcW w:w="1275" w:type="dxa"/>
            <w:vAlign w:val="top"/>
          </w:tcPr>
          <w:p w14:paraId="6CE21359">
            <w:pPr>
              <w:pStyle w:val="6"/>
              <w:spacing w:before="56" w:line="223" w:lineRule="auto"/>
              <w:ind w:left="531"/>
              <w:rPr>
                <w:sz w:val="22"/>
                <w:szCs w:val="22"/>
              </w:rPr>
            </w:pPr>
            <w:r>
              <w:rPr>
                <w:sz w:val="22"/>
                <w:szCs w:val="22"/>
              </w:rPr>
              <w:t>镉</w:t>
            </w:r>
          </w:p>
        </w:tc>
        <w:tc>
          <w:tcPr>
            <w:tcW w:w="1215" w:type="dxa"/>
            <w:vAlign w:val="top"/>
          </w:tcPr>
          <w:p w14:paraId="44BB5830">
            <w:pPr>
              <w:pStyle w:val="6"/>
              <w:spacing w:before="56" w:line="221" w:lineRule="auto"/>
              <w:ind w:left="502"/>
              <w:rPr>
                <w:sz w:val="22"/>
                <w:szCs w:val="22"/>
              </w:rPr>
            </w:pPr>
            <w:r>
              <w:rPr>
                <w:sz w:val="22"/>
                <w:szCs w:val="22"/>
              </w:rPr>
              <w:t>镍</w:t>
            </w:r>
          </w:p>
        </w:tc>
        <w:tc>
          <w:tcPr>
            <w:tcW w:w="3584" w:type="dxa"/>
            <w:gridSpan w:val="3"/>
            <w:vAlign w:val="top"/>
          </w:tcPr>
          <w:p w14:paraId="40994BD4">
            <w:pPr>
              <w:pStyle w:val="6"/>
              <w:spacing w:before="56" w:line="221" w:lineRule="auto"/>
              <w:ind w:left="926"/>
              <w:rPr>
                <w:sz w:val="22"/>
                <w:szCs w:val="22"/>
              </w:rPr>
            </w:pPr>
            <w:r>
              <w:rPr>
                <w:spacing w:val="-1"/>
                <w:sz w:val="22"/>
                <w:szCs w:val="22"/>
              </w:rPr>
              <w:t>石油烃（</w:t>
            </w:r>
            <w:r>
              <w:rPr>
                <w:rFonts w:ascii="Times New Roman" w:hAnsi="Times New Roman" w:eastAsia="Times New Roman" w:cs="Times New Roman"/>
                <w:spacing w:val="-1"/>
                <w:sz w:val="22"/>
                <w:szCs w:val="22"/>
              </w:rPr>
              <w:t>C</w:t>
            </w:r>
            <w:r>
              <w:rPr>
                <w:rFonts w:ascii="Times New Roman" w:hAnsi="Times New Roman" w:eastAsia="Times New Roman" w:cs="Times New Roman"/>
                <w:spacing w:val="-1"/>
                <w:position w:val="-1"/>
                <w:sz w:val="14"/>
                <w:szCs w:val="14"/>
              </w:rPr>
              <w:t>10</w:t>
            </w:r>
            <w:r>
              <w:rPr>
                <w:rFonts w:ascii="Times New Roman" w:hAnsi="Times New Roman" w:eastAsia="Times New Roman" w:cs="Times New Roman"/>
                <w:spacing w:val="-1"/>
                <w:sz w:val="22"/>
                <w:szCs w:val="22"/>
              </w:rPr>
              <w:t>-C</w:t>
            </w:r>
            <w:r>
              <w:rPr>
                <w:rFonts w:ascii="Times New Roman" w:hAnsi="Times New Roman" w:eastAsia="Times New Roman" w:cs="Times New Roman"/>
                <w:spacing w:val="-1"/>
                <w:sz w:val="14"/>
                <w:szCs w:val="14"/>
              </w:rPr>
              <w:t>40</w:t>
            </w:r>
            <w:r>
              <w:rPr>
                <w:spacing w:val="-1"/>
                <w:sz w:val="22"/>
                <w:szCs w:val="22"/>
              </w:rPr>
              <w:t>）</w:t>
            </w:r>
          </w:p>
        </w:tc>
        <w:tc>
          <w:tcPr>
            <w:tcW w:w="116" w:type="dxa"/>
            <w:tcBorders>
              <w:top w:val="nil"/>
              <w:bottom w:val="nil"/>
            </w:tcBorders>
            <w:vAlign w:val="top"/>
          </w:tcPr>
          <w:p w14:paraId="37332014">
            <w:pPr>
              <w:rPr>
                <w:rFonts w:ascii="Arial"/>
                <w:sz w:val="21"/>
              </w:rPr>
            </w:pPr>
          </w:p>
        </w:tc>
      </w:tr>
      <w:tr w14:paraId="485FD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dxa"/>
            <w:vMerge w:val="continue"/>
            <w:tcBorders>
              <w:top w:val="nil"/>
              <w:bottom w:val="nil"/>
            </w:tcBorders>
            <w:textDirection w:val="tbRlV"/>
            <w:vAlign w:val="top"/>
          </w:tcPr>
          <w:p w14:paraId="0ACD33DD">
            <w:pPr>
              <w:rPr>
                <w:rFonts w:ascii="Arial"/>
                <w:sz w:val="21"/>
              </w:rPr>
            </w:pPr>
          </w:p>
        </w:tc>
        <w:tc>
          <w:tcPr>
            <w:tcW w:w="110" w:type="dxa"/>
            <w:tcBorders>
              <w:top w:val="nil"/>
              <w:bottom w:val="nil"/>
            </w:tcBorders>
            <w:vAlign w:val="top"/>
          </w:tcPr>
          <w:p w14:paraId="30BC6AC9">
            <w:pPr>
              <w:rPr>
                <w:rFonts w:ascii="Arial"/>
                <w:sz w:val="21"/>
              </w:rPr>
            </w:pPr>
          </w:p>
        </w:tc>
        <w:tc>
          <w:tcPr>
            <w:tcW w:w="939" w:type="dxa"/>
            <w:vAlign w:val="top"/>
          </w:tcPr>
          <w:p w14:paraId="7541C88D">
            <w:pPr>
              <w:spacing w:before="92" w:line="198" w:lineRule="auto"/>
              <w:ind w:left="383"/>
              <w:rPr>
                <w:rFonts w:ascii="Times New Roman" w:hAnsi="Times New Roman" w:eastAsia="Times New Roman" w:cs="Times New Roman"/>
                <w:sz w:val="14"/>
                <w:szCs w:val="14"/>
              </w:rPr>
            </w:pPr>
            <w:r>
              <w:rPr>
                <w:rFonts w:ascii="Times New Roman" w:hAnsi="Times New Roman" w:eastAsia="Times New Roman" w:cs="Times New Roman"/>
                <w:spacing w:val="-14"/>
                <w:sz w:val="22"/>
                <w:szCs w:val="22"/>
              </w:rPr>
              <w:t>S</w:t>
            </w:r>
            <w:r>
              <w:rPr>
                <w:rFonts w:ascii="Times New Roman" w:hAnsi="Times New Roman" w:eastAsia="Times New Roman" w:cs="Times New Roman"/>
                <w:position w:val="-1"/>
                <w:sz w:val="14"/>
                <w:szCs w:val="14"/>
              </w:rPr>
              <w:t>1</w:t>
            </w:r>
          </w:p>
        </w:tc>
        <w:tc>
          <w:tcPr>
            <w:tcW w:w="1153" w:type="dxa"/>
            <w:vAlign w:val="top"/>
          </w:tcPr>
          <w:p w14:paraId="1BD24538">
            <w:pPr>
              <w:spacing w:before="96" w:line="186" w:lineRule="auto"/>
              <w:ind w:left="41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134" w:type="dxa"/>
            <w:vAlign w:val="top"/>
          </w:tcPr>
          <w:p w14:paraId="709D1037">
            <w:pPr>
              <w:spacing w:before="93" w:line="189" w:lineRule="auto"/>
              <w:ind w:left="480"/>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17</w:t>
            </w:r>
          </w:p>
        </w:tc>
        <w:tc>
          <w:tcPr>
            <w:tcW w:w="986" w:type="dxa"/>
            <w:vAlign w:val="top"/>
          </w:tcPr>
          <w:p w14:paraId="0CECD7F5">
            <w:pPr>
              <w:spacing w:before="93" w:line="189" w:lineRule="auto"/>
              <w:ind w:left="323"/>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1.24</w:t>
            </w:r>
          </w:p>
        </w:tc>
        <w:tc>
          <w:tcPr>
            <w:tcW w:w="985" w:type="dxa"/>
            <w:vAlign w:val="top"/>
          </w:tcPr>
          <w:p w14:paraId="4DD87609">
            <w:pPr>
              <w:spacing w:before="93" w:line="189" w:lineRule="auto"/>
              <w:ind w:left="25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0.068</w:t>
            </w:r>
          </w:p>
        </w:tc>
        <w:tc>
          <w:tcPr>
            <w:tcW w:w="1102" w:type="dxa"/>
            <w:vAlign w:val="top"/>
          </w:tcPr>
          <w:p w14:paraId="35ADBF24">
            <w:pPr>
              <w:spacing w:before="93" w:line="189" w:lineRule="auto"/>
              <w:ind w:left="44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32</w:t>
            </w:r>
          </w:p>
        </w:tc>
        <w:tc>
          <w:tcPr>
            <w:tcW w:w="1275" w:type="dxa"/>
            <w:vAlign w:val="top"/>
          </w:tcPr>
          <w:p w14:paraId="5ADA881C">
            <w:pPr>
              <w:spacing w:before="93" w:line="189" w:lineRule="auto"/>
              <w:ind w:left="45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0.14</w:t>
            </w:r>
          </w:p>
        </w:tc>
        <w:tc>
          <w:tcPr>
            <w:tcW w:w="1215" w:type="dxa"/>
            <w:vAlign w:val="top"/>
          </w:tcPr>
          <w:p w14:paraId="67ADC06F">
            <w:pPr>
              <w:spacing w:before="93" w:line="189" w:lineRule="auto"/>
              <w:ind w:left="49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22</w:t>
            </w:r>
          </w:p>
        </w:tc>
        <w:tc>
          <w:tcPr>
            <w:tcW w:w="3584" w:type="dxa"/>
            <w:gridSpan w:val="3"/>
            <w:vAlign w:val="top"/>
          </w:tcPr>
          <w:p w14:paraId="2F7FCCE4">
            <w:pPr>
              <w:spacing w:before="93" w:line="189" w:lineRule="auto"/>
              <w:ind w:left="168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45</w:t>
            </w:r>
          </w:p>
        </w:tc>
        <w:tc>
          <w:tcPr>
            <w:tcW w:w="116" w:type="dxa"/>
            <w:tcBorders>
              <w:top w:val="nil"/>
              <w:bottom w:val="nil"/>
            </w:tcBorders>
            <w:vAlign w:val="top"/>
          </w:tcPr>
          <w:p w14:paraId="6AB5ABDA">
            <w:pPr>
              <w:rPr>
                <w:rFonts w:ascii="Arial"/>
                <w:sz w:val="21"/>
              </w:rPr>
            </w:pPr>
          </w:p>
        </w:tc>
      </w:tr>
      <w:tr w14:paraId="2A25B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633" w:type="dxa"/>
            <w:vMerge w:val="continue"/>
            <w:tcBorders>
              <w:top w:val="nil"/>
              <w:bottom w:val="nil"/>
            </w:tcBorders>
            <w:textDirection w:val="tbRlV"/>
            <w:vAlign w:val="top"/>
          </w:tcPr>
          <w:p w14:paraId="450298AF">
            <w:pPr>
              <w:rPr>
                <w:rFonts w:ascii="Arial"/>
                <w:sz w:val="21"/>
              </w:rPr>
            </w:pPr>
          </w:p>
        </w:tc>
        <w:tc>
          <w:tcPr>
            <w:tcW w:w="110" w:type="dxa"/>
            <w:tcBorders>
              <w:top w:val="nil"/>
              <w:bottom w:val="nil"/>
            </w:tcBorders>
            <w:vAlign w:val="top"/>
          </w:tcPr>
          <w:p w14:paraId="3D241925">
            <w:pPr>
              <w:rPr>
                <w:rFonts w:ascii="Arial"/>
                <w:sz w:val="21"/>
              </w:rPr>
            </w:pPr>
          </w:p>
        </w:tc>
        <w:tc>
          <w:tcPr>
            <w:tcW w:w="939" w:type="dxa"/>
            <w:vAlign w:val="top"/>
          </w:tcPr>
          <w:p w14:paraId="09D2E885">
            <w:pPr>
              <w:spacing w:before="89" w:line="193" w:lineRule="auto"/>
              <w:ind w:left="40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Ii</w:t>
            </w:r>
          </w:p>
        </w:tc>
        <w:tc>
          <w:tcPr>
            <w:tcW w:w="1153" w:type="dxa"/>
            <w:vAlign w:val="top"/>
          </w:tcPr>
          <w:p w14:paraId="617EB262">
            <w:pPr>
              <w:spacing w:before="89" w:line="193" w:lineRule="auto"/>
              <w:ind w:left="54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4" w:type="dxa"/>
            <w:vAlign w:val="top"/>
          </w:tcPr>
          <w:p w14:paraId="49DE1F18">
            <w:pPr>
              <w:spacing w:before="93" w:line="189" w:lineRule="auto"/>
              <w:ind w:left="26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0.0009</w:t>
            </w:r>
          </w:p>
        </w:tc>
        <w:tc>
          <w:tcPr>
            <w:tcW w:w="986" w:type="dxa"/>
            <w:vAlign w:val="top"/>
          </w:tcPr>
          <w:p w14:paraId="30568635">
            <w:pPr>
              <w:spacing w:before="93" w:line="189" w:lineRule="auto"/>
              <w:ind w:left="19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0.0207</w:t>
            </w:r>
          </w:p>
        </w:tc>
        <w:tc>
          <w:tcPr>
            <w:tcW w:w="985" w:type="dxa"/>
            <w:vAlign w:val="top"/>
          </w:tcPr>
          <w:p w14:paraId="466F90D0">
            <w:pPr>
              <w:spacing w:before="93"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0.0018</w:t>
            </w:r>
          </w:p>
        </w:tc>
        <w:tc>
          <w:tcPr>
            <w:tcW w:w="1102" w:type="dxa"/>
            <w:vAlign w:val="top"/>
          </w:tcPr>
          <w:p w14:paraId="639B9915">
            <w:pPr>
              <w:spacing w:before="93" w:line="189" w:lineRule="auto"/>
              <w:ind w:left="36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0.04</w:t>
            </w:r>
          </w:p>
        </w:tc>
        <w:tc>
          <w:tcPr>
            <w:tcW w:w="1275" w:type="dxa"/>
            <w:vAlign w:val="top"/>
          </w:tcPr>
          <w:p w14:paraId="65FD01AB">
            <w:pPr>
              <w:spacing w:before="93" w:line="189" w:lineRule="auto"/>
              <w:ind w:left="34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0.0022</w:t>
            </w:r>
          </w:p>
        </w:tc>
        <w:tc>
          <w:tcPr>
            <w:tcW w:w="1215" w:type="dxa"/>
            <w:vAlign w:val="top"/>
          </w:tcPr>
          <w:p w14:paraId="652F86ED">
            <w:pPr>
              <w:spacing w:before="93" w:line="189" w:lineRule="auto"/>
              <w:ind w:left="31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0.0244</w:t>
            </w:r>
          </w:p>
        </w:tc>
        <w:tc>
          <w:tcPr>
            <w:tcW w:w="3584" w:type="dxa"/>
            <w:gridSpan w:val="3"/>
            <w:vAlign w:val="top"/>
          </w:tcPr>
          <w:p w14:paraId="5500E12C">
            <w:pPr>
              <w:spacing w:before="93" w:line="189" w:lineRule="auto"/>
              <w:ind w:left="16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w:t>
            </w:r>
          </w:p>
        </w:tc>
        <w:tc>
          <w:tcPr>
            <w:tcW w:w="116" w:type="dxa"/>
            <w:tcBorders>
              <w:top w:val="nil"/>
              <w:bottom w:val="nil"/>
            </w:tcBorders>
            <w:vAlign w:val="top"/>
          </w:tcPr>
          <w:p w14:paraId="196EFC9B">
            <w:pPr>
              <w:rPr>
                <w:rFonts w:ascii="Arial"/>
                <w:sz w:val="21"/>
              </w:rPr>
            </w:pPr>
          </w:p>
        </w:tc>
      </w:tr>
      <w:tr w14:paraId="3B3A3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dxa"/>
            <w:vMerge w:val="continue"/>
            <w:tcBorders>
              <w:top w:val="nil"/>
              <w:bottom w:val="nil"/>
            </w:tcBorders>
            <w:textDirection w:val="tbRlV"/>
            <w:vAlign w:val="top"/>
          </w:tcPr>
          <w:p w14:paraId="60A26838">
            <w:pPr>
              <w:rPr>
                <w:rFonts w:ascii="Arial"/>
                <w:sz w:val="21"/>
              </w:rPr>
            </w:pPr>
          </w:p>
        </w:tc>
        <w:tc>
          <w:tcPr>
            <w:tcW w:w="110" w:type="dxa"/>
            <w:tcBorders>
              <w:top w:val="nil"/>
              <w:bottom w:val="nil"/>
            </w:tcBorders>
            <w:vAlign w:val="top"/>
          </w:tcPr>
          <w:p w14:paraId="73DFDB3D">
            <w:pPr>
              <w:rPr>
                <w:rFonts w:ascii="Arial"/>
                <w:sz w:val="21"/>
              </w:rPr>
            </w:pPr>
          </w:p>
        </w:tc>
        <w:tc>
          <w:tcPr>
            <w:tcW w:w="939" w:type="dxa"/>
            <w:vAlign w:val="top"/>
          </w:tcPr>
          <w:p w14:paraId="1647DEFE">
            <w:pPr>
              <w:pStyle w:val="6"/>
              <w:spacing w:before="57" w:line="220" w:lineRule="auto"/>
              <w:ind w:left="144"/>
              <w:rPr>
                <w:sz w:val="22"/>
                <w:szCs w:val="22"/>
              </w:rPr>
            </w:pPr>
            <w:r>
              <w:rPr>
                <w:spacing w:val="-3"/>
                <w:sz w:val="22"/>
                <w:szCs w:val="22"/>
              </w:rPr>
              <w:t>标准值</w:t>
            </w:r>
          </w:p>
        </w:tc>
        <w:tc>
          <w:tcPr>
            <w:tcW w:w="1153" w:type="dxa"/>
            <w:vAlign w:val="top"/>
          </w:tcPr>
          <w:p w14:paraId="780C47B1">
            <w:pPr>
              <w:spacing w:before="98" w:line="186" w:lineRule="auto"/>
              <w:ind w:left="44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5.7</w:t>
            </w:r>
          </w:p>
        </w:tc>
        <w:tc>
          <w:tcPr>
            <w:tcW w:w="1134" w:type="dxa"/>
            <w:vAlign w:val="top"/>
          </w:tcPr>
          <w:p w14:paraId="3DA04D72">
            <w:pPr>
              <w:spacing w:before="95" w:line="189" w:lineRule="auto"/>
              <w:ind w:left="31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18000</w:t>
            </w:r>
          </w:p>
        </w:tc>
        <w:tc>
          <w:tcPr>
            <w:tcW w:w="986" w:type="dxa"/>
            <w:vAlign w:val="top"/>
          </w:tcPr>
          <w:p w14:paraId="1BAA2271">
            <w:pPr>
              <w:spacing w:before="95" w:line="189" w:lineRule="auto"/>
              <w:ind w:left="38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985" w:type="dxa"/>
            <w:vAlign w:val="top"/>
          </w:tcPr>
          <w:p w14:paraId="36D04F05">
            <w:pPr>
              <w:spacing w:before="95" w:line="189" w:lineRule="auto"/>
              <w:ind w:left="38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38</w:t>
            </w:r>
          </w:p>
        </w:tc>
        <w:tc>
          <w:tcPr>
            <w:tcW w:w="1102" w:type="dxa"/>
            <w:vAlign w:val="top"/>
          </w:tcPr>
          <w:p w14:paraId="322EE2ED">
            <w:pPr>
              <w:spacing w:before="95" w:line="189" w:lineRule="auto"/>
              <w:ind w:left="39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800</w:t>
            </w:r>
          </w:p>
        </w:tc>
        <w:tc>
          <w:tcPr>
            <w:tcW w:w="1275" w:type="dxa"/>
            <w:vAlign w:val="top"/>
          </w:tcPr>
          <w:p w14:paraId="77F06B3C">
            <w:pPr>
              <w:spacing w:before="95" w:line="189" w:lineRule="auto"/>
              <w:ind w:left="533"/>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65</w:t>
            </w:r>
          </w:p>
        </w:tc>
        <w:tc>
          <w:tcPr>
            <w:tcW w:w="1215" w:type="dxa"/>
            <w:vAlign w:val="top"/>
          </w:tcPr>
          <w:p w14:paraId="2F46131B">
            <w:pPr>
              <w:spacing w:before="95" w:line="189" w:lineRule="auto"/>
              <w:ind w:left="44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900</w:t>
            </w:r>
          </w:p>
        </w:tc>
        <w:tc>
          <w:tcPr>
            <w:tcW w:w="3584" w:type="dxa"/>
            <w:gridSpan w:val="3"/>
            <w:vAlign w:val="top"/>
          </w:tcPr>
          <w:p w14:paraId="631B67BE">
            <w:pPr>
              <w:spacing w:before="95" w:line="189" w:lineRule="auto"/>
              <w:ind w:left="157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4500</w:t>
            </w:r>
          </w:p>
        </w:tc>
        <w:tc>
          <w:tcPr>
            <w:tcW w:w="116" w:type="dxa"/>
            <w:tcBorders>
              <w:top w:val="nil"/>
              <w:bottom w:val="nil"/>
            </w:tcBorders>
            <w:vAlign w:val="top"/>
          </w:tcPr>
          <w:p w14:paraId="06AE50C0">
            <w:pPr>
              <w:rPr>
                <w:rFonts w:ascii="Arial"/>
                <w:sz w:val="21"/>
              </w:rPr>
            </w:pPr>
          </w:p>
        </w:tc>
      </w:tr>
      <w:tr w14:paraId="737C5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33" w:type="dxa"/>
            <w:vMerge w:val="continue"/>
            <w:tcBorders>
              <w:top w:val="nil"/>
              <w:bottom w:val="nil"/>
            </w:tcBorders>
            <w:textDirection w:val="tbRlV"/>
            <w:vAlign w:val="top"/>
          </w:tcPr>
          <w:p w14:paraId="4DE9E857">
            <w:pPr>
              <w:rPr>
                <w:rFonts w:ascii="Arial"/>
                <w:sz w:val="21"/>
              </w:rPr>
            </w:pPr>
          </w:p>
        </w:tc>
        <w:tc>
          <w:tcPr>
            <w:tcW w:w="110" w:type="dxa"/>
            <w:tcBorders>
              <w:top w:val="nil"/>
              <w:bottom w:val="nil"/>
            </w:tcBorders>
            <w:vAlign w:val="top"/>
          </w:tcPr>
          <w:p w14:paraId="1835E4E1">
            <w:pPr>
              <w:rPr>
                <w:rFonts w:ascii="Arial"/>
                <w:sz w:val="21"/>
              </w:rPr>
            </w:pPr>
          </w:p>
        </w:tc>
        <w:tc>
          <w:tcPr>
            <w:tcW w:w="939" w:type="dxa"/>
            <w:vAlign w:val="top"/>
          </w:tcPr>
          <w:p w14:paraId="07EA991A">
            <w:pPr>
              <w:pStyle w:val="6"/>
              <w:spacing w:before="172" w:line="221" w:lineRule="auto"/>
              <w:ind w:left="257"/>
              <w:rPr>
                <w:sz w:val="22"/>
                <w:szCs w:val="22"/>
              </w:rPr>
            </w:pPr>
            <w:r>
              <w:rPr>
                <w:spacing w:val="-6"/>
                <w:sz w:val="22"/>
                <w:szCs w:val="22"/>
              </w:rPr>
              <w:t>项目</w:t>
            </w:r>
          </w:p>
        </w:tc>
        <w:tc>
          <w:tcPr>
            <w:tcW w:w="1153" w:type="dxa"/>
            <w:vAlign w:val="top"/>
          </w:tcPr>
          <w:p w14:paraId="444EFB60">
            <w:pPr>
              <w:pStyle w:val="6"/>
              <w:spacing w:before="172" w:line="221" w:lineRule="auto"/>
              <w:ind w:left="254"/>
              <w:rPr>
                <w:sz w:val="22"/>
                <w:szCs w:val="22"/>
              </w:rPr>
            </w:pPr>
            <w:r>
              <w:rPr>
                <w:spacing w:val="-4"/>
                <w:sz w:val="22"/>
                <w:szCs w:val="22"/>
              </w:rPr>
              <w:t>氯甲烷</w:t>
            </w:r>
          </w:p>
        </w:tc>
        <w:tc>
          <w:tcPr>
            <w:tcW w:w="1134" w:type="dxa"/>
            <w:vAlign w:val="top"/>
          </w:tcPr>
          <w:p w14:paraId="5BB38C70">
            <w:pPr>
              <w:pStyle w:val="6"/>
              <w:spacing w:before="172" w:line="221" w:lineRule="auto"/>
              <w:ind w:left="152"/>
              <w:rPr>
                <w:sz w:val="22"/>
                <w:szCs w:val="22"/>
              </w:rPr>
            </w:pPr>
            <w:r>
              <w:rPr>
                <w:spacing w:val="-8"/>
                <w:sz w:val="22"/>
                <w:szCs w:val="22"/>
              </w:rPr>
              <w:t>四氯化碳</w:t>
            </w:r>
          </w:p>
        </w:tc>
        <w:tc>
          <w:tcPr>
            <w:tcW w:w="986" w:type="dxa"/>
            <w:vAlign w:val="top"/>
          </w:tcPr>
          <w:p w14:paraId="1BCCE130">
            <w:pPr>
              <w:pStyle w:val="6"/>
              <w:spacing w:before="30" w:line="222" w:lineRule="auto"/>
              <w:ind w:left="277"/>
              <w:rPr>
                <w:sz w:val="22"/>
                <w:szCs w:val="22"/>
              </w:rPr>
            </w:pPr>
            <w:r>
              <w:rPr>
                <w:spacing w:val="-4"/>
                <w:sz w:val="22"/>
                <w:szCs w:val="22"/>
              </w:rPr>
              <w:t>三氯</w:t>
            </w:r>
          </w:p>
          <w:p w14:paraId="073312AA">
            <w:pPr>
              <w:pStyle w:val="6"/>
              <w:spacing w:before="21" w:line="204" w:lineRule="auto"/>
              <w:ind w:left="305"/>
              <w:rPr>
                <w:sz w:val="22"/>
                <w:szCs w:val="22"/>
              </w:rPr>
            </w:pPr>
            <w:r>
              <w:rPr>
                <w:spacing w:val="-18"/>
                <w:sz w:val="22"/>
                <w:szCs w:val="22"/>
              </w:rPr>
              <w:t>甲烷</w:t>
            </w:r>
          </w:p>
        </w:tc>
        <w:tc>
          <w:tcPr>
            <w:tcW w:w="985" w:type="dxa"/>
            <w:vAlign w:val="top"/>
          </w:tcPr>
          <w:p w14:paraId="694AECDF">
            <w:pPr>
              <w:pStyle w:val="6"/>
              <w:spacing w:before="66" w:line="207" w:lineRule="auto"/>
              <w:ind w:left="170" w:right="161" w:firstLine="59"/>
              <w:rPr>
                <w:sz w:val="22"/>
                <w:szCs w:val="22"/>
              </w:rPr>
            </w:pPr>
            <w:r>
              <w:rPr>
                <w:rFonts w:ascii="Times New Roman" w:hAnsi="Times New Roman" w:eastAsia="Times New Roman" w:cs="Times New Roman"/>
                <w:spacing w:val="-11"/>
                <w:sz w:val="22"/>
                <w:szCs w:val="22"/>
              </w:rPr>
              <w:t>1,</w:t>
            </w:r>
            <w:r>
              <w:rPr>
                <w:rFonts w:ascii="Times New Roman" w:hAnsi="Times New Roman" w:eastAsia="Times New Roman" w:cs="Times New Roman"/>
                <w:spacing w:val="-27"/>
                <w:sz w:val="22"/>
                <w:szCs w:val="22"/>
              </w:rPr>
              <w:t xml:space="preserve"> </w:t>
            </w:r>
            <w:r>
              <w:rPr>
                <w:rFonts w:ascii="Times New Roman" w:hAnsi="Times New Roman" w:eastAsia="Times New Roman" w:cs="Times New Roman"/>
                <w:spacing w:val="-11"/>
                <w:sz w:val="22"/>
                <w:szCs w:val="22"/>
              </w:rPr>
              <w:t>1-</w:t>
            </w:r>
            <w:r>
              <w:rPr>
                <w:spacing w:val="-11"/>
                <w:sz w:val="22"/>
                <w:szCs w:val="22"/>
              </w:rPr>
              <w:t>二</w:t>
            </w:r>
            <w:r>
              <w:rPr>
                <w:spacing w:val="-4"/>
                <w:sz w:val="22"/>
                <w:szCs w:val="22"/>
              </w:rPr>
              <w:t>氯乙烷</w:t>
            </w:r>
          </w:p>
        </w:tc>
        <w:tc>
          <w:tcPr>
            <w:tcW w:w="1102" w:type="dxa"/>
            <w:vAlign w:val="top"/>
          </w:tcPr>
          <w:p w14:paraId="6B38F2A1">
            <w:pPr>
              <w:pStyle w:val="6"/>
              <w:spacing w:before="30" w:line="222" w:lineRule="auto"/>
              <w:ind w:left="357" w:right="154" w:hanging="179"/>
              <w:rPr>
                <w:sz w:val="22"/>
                <w:szCs w:val="22"/>
              </w:rPr>
            </w:pPr>
            <w:r>
              <w:rPr>
                <w:rFonts w:ascii="Times New Roman" w:hAnsi="Times New Roman" w:eastAsia="Times New Roman" w:cs="Times New Roman"/>
                <w:spacing w:val="-5"/>
                <w:sz w:val="22"/>
                <w:szCs w:val="22"/>
              </w:rPr>
              <w:t>1,2-</w:t>
            </w:r>
            <w:r>
              <w:rPr>
                <w:spacing w:val="-5"/>
                <w:sz w:val="22"/>
                <w:szCs w:val="22"/>
              </w:rPr>
              <w:t>二氯</w:t>
            </w:r>
            <w:r>
              <w:rPr>
                <w:spacing w:val="-15"/>
                <w:sz w:val="22"/>
                <w:szCs w:val="22"/>
              </w:rPr>
              <w:t>乙烷</w:t>
            </w:r>
          </w:p>
        </w:tc>
        <w:tc>
          <w:tcPr>
            <w:tcW w:w="1275" w:type="dxa"/>
            <w:vAlign w:val="top"/>
          </w:tcPr>
          <w:p w14:paraId="65E4F50B">
            <w:pPr>
              <w:pStyle w:val="6"/>
              <w:spacing w:before="30" w:line="222" w:lineRule="auto"/>
              <w:ind w:left="533" w:right="131" w:hanging="377"/>
              <w:rPr>
                <w:sz w:val="22"/>
                <w:szCs w:val="22"/>
              </w:rPr>
            </w:pPr>
            <w:r>
              <w:rPr>
                <w:rFonts w:ascii="Times New Roman" w:hAnsi="Times New Roman" w:eastAsia="Times New Roman" w:cs="Times New Roman"/>
                <w:spacing w:val="-8"/>
                <w:sz w:val="22"/>
                <w:szCs w:val="22"/>
              </w:rPr>
              <w:t>1,</w:t>
            </w:r>
            <w:r>
              <w:rPr>
                <w:rFonts w:ascii="Times New Roman" w:hAnsi="Times New Roman" w:eastAsia="Times New Roman" w:cs="Times New Roman"/>
                <w:spacing w:val="-26"/>
                <w:sz w:val="22"/>
                <w:szCs w:val="22"/>
              </w:rPr>
              <w:t xml:space="preserve"> </w:t>
            </w:r>
            <w:r>
              <w:rPr>
                <w:rFonts w:ascii="Times New Roman" w:hAnsi="Times New Roman" w:eastAsia="Times New Roman" w:cs="Times New Roman"/>
                <w:spacing w:val="-8"/>
                <w:sz w:val="22"/>
                <w:szCs w:val="22"/>
              </w:rPr>
              <w:t>1-</w:t>
            </w:r>
            <w:r>
              <w:rPr>
                <w:spacing w:val="-8"/>
                <w:sz w:val="22"/>
                <w:szCs w:val="22"/>
              </w:rPr>
              <w:t>二氯乙</w:t>
            </w:r>
            <w:r>
              <w:rPr>
                <w:sz w:val="22"/>
                <w:szCs w:val="22"/>
              </w:rPr>
              <w:t>烯</w:t>
            </w:r>
          </w:p>
        </w:tc>
        <w:tc>
          <w:tcPr>
            <w:tcW w:w="1215" w:type="dxa"/>
            <w:vAlign w:val="top"/>
          </w:tcPr>
          <w:p w14:paraId="03D1A06F">
            <w:pPr>
              <w:pStyle w:val="6"/>
              <w:spacing w:before="30" w:line="222" w:lineRule="auto"/>
              <w:ind w:left="288" w:right="172" w:hanging="103"/>
              <w:rPr>
                <w:sz w:val="22"/>
                <w:szCs w:val="22"/>
              </w:rPr>
            </w:pPr>
            <w:r>
              <w:rPr>
                <w:spacing w:val="-2"/>
                <w:sz w:val="22"/>
                <w:szCs w:val="22"/>
              </w:rPr>
              <w:t>顺</w:t>
            </w:r>
            <w:r>
              <w:rPr>
                <w:rFonts w:ascii="Times New Roman" w:hAnsi="Times New Roman" w:eastAsia="Times New Roman" w:cs="Times New Roman"/>
                <w:spacing w:val="-2"/>
                <w:sz w:val="22"/>
                <w:szCs w:val="22"/>
              </w:rPr>
              <w:t>-1,2-</w:t>
            </w:r>
            <w:r>
              <w:rPr>
                <w:spacing w:val="-2"/>
                <w:sz w:val="22"/>
                <w:szCs w:val="22"/>
              </w:rPr>
              <w:t>二</w:t>
            </w:r>
            <w:r>
              <w:rPr>
                <w:spacing w:val="-4"/>
                <w:sz w:val="22"/>
                <w:szCs w:val="22"/>
              </w:rPr>
              <w:t>氯乙烯</w:t>
            </w:r>
          </w:p>
        </w:tc>
        <w:tc>
          <w:tcPr>
            <w:tcW w:w="1334" w:type="dxa"/>
            <w:vAlign w:val="top"/>
          </w:tcPr>
          <w:p w14:paraId="47C0DD21">
            <w:pPr>
              <w:pStyle w:val="6"/>
              <w:spacing w:before="30" w:line="222" w:lineRule="auto"/>
              <w:ind w:left="476" w:right="121" w:hanging="342"/>
              <w:rPr>
                <w:sz w:val="22"/>
                <w:szCs w:val="22"/>
              </w:rPr>
            </w:pPr>
            <w:r>
              <w:rPr>
                <w:spacing w:val="-2"/>
                <w:sz w:val="22"/>
                <w:szCs w:val="22"/>
              </w:rPr>
              <w:t>反</w:t>
            </w:r>
            <w:r>
              <w:rPr>
                <w:rFonts w:ascii="Times New Roman" w:hAnsi="Times New Roman" w:eastAsia="Times New Roman" w:cs="Times New Roman"/>
                <w:spacing w:val="-2"/>
                <w:sz w:val="22"/>
                <w:szCs w:val="22"/>
              </w:rPr>
              <w:t>-1,2-</w:t>
            </w:r>
            <w:r>
              <w:rPr>
                <w:spacing w:val="-2"/>
                <w:sz w:val="22"/>
                <w:szCs w:val="22"/>
              </w:rPr>
              <w:t>二氯</w:t>
            </w:r>
            <w:r>
              <w:rPr>
                <w:spacing w:val="-15"/>
                <w:sz w:val="22"/>
                <w:szCs w:val="22"/>
              </w:rPr>
              <w:t>乙烯</w:t>
            </w:r>
          </w:p>
        </w:tc>
        <w:tc>
          <w:tcPr>
            <w:tcW w:w="1190" w:type="dxa"/>
            <w:vAlign w:val="top"/>
          </w:tcPr>
          <w:p w14:paraId="7E60B83B">
            <w:pPr>
              <w:pStyle w:val="6"/>
              <w:spacing w:before="172" w:line="221" w:lineRule="auto"/>
              <w:ind w:left="166"/>
              <w:rPr>
                <w:sz w:val="22"/>
                <w:szCs w:val="22"/>
              </w:rPr>
            </w:pPr>
            <w:r>
              <w:rPr>
                <w:spacing w:val="-3"/>
                <w:sz w:val="22"/>
                <w:szCs w:val="22"/>
              </w:rPr>
              <w:t>二氯甲烷</w:t>
            </w:r>
          </w:p>
        </w:tc>
        <w:tc>
          <w:tcPr>
            <w:tcW w:w="1060" w:type="dxa"/>
            <w:vAlign w:val="top"/>
          </w:tcPr>
          <w:p w14:paraId="0382A9D6">
            <w:pPr>
              <w:pStyle w:val="6"/>
              <w:spacing w:before="30" w:line="222" w:lineRule="auto"/>
              <w:ind w:left="322" w:right="127" w:hanging="159"/>
              <w:rPr>
                <w:sz w:val="22"/>
                <w:szCs w:val="22"/>
              </w:rPr>
            </w:pPr>
            <w:r>
              <w:rPr>
                <w:rFonts w:ascii="Times New Roman" w:hAnsi="Times New Roman" w:eastAsia="Times New Roman" w:cs="Times New Roman"/>
                <w:spacing w:val="-5"/>
                <w:sz w:val="22"/>
                <w:szCs w:val="22"/>
              </w:rPr>
              <w:t>1,2-</w:t>
            </w:r>
            <w:r>
              <w:rPr>
                <w:spacing w:val="-5"/>
                <w:sz w:val="22"/>
                <w:szCs w:val="22"/>
              </w:rPr>
              <w:t>二氯</w:t>
            </w:r>
            <w:r>
              <w:rPr>
                <w:spacing w:val="-6"/>
                <w:sz w:val="22"/>
                <w:szCs w:val="22"/>
              </w:rPr>
              <w:t>丙烷</w:t>
            </w:r>
          </w:p>
        </w:tc>
        <w:tc>
          <w:tcPr>
            <w:tcW w:w="116" w:type="dxa"/>
            <w:tcBorders>
              <w:top w:val="nil"/>
              <w:bottom w:val="nil"/>
            </w:tcBorders>
            <w:vAlign w:val="top"/>
          </w:tcPr>
          <w:p w14:paraId="27EC05E0">
            <w:pPr>
              <w:rPr>
                <w:rFonts w:ascii="Arial"/>
                <w:sz w:val="21"/>
              </w:rPr>
            </w:pPr>
          </w:p>
        </w:tc>
      </w:tr>
      <w:tr w14:paraId="10A9C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dxa"/>
            <w:vMerge w:val="continue"/>
            <w:tcBorders>
              <w:top w:val="nil"/>
              <w:bottom w:val="nil"/>
            </w:tcBorders>
            <w:textDirection w:val="tbRlV"/>
            <w:vAlign w:val="top"/>
          </w:tcPr>
          <w:p w14:paraId="1DCF5FFD">
            <w:pPr>
              <w:rPr>
                <w:rFonts w:ascii="Arial"/>
                <w:sz w:val="21"/>
              </w:rPr>
            </w:pPr>
          </w:p>
        </w:tc>
        <w:tc>
          <w:tcPr>
            <w:tcW w:w="110" w:type="dxa"/>
            <w:tcBorders>
              <w:top w:val="nil"/>
              <w:bottom w:val="nil"/>
            </w:tcBorders>
            <w:vAlign w:val="top"/>
          </w:tcPr>
          <w:p w14:paraId="080C4AD7">
            <w:pPr>
              <w:rPr>
                <w:rFonts w:ascii="Arial"/>
                <w:sz w:val="21"/>
              </w:rPr>
            </w:pPr>
          </w:p>
        </w:tc>
        <w:tc>
          <w:tcPr>
            <w:tcW w:w="939" w:type="dxa"/>
            <w:vAlign w:val="top"/>
          </w:tcPr>
          <w:p w14:paraId="4712F165">
            <w:pPr>
              <w:spacing w:before="93" w:line="196" w:lineRule="auto"/>
              <w:ind w:left="383"/>
              <w:rPr>
                <w:rFonts w:ascii="Times New Roman" w:hAnsi="Times New Roman" w:eastAsia="Times New Roman" w:cs="Times New Roman"/>
                <w:sz w:val="14"/>
                <w:szCs w:val="14"/>
              </w:rPr>
            </w:pPr>
            <w:r>
              <w:rPr>
                <w:rFonts w:ascii="Times New Roman" w:hAnsi="Times New Roman" w:eastAsia="Times New Roman" w:cs="Times New Roman"/>
                <w:spacing w:val="-14"/>
                <w:sz w:val="22"/>
                <w:szCs w:val="22"/>
              </w:rPr>
              <w:t>S</w:t>
            </w:r>
            <w:r>
              <w:rPr>
                <w:rFonts w:ascii="Times New Roman" w:hAnsi="Times New Roman" w:eastAsia="Times New Roman" w:cs="Times New Roman"/>
                <w:position w:val="-1"/>
                <w:sz w:val="14"/>
                <w:szCs w:val="14"/>
              </w:rPr>
              <w:t>1</w:t>
            </w:r>
          </w:p>
        </w:tc>
        <w:tc>
          <w:tcPr>
            <w:tcW w:w="1153" w:type="dxa"/>
            <w:vAlign w:val="top"/>
          </w:tcPr>
          <w:p w14:paraId="6BEEAA41">
            <w:pPr>
              <w:spacing w:before="97" w:line="186" w:lineRule="auto"/>
              <w:ind w:left="41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134" w:type="dxa"/>
            <w:vAlign w:val="top"/>
          </w:tcPr>
          <w:p w14:paraId="574EFED7">
            <w:pPr>
              <w:spacing w:before="97" w:line="186" w:lineRule="auto"/>
              <w:ind w:left="40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986" w:type="dxa"/>
            <w:vAlign w:val="top"/>
          </w:tcPr>
          <w:p w14:paraId="7302CF8A">
            <w:pPr>
              <w:spacing w:before="97" w:line="186" w:lineRule="auto"/>
              <w:ind w:left="32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985" w:type="dxa"/>
            <w:vAlign w:val="top"/>
          </w:tcPr>
          <w:p w14:paraId="60CC8950">
            <w:pPr>
              <w:spacing w:before="97" w:line="186" w:lineRule="auto"/>
              <w:ind w:left="32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102" w:type="dxa"/>
            <w:vAlign w:val="top"/>
          </w:tcPr>
          <w:p w14:paraId="1E94DB62">
            <w:pPr>
              <w:spacing w:before="97" w:line="186" w:lineRule="auto"/>
              <w:ind w:left="38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275" w:type="dxa"/>
            <w:vAlign w:val="top"/>
          </w:tcPr>
          <w:p w14:paraId="5CE243E4">
            <w:pPr>
              <w:spacing w:before="97" w:line="186" w:lineRule="auto"/>
              <w:ind w:left="47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215" w:type="dxa"/>
            <w:vAlign w:val="top"/>
          </w:tcPr>
          <w:p w14:paraId="27725509">
            <w:pPr>
              <w:spacing w:before="97" w:line="186" w:lineRule="auto"/>
              <w:ind w:left="44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334" w:type="dxa"/>
            <w:vAlign w:val="top"/>
          </w:tcPr>
          <w:p w14:paraId="0BB7F61E">
            <w:pPr>
              <w:spacing w:before="97" w:line="186" w:lineRule="auto"/>
              <w:ind w:left="50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190" w:type="dxa"/>
            <w:vAlign w:val="top"/>
          </w:tcPr>
          <w:p w14:paraId="7790D984">
            <w:pPr>
              <w:spacing w:before="97" w:line="186" w:lineRule="auto"/>
              <w:ind w:left="43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060" w:type="dxa"/>
            <w:vAlign w:val="top"/>
          </w:tcPr>
          <w:p w14:paraId="36A91C85">
            <w:pPr>
              <w:spacing w:before="97" w:line="186" w:lineRule="auto"/>
              <w:ind w:left="37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16" w:type="dxa"/>
            <w:tcBorders>
              <w:top w:val="nil"/>
              <w:bottom w:val="nil"/>
            </w:tcBorders>
            <w:vAlign w:val="top"/>
          </w:tcPr>
          <w:p w14:paraId="1CF2C54A">
            <w:pPr>
              <w:rPr>
                <w:rFonts w:ascii="Arial"/>
                <w:sz w:val="21"/>
              </w:rPr>
            </w:pPr>
          </w:p>
        </w:tc>
      </w:tr>
      <w:tr w14:paraId="76CF7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dxa"/>
            <w:vMerge w:val="continue"/>
            <w:tcBorders>
              <w:top w:val="nil"/>
              <w:bottom w:val="nil"/>
            </w:tcBorders>
            <w:textDirection w:val="tbRlV"/>
            <w:vAlign w:val="top"/>
          </w:tcPr>
          <w:p w14:paraId="27DF0D12">
            <w:pPr>
              <w:rPr>
                <w:rFonts w:ascii="Arial"/>
                <w:sz w:val="21"/>
              </w:rPr>
            </w:pPr>
          </w:p>
        </w:tc>
        <w:tc>
          <w:tcPr>
            <w:tcW w:w="110" w:type="dxa"/>
            <w:tcBorders>
              <w:top w:val="nil"/>
              <w:bottom w:val="nil"/>
            </w:tcBorders>
            <w:vAlign w:val="top"/>
          </w:tcPr>
          <w:p w14:paraId="4423DED2">
            <w:pPr>
              <w:rPr>
                <w:rFonts w:ascii="Arial"/>
                <w:sz w:val="21"/>
              </w:rPr>
            </w:pPr>
          </w:p>
        </w:tc>
        <w:tc>
          <w:tcPr>
            <w:tcW w:w="939" w:type="dxa"/>
            <w:vAlign w:val="top"/>
          </w:tcPr>
          <w:p w14:paraId="1D6928E2">
            <w:pPr>
              <w:spacing w:before="90" w:line="193" w:lineRule="auto"/>
              <w:ind w:left="40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Ii</w:t>
            </w:r>
          </w:p>
        </w:tc>
        <w:tc>
          <w:tcPr>
            <w:tcW w:w="1153" w:type="dxa"/>
            <w:vAlign w:val="top"/>
          </w:tcPr>
          <w:p w14:paraId="3EC781C9">
            <w:pPr>
              <w:spacing w:before="90" w:line="193" w:lineRule="auto"/>
              <w:ind w:left="54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4" w:type="dxa"/>
            <w:vAlign w:val="top"/>
          </w:tcPr>
          <w:p w14:paraId="5C7A8A9D">
            <w:pPr>
              <w:spacing w:before="90" w:line="193" w:lineRule="auto"/>
              <w:ind w:left="53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86" w:type="dxa"/>
            <w:vAlign w:val="top"/>
          </w:tcPr>
          <w:p w14:paraId="7703196B">
            <w:pPr>
              <w:spacing w:before="90" w:line="193" w:lineRule="auto"/>
              <w:ind w:left="45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85" w:type="dxa"/>
            <w:vAlign w:val="top"/>
          </w:tcPr>
          <w:p w14:paraId="299B6DC0">
            <w:pPr>
              <w:spacing w:before="90" w:line="193" w:lineRule="auto"/>
              <w:ind w:left="45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02" w:type="dxa"/>
            <w:vAlign w:val="top"/>
          </w:tcPr>
          <w:p w14:paraId="0EAADD33">
            <w:pPr>
              <w:spacing w:before="90" w:line="193" w:lineRule="auto"/>
              <w:ind w:left="51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75" w:type="dxa"/>
            <w:vAlign w:val="top"/>
          </w:tcPr>
          <w:p w14:paraId="30BEB478">
            <w:pPr>
              <w:spacing w:before="90" w:line="193" w:lineRule="auto"/>
              <w:ind w:left="60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15" w:type="dxa"/>
            <w:vAlign w:val="top"/>
          </w:tcPr>
          <w:p w14:paraId="61BB4A18">
            <w:pPr>
              <w:spacing w:before="90" w:line="193" w:lineRule="auto"/>
              <w:ind w:left="57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34" w:type="dxa"/>
            <w:vAlign w:val="top"/>
          </w:tcPr>
          <w:p w14:paraId="2366D8B5">
            <w:pPr>
              <w:spacing w:before="90" w:line="193" w:lineRule="auto"/>
              <w:ind w:left="63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90" w:type="dxa"/>
            <w:vAlign w:val="top"/>
          </w:tcPr>
          <w:p w14:paraId="49AB38DD">
            <w:pPr>
              <w:spacing w:before="90" w:line="193" w:lineRule="auto"/>
              <w:ind w:left="56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60" w:type="dxa"/>
            <w:vAlign w:val="top"/>
          </w:tcPr>
          <w:p w14:paraId="127A3DE5">
            <w:pPr>
              <w:spacing w:before="90" w:line="193" w:lineRule="auto"/>
              <w:ind w:left="5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6" w:type="dxa"/>
            <w:tcBorders>
              <w:top w:val="nil"/>
              <w:bottom w:val="nil"/>
            </w:tcBorders>
            <w:vAlign w:val="top"/>
          </w:tcPr>
          <w:p w14:paraId="699132F0">
            <w:pPr>
              <w:rPr>
                <w:rFonts w:ascii="Arial"/>
                <w:sz w:val="21"/>
              </w:rPr>
            </w:pPr>
          </w:p>
        </w:tc>
      </w:tr>
      <w:tr w14:paraId="44EF6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dxa"/>
            <w:vMerge w:val="continue"/>
            <w:tcBorders>
              <w:top w:val="nil"/>
              <w:bottom w:val="nil"/>
            </w:tcBorders>
            <w:textDirection w:val="tbRlV"/>
            <w:vAlign w:val="top"/>
          </w:tcPr>
          <w:p w14:paraId="7EE9C41F">
            <w:pPr>
              <w:rPr>
                <w:rFonts w:ascii="Arial"/>
                <w:sz w:val="21"/>
              </w:rPr>
            </w:pPr>
          </w:p>
        </w:tc>
        <w:tc>
          <w:tcPr>
            <w:tcW w:w="110" w:type="dxa"/>
            <w:tcBorders>
              <w:top w:val="nil"/>
              <w:bottom w:val="nil"/>
            </w:tcBorders>
            <w:vAlign w:val="top"/>
          </w:tcPr>
          <w:p w14:paraId="0431A856">
            <w:pPr>
              <w:rPr>
                <w:rFonts w:ascii="Arial"/>
                <w:sz w:val="21"/>
              </w:rPr>
            </w:pPr>
          </w:p>
        </w:tc>
        <w:tc>
          <w:tcPr>
            <w:tcW w:w="939" w:type="dxa"/>
            <w:vAlign w:val="top"/>
          </w:tcPr>
          <w:p w14:paraId="6B10C20E">
            <w:pPr>
              <w:pStyle w:val="6"/>
              <w:spacing w:before="57" w:line="220" w:lineRule="auto"/>
              <w:ind w:left="144"/>
              <w:rPr>
                <w:sz w:val="22"/>
                <w:szCs w:val="22"/>
              </w:rPr>
            </w:pPr>
            <w:r>
              <w:rPr>
                <w:spacing w:val="-3"/>
                <w:sz w:val="22"/>
                <w:szCs w:val="22"/>
              </w:rPr>
              <w:t>标准值</w:t>
            </w:r>
          </w:p>
        </w:tc>
        <w:tc>
          <w:tcPr>
            <w:tcW w:w="1153" w:type="dxa"/>
            <w:vAlign w:val="top"/>
          </w:tcPr>
          <w:p w14:paraId="6C06FABD">
            <w:pPr>
              <w:spacing w:before="95" w:line="189" w:lineRule="auto"/>
              <w:ind w:left="47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37</w:t>
            </w:r>
          </w:p>
        </w:tc>
        <w:tc>
          <w:tcPr>
            <w:tcW w:w="1134" w:type="dxa"/>
            <w:vAlign w:val="top"/>
          </w:tcPr>
          <w:p w14:paraId="0B2E0CA4">
            <w:pPr>
              <w:spacing w:before="95" w:line="189" w:lineRule="auto"/>
              <w:ind w:left="4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2.8</w:t>
            </w:r>
          </w:p>
        </w:tc>
        <w:tc>
          <w:tcPr>
            <w:tcW w:w="986" w:type="dxa"/>
            <w:vAlign w:val="top"/>
          </w:tcPr>
          <w:p w14:paraId="2DF3E5F7">
            <w:pPr>
              <w:spacing w:before="95" w:line="189" w:lineRule="auto"/>
              <w:ind w:left="36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0.9</w:t>
            </w:r>
          </w:p>
        </w:tc>
        <w:tc>
          <w:tcPr>
            <w:tcW w:w="985" w:type="dxa"/>
            <w:vAlign w:val="top"/>
          </w:tcPr>
          <w:p w14:paraId="58D0B43B">
            <w:pPr>
              <w:spacing w:before="95" w:line="189" w:lineRule="auto"/>
              <w:ind w:left="443"/>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1102" w:type="dxa"/>
            <w:vAlign w:val="top"/>
          </w:tcPr>
          <w:p w14:paraId="04F16676">
            <w:pPr>
              <w:spacing w:before="98" w:line="186" w:lineRule="auto"/>
              <w:ind w:left="504"/>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275" w:type="dxa"/>
            <w:vAlign w:val="top"/>
          </w:tcPr>
          <w:p w14:paraId="553ACDE0">
            <w:pPr>
              <w:spacing w:before="95" w:line="189" w:lineRule="auto"/>
              <w:ind w:left="533"/>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66</w:t>
            </w:r>
          </w:p>
        </w:tc>
        <w:tc>
          <w:tcPr>
            <w:tcW w:w="1215" w:type="dxa"/>
            <w:vAlign w:val="top"/>
          </w:tcPr>
          <w:p w14:paraId="398BC0CE">
            <w:pPr>
              <w:spacing w:before="95" w:line="189" w:lineRule="auto"/>
              <w:ind w:left="45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596</w:t>
            </w:r>
          </w:p>
        </w:tc>
        <w:tc>
          <w:tcPr>
            <w:tcW w:w="1334" w:type="dxa"/>
            <w:vAlign w:val="top"/>
          </w:tcPr>
          <w:p w14:paraId="5EE39E82">
            <w:pPr>
              <w:spacing w:before="95" w:line="189" w:lineRule="auto"/>
              <w:ind w:left="56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54</w:t>
            </w:r>
          </w:p>
        </w:tc>
        <w:tc>
          <w:tcPr>
            <w:tcW w:w="1190" w:type="dxa"/>
            <w:vAlign w:val="top"/>
          </w:tcPr>
          <w:p w14:paraId="0F53EDD0">
            <w:pPr>
              <w:spacing w:before="95" w:line="189" w:lineRule="auto"/>
              <w:ind w:left="43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616</w:t>
            </w:r>
          </w:p>
        </w:tc>
        <w:tc>
          <w:tcPr>
            <w:tcW w:w="1060" w:type="dxa"/>
            <w:vAlign w:val="top"/>
          </w:tcPr>
          <w:p w14:paraId="4A0A6F03">
            <w:pPr>
              <w:spacing w:before="98" w:line="186" w:lineRule="auto"/>
              <w:ind w:left="486"/>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16" w:type="dxa"/>
            <w:tcBorders>
              <w:top w:val="nil"/>
              <w:bottom w:val="nil"/>
            </w:tcBorders>
            <w:vAlign w:val="top"/>
          </w:tcPr>
          <w:p w14:paraId="0FEFB9C6">
            <w:pPr>
              <w:rPr>
                <w:rFonts w:ascii="Arial"/>
                <w:sz w:val="21"/>
              </w:rPr>
            </w:pPr>
          </w:p>
        </w:tc>
      </w:tr>
      <w:tr w14:paraId="7B9D1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633" w:type="dxa"/>
            <w:vMerge w:val="continue"/>
            <w:tcBorders>
              <w:top w:val="nil"/>
              <w:bottom w:val="nil"/>
            </w:tcBorders>
            <w:textDirection w:val="tbRlV"/>
            <w:vAlign w:val="top"/>
          </w:tcPr>
          <w:p w14:paraId="443BF2A8">
            <w:pPr>
              <w:rPr>
                <w:rFonts w:ascii="Arial"/>
                <w:sz w:val="21"/>
              </w:rPr>
            </w:pPr>
          </w:p>
        </w:tc>
        <w:tc>
          <w:tcPr>
            <w:tcW w:w="110" w:type="dxa"/>
            <w:tcBorders>
              <w:top w:val="nil"/>
              <w:bottom w:val="nil"/>
            </w:tcBorders>
            <w:vAlign w:val="top"/>
          </w:tcPr>
          <w:p w14:paraId="6DFFC5A3">
            <w:pPr>
              <w:rPr>
                <w:rFonts w:ascii="Arial"/>
                <w:sz w:val="21"/>
              </w:rPr>
            </w:pPr>
          </w:p>
        </w:tc>
        <w:tc>
          <w:tcPr>
            <w:tcW w:w="939" w:type="dxa"/>
            <w:vAlign w:val="top"/>
          </w:tcPr>
          <w:p w14:paraId="7DF660D0">
            <w:pPr>
              <w:pStyle w:val="6"/>
              <w:spacing w:before="173" w:line="221" w:lineRule="auto"/>
              <w:ind w:left="257"/>
              <w:rPr>
                <w:sz w:val="22"/>
                <w:szCs w:val="22"/>
              </w:rPr>
            </w:pPr>
            <w:r>
              <w:rPr>
                <w:spacing w:val="-6"/>
                <w:sz w:val="22"/>
                <w:szCs w:val="22"/>
              </w:rPr>
              <w:t>项目</w:t>
            </w:r>
          </w:p>
        </w:tc>
        <w:tc>
          <w:tcPr>
            <w:tcW w:w="1153" w:type="dxa"/>
            <w:vAlign w:val="top"/>
          </w:tcPr>
          <w:p w14:paraId="5D1CFAC0">
            <w:pPr>
              <w:pStyle w:val="6"/>
              <w:spacing w:before="32" w:line="221" w:lineRule="auto"/>
              <w:ind w:left="253" w:right="125" w:hanging="103"/>
              <w:rPr>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29"/>
                <w:sz w:val="22"/>
                <w:szCs w:val="22"/>
              </w:rPr>
              <w:t xml:space="preserve"> </w:t>
            </w:r>
            <w:r>
              <w:rPr>
                <w:rFonts w:ascii="Times New Roman" w:hAnsi="Times New Roman" w:eastAsia="Times New Roman" w:cs="Times New Roman"/>
                <w:spacing w:val="-6"/>
                <w:sz w:val="22"/>
                <w:szCs w:val="22"/>
              </w:rPr>
              <w:t>1,2,2-</w:t>
            </w:r>
            <w:r>
              <w:rPr>
                <w:spacing w:val="-6"/>
                <w:sz w:val="22"/>
                <w:szCs w:val="22"/>
              </w:rPr>
              <w:t>四</w:t>
            </w:r>
            <w:r>
              <w:rPr>
                <w:spacing w:val="-4"/>
                <w:sz w:val="22"/>
                <w:szCs w:val="22"/>
              </w:rPr>
              <w:t>氯乙烷</w:t>
            </w:r>
          </w:p>
        </w:tc>
        <w:tc>
          <w:tcPr>
            <w:tcW w:w="1134" w:type="dxa"/>
            <w:vAlign w:val="top"/>
          </w:tcPr>
          <w:p w14:paraId="44EE371F">
            <w:pPr>
              <w:pStyle w:val="6"/>
              <w:spacing w:before="32" w:line="221" w:lineRule="auto"/>
              <w:ind w:left="245" w:right="115" w:hanging="106"/>
              <w:rPr>
                <w:sz w:val="22"/>
                <w:szCs w:val="22"/>
              </w:rPr>
            </w:pPr>
            <w:r>
              <w:rPr>
                <w:rFonts w:ascii="Times New Roman" w:hAnsi="Times New Roman" w:eastAsia="Times New Roman" w:cs="Times New Roman"/>
                <w:spacing w:val="-9"/>
                <w:sz w:val="22"/>
                <w:szCs w:val="22"/>
              </w:rPr>
              <w:t>1,</w:t>
            </w:r>
            <w:r>
              <w:rPr>
                <w:rFonts w:ascii="Times New Roman" w:hAnsi="Times New Roman" w:eastAsia="Times New Roman" w:cs="Times New Roman"/>
                <w:spacing w:val="-25"/>
                <w:sz w:val="22"/>
                <w:szCs w:val="22"/>
              </w:rPr>
              <w:t xml:space="preserve"> </w:t>
            </w:r>
            <w:r>
              <w:rPr>
                <w:rFonts w:ascii="Times New Roman" w:hAnsi="Times New Roman" w:eastAsia="Times New Roman" w:cs="Times New Roman"/>
                <w:spacing w:val="-9"/>
                <w:sz w:val="22"/>
                <w:szCs w:val="22"/>
              </w:rPr>
              <w:t>1,</w:t>
            </w:r>
            <w:r>
              <w:rPr>
                <w:rFonts w:ascii="Times New Roman" w:hAnsi="Times New Roman" w:eastAsia="Times New Roman" w:cs="Times New Roman"/>
                <w:spacing w:val="-29"/>
                <w:sz w:val="22"/>
                <w:szCs w:val="22"/>
              </w:rPr>
              <w:t xml:space="preserve"> </w:t>
            </w:r>
            <w:r>
              <w:rPr>
                <w:rFonts w:ascii="Times New Roman" w:hAnsi="Times New Roman" w:eastAsia="Times New Roman" w:cs="Times New Roman"/>
                <w:spacing w:val="-9"/>
                <w:sz w:val="22"/>
                <w:szCs w:val="22"/>
              </w:rPr>
              <w:t>1,2-</w:t>
            </w:r>
            <w:r>
              <w:rPr>
                <w:spacing w:val="-9"/>
                <w:sz w:val="22"/>
                <w:szCs w:val="22"/>
              </w:rPr>
              <w:t>四</w:t>
            </w:r>
            <w:r>
              <w:rPr>
                <w:spacing w:val="-4"/>
                <w:sz w:val="22"/>
                <w:szCs w:val="22"/>
              </w:rPr>
              <w:t>氯乙烷</w:t>
            </w:r>
          </w:p>
        </w:tc>
        <w:tc>
          <w:tcPr>
            <w:tcW w:w="986" w:type="dxa"/>
            <w:vAlign w:val="top"/>
          </w:tcPr>
          <w:p w14:paraId="6228B0ED">
            <w:pPr>
              <w:pStyle w:val="6"/>
              <w:spacing w:before="31" w:line="222" w:lineRule="auto"/>
              <w:ind w:left="297"/>
              <w:rPr>
                <w:sz w:val="22"/>
                <w:szCs w:val="22"/>
              </w:rPr>
            </w:pPr>
            <w:r>
              <w:rPr>
                <w:spacing w:val="-14"/>
                <w:sz w:val="22"/>
                <w:szCs w:val="22"/>
              </w:rPr>
              <w:t>四氯</w:t>
            </w:r>
          </w:p>
          <w:p w14:paraId="1357AC44">
            <w:pPr>
              <w:pStyle w:val="6"/>
              <w:spacing w:before="18" w:line="205" w:lineRule="auto"/>
              <w:ind w:left="298"/>
              <w:rPr>
                <w:sz w:val="22"/>
                <w:szCs w:val="22"/>
              </w:rPr>
            </w:pPr>
            <w:r>
              <w:rPr>
                <w:spacing w:val="-15"/>
                <w:sz w:val="22"/>
                <w:szCs w:val="22"/>
              </w:rPr>
              <w:t>乙烯</w:t>
            </w:r>
          </w:p>
        </w:tc>
        <w:tc>
          <w:tcPr>
            <w:tcW w:w="985" w:type="dxa"/>
            <w:vAlign w:val="top"/>
          </w:tcPr>
          <w:p w14:paraId="110F98DD">
            <w:pPr>
              <w:pStyle w:val="6"/>
              <w:spacing w:before="32" w:line="221" w:lineRule="auto"/>
              <w:ind w:left="170" w:right="122" w:hanging="22"/>
              <w:rPr>
                <w:sz w:val="22"/>
                <w:szCs w:val="22"/>
              </w:rPr>
            </w:pPr>
            <w:r>
              <w:rPr>
                <w:rFonts w:ascii="Times New Roman" w:hAnsi="Times New Roman" w:eastAsia="Times New Roman" w:cs="Times New Roman"/>
                <w:spacing w:val="-11"/>
                <w:sz w:val="22"/>
                <w:szCs w:val="22"/>
              </w:rPr>
              <w:t>1,</w:t>
            </w:r>
            <w:r>
              <w:rPr>
                <w:rFonts w:ascii="Times New Roman" w:hAnsi="Times New Roman" w:eastAsia="Times New Roman" w:cs="Times New Roman"/>
                <w:spacing w:val="-30"/>
                <w:sz w:val="22"/>
                <w:szCs w:val="22"/>
              </w:rPr>
              <w:t xml:space="preserve"> </w:t>
            </w:r>
            <w:r>
              <w:rPr>
                <w:rFonts w:ascii="Times New Roman" w:hAnsi="Times New Roman" w:eastAsia="Times New Roman" w:cs="Times New Roman"/>
                <w:spacing w:val="-11"/>
                <w:sz w:val="22"/>
                <w:szCs w:val="22"/>
              </w:rPr>
              <w:t>1,</w:t>
            </w:r>
            <w:r>
              <w:rPr>
                <w:rFonts w:ascii="Times New Roman" w:hAnsi="Times New Roman" w:eastAsia="Times New Roman" w:cs="Times New Roman"/>
                <w:spacing w:val="-29"/>
                <w:sz w:val="22"/>
                <w:szCs w:val="22"/>
              </w:rPr>
              <w:t xml:space="preserve"> </w:t>
            </w:r>
            <w:r>
              <w:rPr>
                <w:rFonts w:ascii="Times New Roman" w:hAnsi="Times New Roman" w:eastAsia="Times New Roman" w:cs="Times New Roman"/>
                <w:spacing w:val="-11"/>
                <w:sz w:val="22"/>
                <w:szCs w:val="22"/>
              </w:rPr>
              <w:t>1-</w:t>
            </w:r>
            <w:r>
              <w:rPr>
                <w:spacing w:val="-11"/>
                <w:sz w:val="22"/>
                <w:szCs w:val="22"/>
              </w:rPr>
              <w:t>三</w:t>
            </w:r>
            <w:r>
              <w:rPr>
                <w:spacing w:val="-4"/>
                <w:sz w:val="22"/>
                <w:szCs w:val="22"/>
              </w:rPr>
              <w:t>氯乙烷</w:t>
            </w:r>
          </w:p>
        </w:tc>
        <w:tc>
          <w:tcPr>
            <w:tcW w:w="1102" w:type="dxa"/>
            <w:vAlign w:val="top"/>
          </w:tcPr>
          <w:p w14:paraId="608D143D">
            <w:pPr>
              <w:pStyle w:val="6"/>
              <w:spacing w:before="32" w:line="221" w:lineRule="auto"/>
              <w:ind w:left="229" w:right="183" w:hanging="22"/>
              <w:rPr>
                <w:sz w:val="22"/>
                <w:szCs w:val="22"/>
              </w:rPr>
            </w:pPr>
            <w:r>
              <w:rPr>
                <w:rFonts w:ascii="Times New Roman" w:hAnsi="Times New Roman" w:eastAsia="Times New Roman" w:cs="Times New Roman"/>
                <w:spacing w:val="-8"/>
                <w:sz w:val="22"/>
                <w:szCs w:val="22"/>
              </w:rPr>
              <w:t>1,</w:t>
            </w:r>
            <w:r>
              <w:rPr>
                <w:rFonts w:ascii="Times New Roman" w:hAnsi="Times New Roman" w:eastAsia="Times New Roman" w:cs="Times New Roman"/>
                <w:spacing w:val="-27"/>
                <w:sz w:val="22"/>
                <w:szCs w:val="22"/>
              </w:rPr>
              <w:t xml:space="preserve"> </w:t>
            </w:r>
            <w:r>
              <w:rPr>
                <w:rFonts w:ascii="Times New Roman" w:hAnsi="Times New Roman" w:eastAsia="Times New Roman" w:cs="Times New Roman"/>
                <w:spacing w:val="-8"/>
                <w:sz w:val="22"/>
                <w:szCs w:val="22"/>
              </w:rPr>
              <w:t>1,2-</w:t>
            </w:r>
            <w:r>
              <w:rPr>
                <w:spacing w:val="-8"/>
                <w:sz w:val="22"/>
                <w:szCs w:val="22"/>
              </w:rPr>
              <w:t>三</w:t>
            </w:r>
            <w:r>
              <w:rPr>
                <w:spacing w:val="-4"/>
                <w:sz w:val="22"/>
                <w:szCs w:val="22"/>
              </w:rPr>
              <w:t>氯乙烷</w:t>
            </w:r>
          </w:p>
        </w:tc>
        <w:tc>
          <w:tcPr>
            <w:tcW w:w="1275" w:type="dxa"/>
            <w:vAlign w:val="top"/>
          </w:tcPr>
          <w:p w14:paraId="71D10BC2">
            <w:pPr>
              <w:pStyle w:val="6"/>
              <w:spacing w:before="173" w:line="220" w:lineRule="auto"/>
              <w:ind w:left="204"/>
              <w:rPr>
                <w:sz w:val="22"/>
                <w:szCs w:val="22"/>
              </w:rPr>
            </w:pPr>
            <w:r>
              <w:rPr>
                <w:spacing w:val="-2"/>
                <w:sz w:val="22"/>
                <w:szCs w:val="22"/>
              </w:rPr>
              <w:t>三氯乙烯</w:t>
            </w:r>
          </w:p>
        </w:tc>
        <w:tc>
          <w:tcPr>
            <w:tcW w:w="1215" w:type="dxa"/>
            <w:vAlign w:val="top"/>
          </w:tcPr>
          <w:p w14:paraId="65110E4F">
            <w:pPr>
              <w:pStyle w:val="6"/>
              <w:spacing w:before="32" w:line="221" w:lineRule="auto"/>
              <w:ind w:left="396" w:right="126" w:hanging="243"/>
              <w:rPr>
                <w:sz w:val="22"/>
                <w:szCs w:val="22"/>
              </w:rPr>
            </w:pPr>
            <w:r>
              <w:rPr>
                <w:rFonts w:ascii="Times New Roman" w:hAnsi="Times New Roman" w:eastAsia="Times New Roman" w:cs="Times New Roman"/>
                <w:spacing w:val="-7"/>
                <w:sz w:val="22"/>
                <w:szCs w:val="22"/>
              </w:rPr>
              <w:t>1,</w:t>
            </w:r>
            <w:r>
              <w:rPr>
                <w:rFonts w:ascii="Times New Roman" w:hAnsi="Times New Roman" w:eastAsia="Times New Roman" w:cs="Times New Roman"/>
                <w:spacing w:val="-24"/>
                <w:sz w:val="22"/>
                <w:szCs w:val="22"/>
              </w:rPr>
              <w:t xml:space="preserve"> </w:t>
            </w:r>
            <w:r>
              <w:rPr>
                <w:rFonts w:ascii="Times New Roman" w:hAnsi="Times New Roman" w:eastAsia="Times New Roman" w:cs="Times New Roman"/>
                <w:spacing w:val="-7"/>
                <w:sz w:val="22"/>
                <w:szCs w:val="22"/>
              </w:rPr>
              <w:t>1,3-</w:t>
            </w:r>
            <w:r>
              <w:rPr>
                <w:spacing w:val="-7"/>
                <w:sz w:val="22"/>
                <w:szCs w:val="22"/>
              </w:rPr>
              <w:t>三氯</w:t>
            </w:r>
            <w:r>
              <w:rPr>
                <w:spacing w:val="-6"/>
                <w:sz w:val="22"/>
                <w:szCs w:val="22"/>
              </w:rPr>
              <w:t>丙烷</w:t>
            </w:r>
          </w:p>
        </w:tc>
        <w:tc>
          <w:tcPr>
            <w:tcW w:w="1334" w:type="dxa"/>
            <w:vAlign w:val="top"/>
          </w:tcPr>
          <w:p w14:paraId="7BC7BCBD">
            <w:pPr>
              <w:pStyle w:val="6"/>
              <w:spacing w:before="173" w:line="220" w:lineRule="auto"/>
              <w:ind w:left="348"/>
              <w:rPr>
                <w:sz w:val="22"/>
                <w:szCs w:val="22"/>
              </w:rPr>
            </w:pPr>
            <w:r>
              <w:rPr>
                <w:spacing w:val="-4"/>
                <w:sz w:val="22"/>
                <w:szCs w:val="22"/>
              </w:rPr>
              <w:t>氯乙烯</w:t>
            </w:r>
          </w:p>
        </w:tc>
        <w:tc>
          <w:tcPr>
            <w:tcW w:w="1190" w:type="dxa"/>
            <w:vAlign w:val="top"/>
          </w:tcPr>
          <w:p w14:paraId="67E823F5">
            <w:pPr>
              <w:pStyle w:val="6"/>
              <w:spacing w:before="173" w:line="219" w:lineRule="auto"/>
              <w:ind w:left="496"/>
              <w:rPr>
                <w:sz w:val="22"/>
                <w:szCs w:val="22"/>
              </w:rPr>
            </w:pPr>
            <w:r>
              <w:rPr>
                <w:sz w:val="22"/>
                <w:szCs w:val="22"/>
              </w:rPr>
              <w:t>苯</w:t>
            </w:r>
          </w:p>
        </w:tc>
        <w:tc>
          <w:tcPr>
            <w:tcW w:w="1060" w:type="dxa"/>
            <w:vAlign w:val="top"/>
          </w:tcPr>
          <w:p w14:paraId="7027B8EE">
            <w:pPr>
              <w:pStyle w:val="6"/>
              <w:spacing w:before="173" w:line="219" w:lineRule="auto"/>
              <w:ind w:left="322"/>
              <w:rPr>
                <w:sz w:val="22"/>
                <w:szCs w:val="22"/>
              </w:rPr>
            </w:pPr>
            <w:r>
              <w:rPr>
                <w:spacing w:val="-6"/>
                <w:sz w:val="22"/>
                <w:szCs w:val="22"/>
              </w:rPr>
              <w:t>氯苯</w:t>
            </w:r>
          </w:p>
        </w:tc>
        <w:tc>
          <w:tcPr>
            <w:tcW w:w="116" w:type="dxa"/>
            <w:tcBorders>
              <w:top w:val="nil"/>
              <w:bottom w:val="nil"/>
            </w:tcBorders>
            <w:vAlign w:val="top"/>
          </w:tcPr>
          <w:p w14:paraId="2AFE27E9">
            <w:pPr>
              <w:rPr>
                <w:rFonts w:ascii="Arial"/>
                <w:sz w:val="21"/>
              </w:rPr>
            </w:pPr>
          </w:p>
        </w:tc>
      </w:tr>
      <w:tr w14:paraId="36271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dxa"/>
            <w:vMerge w:val="continue"/>
            <w:tcBorders>
              <w:top w:val="nil"/>
              <w:bottom w:val="nil"/>
            </w:tcBorders>
            <w:textDirection w:val="tbRlV"/>
            <w:vAlign w:val="top"/>
          </w:tcPr>
          <w:p w14:paraId="048B4845">
            <w:pPr>
              <w:rPr>
                <w:rFonts w:ascii="Arial"/>
                <w:sz w:val="21"/>
              </w:rPr>
            </w:pPr>
          </w:p>
        </w:tc>
        <w:tc>
          <w:tcPr>
            <w:tcW w:w="110" w:type="dxa"/>
            <w:tcBorders>
              <w:top w:val="nil"/>
              <w:bottom w:val="nil"/>
            </w:tcBorders>
            <w:vAlign w:val="top"/>
          </w:tcPr>
          <w:p w14:paraId="0C3ECEF7">
            <w:pPr>
              <w:rPr>
                <w:rFonts w:ascii="Arial"/>
                <w:sz w:val="21"/>
              </w:rPr>
            </w:pPr>
          </w:p>
        </w:tc>
        <w:tc>
          <w:tcPr>
            <w:tcW w:w="939" w:type="dxa"/>
            <w:vAlign w:val="top"/>
          </w:tcPr>
          <w:p w14:paraId="6C22BE76">
            <w:pPr>
              <w:spacing w:before="97" w:line="196" w:lineRule="auto"/>
              <w:ind w:left="383"/>
              <w:rPr>
                <w:rFonts w:ascii="Times New Roman" w:hAnsi="Times New Roman" w:eastAsia="Times New Roman" w:cs="Times New Roman"/>
                <w:sz w:val="14"/>
                <w:szCs w:val="14"/>
              </w:rPr>
            </w:pPr>
            <w:r>
              <w:rPr>
                <w:rFonts w:ascii="Times New Roman" w:hAnsi="Times New Roman" w:eastAsia="Times New Roman" w:cs="Times New Roman"/>
                <w:spacing w:val="-14"/>
                <w:sz w:val="22"/>
                <w:szCs w:val="22"/>
              </w:rPr>
              <w:t>S</w:t>
            </w:r>
            <w:r>
              <w:rPr>
                <w:rFonts w:ascii="Times New Roman" w:hAnsi="Times New Roman" w:eastAsia="Times New Roman" w:cs="Times New Roman"/>
                <w:position w:val="-1"/>
                <w:sz w:val="14"/>
                <w:szCs w:val="14"/>
              </w:rPr>
              <w:t>1</w:t>
            </w:r>
          </w:p>
        </w:tc>
        <w:tc>
          <w:tcPr>
            <w:tcW w:w="1153" w:type="dxa"/>
            <w:vAlign w:val="top"/>
          </w:tcPr>
          <w:p w14:paraId="0D546C08">
            <w:pPr>
              <w:spacing w:before="101" w:line="186" w:lineRule="auto"/>
              <w:ind w:left="41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134" w:type="dxa"/>
            <w:vAlign w:val="top"/>
          </w:tcPr>
          <w:p w14:paraId="78DE1599">
            <w:pPr>
              <w:spacing w:before="101" w:line="186" w:lineRule="auto"/>
              <w:ind w:left="40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986" w:type="dxa"/>
            <w:vAlign w:val="top"/>
          </w:tcPr>
          <w:p w14:paraId="39E721B7">
            <w:pPr>
              <w:spacing w:before="101" w:line="186" w:lineRule="auto"/>
              <w:ind w:left="32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985" w:type="dxa"/>
            <w:vAlign w:val="top"/>
          </w:tcPr>
          <w:p w14:paraId="5F799DC7">
            <w:pPr>
              <w:spacing w:before="101" w:line="186" w:lineRule="auto"/>
              <w:ind w:left="32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102" w:type="dxa"/>
            <w:vAlign w:val="top"/>
          </w:tcPr>
          <w:p w14:paraId="2BA0F7DA">
            <w:pPr>
              <w:spacing w:before="101" w:line="186" w:lineRule="auto"/>
              <w:ind w:left="38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275" w:type="dxa"/>
            <w:vAlign w:val="top"/>
          </w:tcPr>
          <w:p w14:paraId="400B0EB7">
            <w:pPr>
              <w:spacing w:before="101" w:line="186" w:lineRule="auto"/>
              <w:ind w:left="47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215" w:type="dxa"/>
            <w:vAlign w:val="top"/>
          </w:tcPr>
          <w:p w14:paraId="288EC45E">
            <w:pPr>
              <w:spacing w:before="101" w:line="186" w:lineRule="auto"/>
              <w:ind w:left="44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334" w:type="dxa"/>
            <w:vAlign w:val="top"/>
          </w:tcPr>
          <w:p w14:paraId="476AE200">
            <w:pPr>
              <w:spacing w:before="101" w:line="186" w:lineRule="auto"/>
              <w:ind w:left="50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190" w:type="dxa"/>
            <w:vAlign w:val="top"/>
          </w:tcPr>
          <w:p w14:paraId="2F1F57B8">
            <w:pPr>
              <w:spacing w:before="101" w:line="186" w:lineRule="auto"/>
              <w:ind w:left="43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060" w:type="dxa"/>
            <w:vAlign w:val="top"/>
          </w:tcPr>
          <w:p w14:paraId="22A4889F">
            <w:pPr>
              <w:spacing w:before="101" w:line="186" w:lineRule="auto"/>
              <w:ind w:left="37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16" w:type="dxa"/>
            <w:tcBorders>
              <w:top w:val="nil"/>
              <w:bottom w:val="nil"/>
            </w:tcBorders>
            <w:vAlign w:val="top"/>
          </w:tcPr>
          <w:p w14:paraId="5A29D1E5">
            <w:pPr>
              <w:rPr>
                <w:rFonts w:ascii="Arial"/>
                <w:sz w:val="21"/>
              </w:rPr>
            </w:pPr>
          </w:p>
        </w:tc>
      </w:tr>
      <w:tr w14:paraId="5391E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dxa"/>
            <w:vMerge w:val="continue"/>
            <w:tcBorders>
              <w:top w:val="nil"/>
              <w:bottom w:val="nil"/>
            </w:tcBorders>
            <w:textDirection w:val="tbRlV"/>
            <w:vAlign w:val="top"/>
          </w:tcPr>
          <w:p w14:paraId="40045844">
            <w:pPr>
              <w:rPr>
                <w:rFonts w:ascii="Arial"/>
                <w:sz w:val="21"/>
              </w:rPr>
            </w:pPr>
          </w:p>
        </w:tc>
        <w:tc>
          <w:tcPr>
            <w:tcW w:w="110" w:type="dxa"/>
            <w:tcBorders>
              <w:top w:val="nil"/>
              <w:bottom w:val="nil"/>
            </w:tcBorders>
            <w:vAlign w:val="top"/>
          </w:tcPr>
          <w:p w14:paraId="1981F39A">
            <w:pPr>
              <w:rPr>
                <w:rFonts w:ascii="Arial"/>
                <w:sz w:val="21"/>
              </w:rPr>
            </w:pPr>
          </w:p>
        </w:tc>
        <w:tc>
          <w:tcPr>
            <w:tcW w:w="939" w:type="dxa"/>
            <w:vAlign w:val="top"/>
          </w:tcPr>
          <w:p w14:paraId="4950E207">
            <w:pPr>
              <w:spacing w:before="92" w:line="193" w:lineRule="auto"/>
              <w:ind w:left="40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Ii</w:t>
            </w:r>
          </w:p>
        </w:tc>
        <w:tc>
          <w:tcPr>
            <w:tcW w:w="1153" w:type="dxa"/>
            <w:vAlign w:val="top"/>
          </w:tcPr>
          <w:p w14:paraId="41E3D01F">
            <w:pPr>
              <w:spacing w:before="92" w:line="193" w:lineRule="auto"/>
              <w:ind w:left="54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4" w:type="dxa"/>
            <w:vAlign w:val="top"/>
          </w:tcPr>
          <w:p w14:paraId="6301997B">
            <w:pPr>
              <w:spacing w:before="92" w:line="193" w:lineRule="auto"/>
              <w:ind w:left="53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86" w:type="dxa"/>
            <w:vAlign w:val="top"/>
          </w:tcPr>
          <w:p w14:paraId="4B341A47">
            <w:pPr>
              <w:spacing w:before="92" w:line="193" w:lineRule="auto"/>
              <w:ind w:left="45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85" w:type="dxa"/>
            <w:vAlign w:val="top"/>
          </w:tcPr>
          <w:p w14:paraId="6EDCB719">
            <w:pPr>
              <w:spacing w:before="92" w:line="193" w:lineRule="auto"/>
              <w:ind w:left="45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02" w:type="dxa"/>
            <w:vAlign w:val="top"/>
          </w:tcPr>
          <w:p w14:paraId="4AD3250D">
            <w:pPr>
              <w:spacing w:before="92" w:line="193" w:lineRule="auto"/>
              <w:ind w:left="51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75" w:type="dxa"/>
            <w:vAlign w:val="top"/>
          </w:tcPr>
          <w:p w14:paraId="6AC5D1A5">
            <w:pPr>
              <w:spacing w:before="92" w:line="193" w:lineRule="auto"/>
              <w:ind w:left="60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15" w:type="dxa"/>
            <w:vAlign w:val="top"/>
          </w:tcPr>
          <w:p w14:paraId="20F92022">
            <w:pPr>
              <w:spacing w:before="92" w:line="193" w:lineRule="auto"/>
              <w:ind w:left="57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34" w:type="dxa"/>
            <w:vAlign w:val="top"/>
          </w:tcPr>
          <w:p w14:paraId="023AD882">
            <w:pPr>
              <w:spacing w:before="92" w:line="193" w:lineRule="auto"/>
              <w:ind w:left="63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90" w:type="dxa"/>
            <w:vAlign w:val="top"/>
          </w:tcPr>
          <w:p w14:paraId="1DFC3395">
            <w:pPr>
              <w:spacing w:before="92" w:line="193" w:lineRule="auto"/>
              <w:ind w:left="56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60" w:type="dxa"/>
            <w:vAlign w:val="top"/>
          </w:tcPr>
          <w:p w14:paraId="523DD01A">
            <w:pPr>
              <w:spacing w:before="92" w:line="193" w:lineRule="auto"/>
              <w:ind w:left="5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6" w:type="dxa"/>
            <w:tcBorders>
              <w:top w:val="nil"/>
              <w:bottom w:val="nil"/>
            </w:tcBorders>
            <w:vAlign w:val="top"/>
          </w:tcPr>
          <w:p w14:paraId="49EA9375">
            <w:pPr>
              <w:rPr>
                <w:rFonts w:ascii="Arial"/>
                <w:sz w:val="21"/>
              </w:rPr>
            </w:pPr>
          </w:p>
        </w:tc>
      </w:tr>
      <w:tr w14:paraId="7FCE4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dxa"/>
            <w:vMerge w:val="continue"/>
            <w:tcBorders>
              <w:top w:val="nil"/>
              <w:bottom w:val="nil"/>
            </w:tcBorders>
            <w:textDirection w:val="tbRlV"/>
            <w:vAlign w:val="top"/>
          </w:tcPr>
          <w:p w14:paraId="7EBBABE1">
            <w:pPr>
              <w:rPr>
                <w:rFonts w:ascii="Arial"/>
                <w:sz w:val="21"/>
              </w:rPr>
            </w:pPr>
          </w:p>
        </w:tc>
        <w:tc>
          <w:tcPr>
            <w:tcW w:w="110" w:type="dxa"/>
            <w:tcBorders>
              <w:top w:val="nil"/>
              <w:bottom w:val="nil"/>
            </w:tcBorders>
            <w:vAlign w:val="top"/>
          </w:tcPr>
          <w:p w14:paraId="59123985">
            <w:pPr>
              <w:rPr>
                <w:rFonts w:ascii="Arial"/>
                <w:sz w:val="21"/>
              </w:rPr>
            </w:pPr>
          </w:p>
        </w:tc>
        <w:tc>
          <w:tcPr>
            <w:tcW w:w="939" w:type="dxa"/>
            <w:vAlign w:val="top"/>
          </w:tcPr>
          <w:p w14:paraId="5B7F9AE9">
            <w:pPr>
              <w:pStyle w:val="6"/>
              <w:spacing w:before="59" w:line="220" w:lineRule="auto"/>
              <w:ind w:left="144"/>
              <w:rPr>
                <w:sz w:val="22"/>
                <w:szCs w:val="22"/>
              </w:rPr>
            </w:pPr>
            <w:r>
              <w:rPr>
                <w:spacing w:val="-3"/>
                <w:sz w:val="22"/>
                <w:szCs w:val="22"/>
              </w:rPr>
              <w:t>标准值</w:t>
            </w:r>
          </w:p>
        </w:tc>
        <w:tc>
          <w:tcPr>
            <w:tcW w:w="1153" w:type="dxa"/>
            <w:vAlign w:val="top"/>
          </w:tcPr>
          <w:p w14:paraId="25579B0A">
            <w:pPr>
              <w:spacing w:before="97" w:line="189" w:lineRule="auto"/>
              <w:ind w:left="44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6.8</w:t>
            </w:r>
          </w:p>
        </w:tc>
        <w:tc>
          <w:tcPr>
            <w:tcW w:w="1134" w:type="dxa"/>
            <w:vAlign w:val="top"/>
          </w:tcPr>
          <w:p w14:paraId="09D18F16">
            <w:pPr>
              <w:spacing w:before="97" w:line="189" w:lineRule="auto"/>
              <w:ind w:left="480"/>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986" w:type="dxa"/>
            <w:vAlign w:val="top"/>
          </w:tcPr>
          <w:p w14:paraId="5CC16F41">
            <w:pPr>
              <w:spacing w:before="97" w:line="189" w:lineRule="auto"/>
              <w:ind w:left="38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53</w:t>
            </w:r>
          </w:p>
        </w:tc>
        <w:tc>
          <w:tcPr>
            <w:tcW w:w="985" w:type="dxa"/>
            <w:vAlign w:val="top"/>
          </w:tcPr>
          <w:p w14:paraId="7271F619">
            <w:pPr>
              <w:spacing w:before="97" w:line="189" w:lineRule="auto"/>
              <w:ind w:left="33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840</w:t>
            </w:r>
          </w:p>
        </w:tc>
        <w:tc>
          <w:tcPr>
            <w:tcW w:w="1102" w:type="dxa"/>
            <w:vAlign w:val="top"/>
          </w:tcPr>
          <w:p w14:paraId="28B168A6">
            <w:pPr>
              <w:spacing w:before="97" w:line="189" w:lineRule="auto"/>
              <w:ind w:left="41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2.8</w:t>
            </w:r>
          </w:p>
        </w:tc>
        <w:tc>
          <w:tcPr>
            <w:tcW w:w="1275" w:type="dxa"/>
            <w:vAlign w:val="top"/>
          </w:tcPr>
          <w:p w14:paraId="765FF26D">
            <w:pPr>
              <w:spacing w:before="97" w:line="189" w:lineRule="auto"/>
              <w:ind w:left="50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2.8</w:t>
            </w:r>
          </w:p>
        </w:tc>
        <w:tc>
          <w:tcPr>
            <w:tcW w:w="1215" w:type="dxa"/>
            <w:vAlign w:val="top"/>
          </w:tcPr>
          <w:p w14:paraId="3D256DF4">
            <w:pPr>
              <w:spacing w:before="97" w:line="189" w:lineRule="auto"/>
              <w:ind w:left="47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0.5</w:t>
            </w:r>
          </w:p>
        </w:tc>
        <w:tc>
          <w:tcPr>
            <w:tcW w:w="1334" w:type="dxa"/>
            <w:vAlign w:val="top"/>
          </w:tcPr>
          <w:p w14:paraId="5C222C12">
            <w:pPr>
              <w:spacing w:before="97" w:line="189" w:lineRule="auto"/>
              <w:ind w:left="4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0.43</w:t>
            </w:r>
          </w:p>
        </w:tc>
        <w:tc>
          <w:tcPr>
            <w:tcW w:w="1190" w:type="dxa"/>
            <w:vAlign w:val="top"/>
          </w:tcPr>
          <w:p w14:paraId="716277C9">
            <w:pPr>
              <w:spacing w:before="97" w:line="189" w:lineRule="auto"/>
              <w:ind w:left="543"/>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060" w:type="dxa"/>
            <w:vAlign w:val="top"/>
          </w:tcPr>
          <w:p w14:paraId="1568E3CD">
            <w:pPr>
              <w:spacing w:before="97" w:line="189" w:lineRule="auto"/>
              <w:ind w:left="37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270</w:t>
            </w:r>
          </w:p>
        </w:tc>
        <w:tc>
          <w:tcPr>
            <w:tcW w:w="116" w:type="dxa"/>
            <w:tcBorders>
              <w:top w:val="nil"/>
              <w:bottom w:val="nil"/>
            </w:tcBorders>
            <w:vAlign w:val="top"/>
          </w:tcPr>
          <w:p w14:paraId="62A1553E">
            <w:pPr>
              <w:rPr>
                <w:rFonts w:ascii="Arial"/>
                <w:sz w:val="21"/>
              </w:rPr>
            </w:pPr>
          </w:p>
        </w:tc>
      </w:tr>
      <w:tr w14:paraId="76E98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33" w:type="dxa"/>
            <w:vMerge w:val="continue"/>
            <w:tcBorders>
              <w:top w:val="nil"/>
              <w:bottom w:val="nil"/>
            </w:tcBorders>
            <w:textDirection w:val="tbRlV"/>
            <w:vAlign w:val="top"/>
          </w:tcPr>
          <w:p w14:paraId="2EE9DF43">
            <w:pPr>
              <w:rPr>
                <w:rFonts w:ascii="Arial"/>
                <w:sz w:val="21"/>
              </w:rPr>
            </w:pPr>
          </w:p>
        </w:tc>
        <w:tc>
          <w:tcPr>
            <w:tcW w:w="110" w:type="dxa"/>
            <w:tcBorders>
              <w:top w:val="nil"/>
              <w:bottom w:val="nil"/>
            </w:tcBorders>
            <w:vAlign w:val="top"/>
          </w:tcPr>
          <w:p w14:paraId="50362238">
            <w:pPr>
              <w:rPr>
                <w:rFonts w:ascii="Arial"/>
                <w:sz w:val="21"/>
              </w:rPr>
            </w:pPr>
          </w:p>
        </w:tc>
        <w:tc>
          <w:tcPr>
            <w:tcW w:w="939" w:type="dxa"/>
            <w:vAlign w:val="top"/>
          </w:tcPr>
          <w:p w14:paraId="6EF52845">
            <w:pPr>
              <w:pStyle w:val="6"/>
              <w:spacing w:before="174" w:line="221" w:lineRule="auto"/>
              <w:ind w:left="257"/>
              <w:rPr>
                <w:sz w:val="22"/>
                <w:szCs w:val="22"/>
              </w:rPr>
            </w:pPr>
            <w:r>
              <w:rPr>
                <w:spacing w:val="-6"/>
                <w:sz w:val="22"/>
                <w:szCs w:val="22"/>
              </w:rPr>
              <w:t>项目</w:t>
            </w:r>
          </w:p>
        </w:tc>
        <w:tc>
          <w:tcPr>
            <w:tcW w:w="1153" w:type="dxa"/>
            <w:vAlign w:val="top"/>
          </w:tcPr>
          <w:p w14:paraId="73A3BA32">
            <w:pPr>
              <w:pStyle w:val="6"/>
              <w:spacing w:before="33" w:line="221" w:lineRule="auto"/>
              <w:ind w:left="473" w:right="178" w:hanging="268"/>
              <w:rPr>
                <w:sz w:val="22"/>
                <w:szCs w:val="22"/>
              </w:rPr>
            </w:pPr>
            <w:r>
              <w:rPr>
                <w:rFonts w:ascii="Times New Roman" w:hAnsi="Times New Roman" w:eastAsia="Times New Roman" w:cs="Times New Roman"/>
                <w:spacing w:val="-5"/>
                <w:sz w:val="22"/>
                <w:szCs w:val="22"/>
              </w:rPr>
              <w:t>1,2-</w:t>
            </w:r>
            <w:r>
              <w:rPr>
                <w:spacing w:val="-5"/>
                <w:sz w:val="22"/>
                <w:szCs w:val="22"/>
              </w:rPr>
              <w:t>二氯</w:t>
            </w:r>
            <w:r>
              <w:rPr>
                <w:sz w:val="22"/>
                <w:szCs w:val="22"/>
              </w:rPr>
              <w:t>苯</w:t>
            </w:r>
          </w:p>
        </w:tc>
        <w:tc>
          <w:tcPr>
            <w:tcW w:w="1134" w:type="dxa"/>
            <w:vAlign w:val="top"/>
          </w:tcPr>
          <w:p w14:paraId="7D26980E">
            <w:pPr>
              <w:pStyle w:val="6"/>
              <w:spacing w:before="33" w:line="221" w:lineRule="auto"/>
              <w:ind w:left="465" w:right="170" w:hanging="271"/>
              <w:rPr>
                <w:sz w:val="22"/>
                <w:szCs w:val="22"/>
              </w:rPr>
            </w:pPr>
            <w:r>
              <w:rPr>
                <w:rFonts w:ascii="Times New Roman" w:hAnsi="Times New Roman" w:eastAsia="Times New Roman" w:cs="Times New Roman"/>
                <w:spacing w:val="-5"/>
                <w:sz w:val="22"/>
                <w:szCs w:val="22"/>
              </w:rPr>
              <w:t>1,4-</w:t>
            </w:r>
            <w:r>
              <w:rPr>
                <w:spacing w:val="-5"/>
                <w:sz w:val="22"/>
                <w:szCs w:val="22"/>
              </w:rPr>
              <w:t>二氯</w:t>
            </w:r>
            <w:r>
              <w:rPr>
                <w:sz w:val="22"/>
                <w:szCs w:val="22"/>
              </w:rPr>
              <w:t>苯</w:t>
            </w:r>
          </w:p>
        </w:tc>
        <w:tc>
          <w:tcPr>
            <w:tcW w:w="986" w:type="dxa"/>
            <w:vAlign w:val="top"/>
          </w:tcPr>
          <w:p w14:paraId="227A8847">
            <w:pPr>
              <w:pStyle w:val="6"/>
              <w:spacing w:before="175" w:line="219" w:lineRule="auto"/>
              <w:ind w:left="298"/>
              <w:rPr>
                <w:sz w:val="22"/>
                <w:szCs w:val="22"/>
              </w:rPr>
            </w:pPr>
            <w:r>
              <w:rPr>
                <w:spacing w:val="-15"/>
                <w:sz w:val="22"/>
                <w:szCs w:val="22"/>
              </w:rPr>
              <w:t>乙苯</w:t>
            </w:r>
          </w:p>
        </w:tc>
        <w:tc>
          <w:tcPr>
            <w:tcW w:w="985" w:type="dxa"/>
            <w:vAlign w:val="top"/>
          </w:tcPr>
          <w:p w14:paraId="3B49CA10">
            <w:pPr>
              <w:pStyle w:val="6"/>
              <w:spacing w:before="175" w:line="219" w:lineRule="auto"/>
              <w:ind w:left="169"/>
              <w:rPr>
                <w:sz w:val="22"/>
                <w:szCs w:val="22"/>
              </w:rPr>
            </w:pPr>
            <w:r>
              <w:rPr>
                <w:spacing w:val="-4"/>
                <w:sz w:val="22"/>
                <w:szCs w:val="22"/>
              </w:rPr>
              <w:t>苯乙烯</w:t>
            </w:r>
          </w:p>
        </w:tc>
        <w:tc>
          <w:tcPr>
            <w:tcW w:w="1102" w:type="dxa"/>
            <w:vAlign w:val="top"/>
          </w:tcPr>
          <w:p w14:paraId="24DF5387">
            <w:pPr>
              <w:pStyle w:val="6"/>
              <w:spacing w:before="175" w:line="219" w:lineRule="auto"/>
              <w:ind w:left="365"/>
              <w:rPr>
                <w:sz w:val="22"/>
                <w:szCs w:val="22"/>
              </w:rPr>
            </w:pPr>
            <w:r>
              <w:rPr>
                <w:spacing w:val="-18"/>
                <w:sz w:val="22"/>
                <w:szCs w:val="22"/>
              </w:rPr>
              <w:t>甲苯</w:t>
            </w:r>
          </w:p>
        </w:tc>
        <w:tc>
          <w:tcPr>
            <w:tcW w:w="1275" w:type="dxa"/>
            <w:vAlign w:val="top"/>
          </w:tcPr>
          <w:p w14:paraId="4BC497EE">
            <w:pPr>
              <w:pStyle w:val="6"/>
              <w:spacing w:before="33" w:line="221" w:lineRule="auto"/>
              <w:ind w:left="203" w:right="133" w:hanging="44"/>
              <w:rPr>
                <w:sz w:val="22"/>
                <w:szCs w:val="22"/>
              </w:rPr>
            </w:pPr>
            <w:r>
              <w:rPr>
                <w:spacing w:val="-6"/>
                <w:sz w:val="22"/>
                <w:szCs w:val="22"/>
              </w:rPr>
              <w:t>间二甲苯</w:t>
            </w:r>
            <w:r>
              <w:rPr>
                <w:rFonts w:ascii="Times New Roman" w:hAnsi="Times New Roman" w:eastAsia="Times New Roman" w:cs="Times New Roman"/>
                <w:spacing w:val="-6"/>
                <w:sz w:val="22"/>
                <w:szCs w:val="22"/>
              </w:rPr>
              <w:t>+</w:t>
            </w:r>
            <w:r>
              <w:rPr>
                <w:spacing w:val="-2"/>
                <w:sz w:val="22"/>
                <w:szCs w:val="22"/>
              </w:rPr>
              <w:t>对二甲苯</w:t>
            </w:r>
          </w:p>
        </w:tc>
        <w:tc>
          <w:tcPr>
            <w:tcW w:w="1215" w:type="dxa"/>
            <w:vAlign w:val="top"/>
          </w:tcPr>
          <w:p w14:paraId="73BAB452">
            <w:pPr>
              <w:pStyle w:val="6"/>
              <w:spacing w:before="175" w:line="219" w:lineRule="auto"/>
              <w:ind w:left="173"/>
              <w:rPr>
                <w:sz w:val="22"/>
                <w:szCs w:val="22"/>
              </w:rPr>
            </w:pPr>
            <w:r>
              <w:rPr>
                <w:spacing w:val="-2"/>
                <w:sz w:val="22"/>
                <w:szCs w:val="22"/>
              </w:rPr>
              <w:t>邻二甲苯</w:t>
            </w:r>
          </w:p>
        </w:tc>
        <w:tc>
          <w:tcPr>
            <w:tcW w:w="1334" w:type="dxa"/>
            <w:vAlign w:val="top"/>
          </w:tcPr>
          <w:p w14:paraId="6BCC5543">
            <w:pPr>
              <w:pStyle w:val="6"/>
              <w:spacing w:before="175" w:line="219" w:lineRule="auto"/>
              <w:ind w:left="346"/>
              <w:rPr>
                <w:sz w:val="22"/>
                <w:szCs w:val="22"/>
              </w:rPr>
            </w:pPr>
            <w:r>
              <w:rPr>
                <w:spacing w:val="-3"/>
                <w:sz w:val="22"/>
                <w:szCs w:val="22"/>
              </w:rPr>
              <w:t>硝基苯</w:t>
            </w:r>
          </w:p>
        </w:tc>
        <w:tc>
          <w:tcPr>
            <w:tcW w:w="1190" w:type="dxa"/>
            <w:vAlign w:val="top"/>
          </w:tcPr>
          <w:p w14:paraId="42881E36">
            <w:pPr>
              <w:pStyle w:val="6"/>
              <w:spacing w:before="175" w:line="219" w:lineRule="auto"/>
              <w:ind w:left="386"/>
              <w:rPr>
                <w:sz w:val="22"/>
                <w:szCs w:val="22"/>
              </w:rPr>
            </w:pPr>
            <w:r>
              <w:rPr>
                <w:spacing w:val="-5"/>
                <w:sz w:val="22"/>
                <w:szCs w:val="22"/>
              </w:rPr>
              <w:t>苯胺</w:t>
            </w:r>
          </w:p>
        </w:tc>
        <w:tc>
          <w:tcPr>
            <w:tcW w:w="1060" w:type="dxa"/>
            <w:vAlign w:val="top"/>
          </w:tcPr>
          <w:p w14:paraId="47AE8EF5">
            <w:pPr>
              <w:pStyle w:val="6"/>
              <w:spacing w:before="174" w:line="221" w:lineRule="auto"/>
              <w:ind w:left="430"/>
              <w:rPr>
                <w:sz w:val="22"/>
                <w:szCs w:val="22"/>
              </w:rPr>
            </w:pPr>
            <w:r>
              <w:rPr>
                <w:sz w:val="22"/>
                <w:szCs w:val="22"/>
              </w:rPr>
              <w:t>萘</w:t>
            </w:r>
          </w:p>
        </w:tc>
        <w:tc>
          <w:tcPr>
            <w:tcW w:w="116" w:type="dxa"/>
            <w:tcBorders>
              <w:top w:val="nil"/>
              <w:bottom w:val="nil"/>
            </w:tcBorders>
            <w:vAlign w:val="top"/>
          </w:tcPr>
          <w:p w14:paraId="507727C2">
            <w:pPr>
              <w:rPr>
                <w:rFonts w:ascii="Arial"/>
                <w:sz w:val="21"/>
              </w:rPr>
            </w:pPr>
          </w:p>
        </w:tc>
      </w:tr>
      <w:tr w14:paraId="3F6BF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dxa"/>
            <w:vMerge w:val="continue"/>
            <w:tcBorders>
              <w:top w:val="nil"/>
              <w:bottom w:val="nil"/>
            </w:tcBorders>
            <w:textDirection w:val="tbRlV"/>
            <w:vAlign w:val="top"/>
          </w:tcPr>
          <w:p w14:paraId="36AEF193">
            <w:pPr>
              <w:rPr>
                <w:rFonts w:ascii="Arial"/>
                <w:sz w:val="21"/>
              </w:rPr>
            </w:pPr>
          </w:p>
        </w:tc>
        <w:tc>
          <w:tcPr>
            <w:tcW w:w="110" w:type="dxa"/>
            <w:tcBorders>
              <w:top w:val="nil"/>
              <w:bottom w:val="nil"/>
            </w:tcBorders>
            <w:vAlign w:val="top"/>
          </w:tcPr>
          <w:p w14:paraId="17E78DCE">
            <w:pPr>
              <w:rPr>
                <w:rFonts w:ascii="Arial"/>
                <w:sz w:val="21"/>
              </w:rPr>
            </w:pPr>
          </w:p>
        </w:tc>
        <w:tc>
          <w:tcPr>
            <w:tcW w:w="939" w:type="dxa"/>
            <w:vAlign w:val="top"/>
          </w:tcPr>
          <w:p w14:paraId="28E30EDF">
            <w:pPr>
              <w:spacing w:before="95" w:line="196" w:lineRule="auto"/>
              <w:ind w:left="383"/>
              <w:rPr>
                <w:rFonts w:ascii="Times New Roman" w:hAnsi="Times New Roman" w:eastAsia="Times New Roman" w:cs="Times New Roman"/>
                <w:sz w:val="14"/>
                <w:szCs w:val="14"/>
              </w:rPr>
            </w:pPr>
            <w:r>
              <w:rPr>
                <w:rFonts w:ascii="Times New Roman" w:hAnsi="Times New Roman" w:eastAsia="Times New Roman" w:cs="Times New Roman"/>
                <w:spacing w:val="-14"/>
                <w:sz w:val="22"/>
                <w:szCs w:val="22"/>
              </w:rPr>
              <w:t>S</w:t>
            </w:r>
            <w:r>
              <w:rPr>
                <w:rFonts w:ascii="Times New Roman" w:hAnsi="Times New Roman" w:eastAsia="Times New Roman" w:cs="Times New Roman"/>
                <w:position w:val="-1"/>
                <w:sz w:val="14"/>
                <w:szCs w:val="14"/>
              </w:rPr>
              <w:t>1</w:t>
            </w:r>
          </w:p>
        </w:tc>
        <w:tc>
          <w:tcPr>
            <w:tcW w:w="1153" w:type="dxa"/>
            <w:vAlign w:val="top"/>
          </w:tcPr>
          <w:p w14:paraId="6AC70C70">
            <w:pPr>
              <w:spacing w:before="99" w:line="186" w:lineRule="auto"/>
              <w:ind w:left="41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134" w:type="dxa"/>
            <w:vAlign w:val="top"/>
          </w:tcPr>
          <w:p w14:paraId="37215DC0">
            <w:pPr>
              <w:spacing w:before="99" w:line="186" w:lineRule="auto"/>
              <w:ind w:left="40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986" w:type="dxa"/>
            <w:vAlign w:val="top"/>
          </w:tcPr>
          <w:p w14:paraId="4E32634A">
            <w:pPr>
              <w:spacing w:before="99" w:line="186" w:lineRule="auto"/>
              <w:ind w:left="32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985" w:type="dxa"/>
            <w:vAlign w:val="top"/>
          </w:tcPr>
          <w:p w14:paraId="2D08CD9D">
            <w:pPr>
              <w:spacing w:before="99" w:line="186" w:lineRule="auto"/>
              <w:ind w:left="32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102" w:type="dxa"/>
            <w:vAlign w:val="top"/>
          </w:tcPr>
          <w:p w14:paraId="524D5EDB">
            <w:pPr>
              <w:spacing w:before="99" w:line="186" w:lineRule="auto"/>
              <w:ind w:left="38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275" w:type="dxa"/>
            <w:vAlign w:val="top"/>
          </w:tcPr>
          <w:p w14:paraId="1816413B">
            <w:pPr>
              <w:spacing w:before="99" w:line="186" w:lineRule="auto"/>
              <w:ind w:left="47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215" w:type="dxa"/>
            <w:vAlign w:val="top"/>
          </w:tcPr>
          <w:p w14:paraId="2FDA4038">
            <w:pPr>
              <w:spacing w:before="99" w:line="186" w:lineRule="auto"/>
              <w:ind w:left="44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334" w:type="dxa"/>
            <w:vAlign w:val="top"/>
          </w:tcPr>
          <w:p w14:paraId="031667F6">
            <w:pPr>
              <w:spacing w:before="99" w:line="186" w:lineRule="auto"/>
              <w:ind w:left="50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190" w:type="dxa"/>
            <w:vAlign w:val="top"/>
          </w:tcPr>
          <w:p w14:paraId="26565546">
            <w:pPr>
              <w:spacing w:before="99" w:line="186" w:lineRule="auto"/>
              <w:ind w:left="43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060" w:type="dxa"/>
            <w:vAlign w:val="top"/>
          </w:tcPr>
          <w:p w14:paraId="26FFFC16">
            <w:pPr>
              <w:spacing w:before="99" w:line="186" w:lineRule="auto"/>
              <w:ind w:left="37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16" w:type="dxa"/>
            <w:tcBorders>
              <w:top w:val="nil"/>
              <w:bottom w:val="nil"/>
            </w:tcBorders>
            <w:vAlign w:val="top"/>
          </w:tcPr>
          <w:p w14:paraId="286D8765">
            <w:pPr>
              <w:rPr>
                <w:rFonts w:ascii="Arial"/>
                <w:sz w:val="21"/>
              </w:rPr>
            </w:pPr>
          </w:p>
        </w:tc>
      </w:tr>
      <w:tr w14:paraId="3FB0B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dxa"/>
            <w:vMerge w:val="continue"/>
            <w:tcBorders>
              <w:top w:val="nil"/>
              <w:bottom w:val="nil"/>
            </w:tcBorders>
            <w:textDirection w:val="tbRlV"/>
            <w:vAlign w:val="top"/>
          </w:tcPr>
          <w:p w14:paraId="25F80E0C">
            <w:pPr>
              <w:rPr>
                <w:rFonts w:ascii="Arial"/>
                <w:sz w:val="21"/>
              </w:rPr>
            </w:pPr>
          </w:p>
        </w:tc>
        <w:tc>
          <w:tcPr>
            <w:tcW w:w="110" w:type="dxa"/>
            <w:tcBorders>
              <w:top w:val="nil"/>
              <w:bottom w:val="nil"/>
            </w:tcBorders>
            <w:vAlign w:val="top"/>
          </w:tcPr>
          <w:p w14:paraId="3436C1AC">
            <w:pPr>
              <w:rPr>
                <w:rFonts w:ascii="Arial"/>
                <w:sz w:val="21"/>
              </w:rPr>
            </w:pPr>
          </w:p>
        </w:tc>
        <w:tc>
          <w:tcPr>
            <w:tcW w:w="939" w:type="dxa"/>
            <w:vAlign w:val="top"/>
          </w:tcPr>
          <w:p w14:paraId="43A6B617">
            <w:pPr>
              <w:spacing w:before="92" w:line="193" w:lineRule="auto"/>
              <w:ind w:left="40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Ii</w:t>
            </w:r>
          </w:p>
        </w:tc>
        <w:tc>
          <w:tcPr>
            <w:tcW w:w="1153" w:type="dxa"/>
            <w:vAlign w:val="top"/>
          </w:tcPr>
          <w:p w14:paraId="0507368B">
            <w:pPr>
              <w:spacing w:before="92" w:line="193" w:lineRule="auto"/>
              <w:ind w:left="54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4" w:type="dxa"/>
            <w:vAlign w:val="top"/>
          </w:tcPr>
          <w:p w14:paraId="2860EE71">
            <w:pPr>
              <w:spacing w:before="92" w:line="193" w:lineRule="auto"/>
              <w:ind w:left="53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86" w:type="dxa"/>
            <w:vAlign w:val="top"/>
          </w:tcPr>
          <w:p w14:paraId="6B82A883">
            <w:pPr>
              <w:spacing w:before="92" w:line="193" w:lineRule="auto"/>
              <w:ind w:left="45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85" w:type="dxa"/>
            <w:vAlign w:val="top"/>
          </w:tcPr>
          <w:p w14:paraId="1EF89709">
            <w:pPr>
              <w:spacing w:before="92" w:line="193" w:lineRule="auto"/>
              <w:ind w:left="45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02" w:type="dxa"/>
            <w:vAlign w:val="top"/>
          </w:tcPr>
          <w:p w14:paraId="4135AD81">
            <w:pPr>
              <w:spacing w:before="92" w:line="193" w:lineRule="auto"/>
              <w:ind w:left="51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75" w:type="dxa"/>
            <w:vAlign w:val="top"/>
          </w:tcPr>
          <w:p w14:paraId="7B9519D1">
            <w:pPr>
              <w:spacing w:before="92" w:line="193" w:lineRule="auto"/>
              <w:ind w:left="60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15" w:type="dxa"/>
            <w:vAlign w:val="top"/>
          </w:tcPr>
          <w:p w14:paraId="1E814BCE">
            <w:pPr>
              <w:spacing w:before="92" w:line="193" w:lineRule="auto"/>
              <w:ind w:left="57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34" w:type="dxa"/>
            <w:vAlign w:val="top"/>
          </w:tcPr>
          <w:p w14:paraId="66C88A9C">
            <w:pPr>
              <w:spacing w:before="92" w:line="193" w:lineRule="auto"/>
              <w:ind w:left="63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90" w:type="dxa"/>
            <w:vAlign w:val="top"/>
          </w:tcPr>
          <w:p w14:paraId="0FEB59E7">
            <w:pPr>
              <w:spacing w:before="92" w:line="193" w:lineRule="auto"/>
              <w:ind w:left="56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60" w:type="dxa"/>
            <w:vAlign w:val="top"/>
          </w:tcPr>
          <w:p w14:paraId="779E52A1">
            <w:pPr>
              <w:spacing w:before="92" w:line="193" w:lineRule="auto"/>
              <w:ind w:left="5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6" w:type="dxa"/>
            <w:tcBorders>
              <w:top w:val="nil"/>
              <w:bottom w:val="nil"/>
            </w:tcBorders>
            <w:vAlign w:val="top"/>
          </w:tcPr>
          <w:p w14:paraId="04248A40">
            <w:pPr>
              <w:rPr>
                <w:rFonts w:ascii="Arial"/>
                <w:sz w:val="21"/>
              </w:rPr>
            </w:pPr>
          </w:p>
        </w:tc>
      </w:tr>
      <w:tr w14:paraId="7C6BC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dxa"/>
            <w:vMerge w:val="continue"/>
            <w:tcBorders>
              <w:top w:val="nil"/>
              <w:bottom w:val="nil"/>
            </w:tcBorders>
            <w:textDirection w:val="tbRlV"/>
            <w:vAlign w:val="top"/>
          </w:tcPr>
          <w:p w14:paraId="1EEB526C">
            <w:pPr>
              <w:rPr>
                <w:rFonts w:ascii="Arial"/>
                <w:sz w:val="21"/>
              </w:rPr>
            </w:pPr>
          </w:p>
        </w:tc>
        <w:tc>
          <w:tcPr>
            <w:tcW w:w="110" w:type="dxa"/>
            <w:tcBorders>
              <w:top w:val="nil"/>
              <w:bottom w:val="nil"/>
            </w:tcBorders>
            <w:vAlign w:val="top"/>
          </w:tcPr>
          <w:p w14:paraId="14FBBF3C">
            <w:pPr>
              <w:rPr>
                <w:rFonts w:ascii="Arial"/>
                <w:sz w:val="21"/>
              </w:rPr>
            </w:pPr>
          </w:p>
        </w:tc>
        <w:tc>
          <w:tcPr>
            <w:tcW w:w="939" w:type="dxa"/>
            <w:vAlign w:val="top"/>
          </w:tcPr>
          <w:p w14:paraId="1F56CB82">
            <w:pPr>
              <w:pStyle w:val="6"/>
              <w:spacing w:before="59" w:line="220" w:lineRule="auto"/>
              <w:ind w:left="144"/>
              <w:rPr>
                <w:sz w:val="22"/>
                <w:szCs w:val="22"/>
              </w:rPr>
            </w:pPr>
            <w:r>
              <w:rPr>
                <w:spacing w:val="-3"/>
                <w:sz w:val="22"/>
                <w:szCs w:val="22"/>
              </w:rPr>
              <w:t>标准值</w:t>
            </w:r>
          </w:p>
        </w:tc>
        <w:tc>
          <w:tcPr>
            <w:tcW w:w="1153" w:type="dxa"/>
            <w:vAlign w:val="top"/>
          </w:tcPr>
          <w:p w14:paraId="266D2948">
            <w:pPr>
              <w:spacing w:before="97" w:line="189" w:lineRule="auto"/>
              <w:ind w:left="41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560</w:t>
            </w:r>
          </w:p>
        </w:tc>
        <w:tc>
          <w:tcPr>
            <w:tcW w:w="1134" w:type="dxa"/>
            <w:vAlign w:val="top"/>
          </w:tcPr>
          <w:p w14:paraId="767F8B2F">
            <w:pPr>
              <w:spacing w:before="97" w:line="189" w:lineRule="auto"/>
              <w:ind w:left="45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986" w:type="dxa"/>
            <w:vAlign w:val="top"/>
          </w:tcPr>
          <w:p w14:paraId="27BDED81">
            <w:pPr>
              <w:spacing w:before="97" w:line="189" w:lineRule="auto"/>
              <w:ind w:left="38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28</w:t>
            </w:r>
          </w:p>
        </w:tc>
        <w:tc>
          <w:tcPr>
            <w:tcW w:w="985" w:type="dxa"/>
            <w:vAlign w:val="top"/>
          </w:tcPr>
          <w:p w14:paraId="3D1E792A">
            <w:pPr>
              <w:spacing w:before="97"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1290</w:t>
            </w:r>
          </w:p>
        </w:tc>
        <w:tc>
          <w:tcPr>
            <w:tcW w:w="1102" w:type="dxa"/>
            <w:vAlign w:val="top"/>
          </w:tcPr>
          <w:p w14:paraId="6E0CED12">
            <w:pPr>
              <w:spacing w:before="97" w:line="189" w:lineRule="auto"/>
              <w:ind w:left="353"/>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1200</w:t>
            </w:r>
          </w:p>
        </w:tc>
        <w:tc>
          <w:tcPr>
            <w:tcW w:w="1275" w:type="dxa"/>
            <w:vAlign w:val="top"/>
          </w:tcPr>
          <w:p w14:paraId="43393892">
            <w:pPr>
              <w:spacing w:before="97" w:line="189" w:lineRule="auto"/>
              <w:ind w:left="479"/>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570</w:t>
            </w:r>
          </w:p>
        </w:tc>
        <w:tc>
          <w:tcPr>
            <w:tcW w:w="1215" w:type="dxa"/>
            <w:vAlign w:val="top"/>
          </w:tcPr>
          <w:p w14:paraId="5C8FA9D2">
            <w:pPr>
              <w:spacing w:before="97" w:line="189" w:lineRule="auto"/>
              <w:ind w:left="44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640</w:t>
            </w:r>
          </w:p>
        </w:tc>
        <w:tc>
          <w:tcPr>
            <w:tcW w:w="1334" w:type="dxa"/>
            <w:vAlign w:val="top"/>
          </w:tcPr>
          <w:p w14:paraId="4580A3E4">
            <w:pPr>
              <w:spacing w:before="97" w:line="189" w:lineRule="auto"/>
              <w:ind w:left="56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76</w:t>
            </w:r>
          </w:p>
        </w:tc>
        <w:tc>
          <w:tcPr>
            <w:tcW w:w="1190" w:type="dxa"/>
            <w:vAlign w:val="top"/>
          </w:tcPr>
          <w:p w14:paraId="516C808F">
            <w:pPr>
              <w:spacing w:before="97" w:line="189" w:lineRule="auto"/>
              <w:ind w:left="43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260</w:t>
            </w:r>
          </w:p>
        </w:tc>
        <w:tc>
          <w:tcPr>
            <w:tcW w:w="1060" w:type="dxa"/>
            <w:vAlign w:val="top"/>
          </w:tcPr>
          <w:p w14:paraId="4A8C6CE9">
            <w:pPr>
              <w:spacing w:before="97" w:line="189" w:lineRule="auto"/>
              <w:ind w:left="42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70</w:t>
            </w:r>
          </w:p>
        </w:tc>
        <w:tc>
          <w:tcPr>
            <w:tcW w:w="116" w:type="dxa"/>
            <w:tcBorders>
              <w:top w:val="nil"/>
              <w:bottom w:val="nil"/>
            </w:tcBorders>
            <w:vAlign w:val="top"/>
          </w:tcPr>
          <w:p w14:paraId="2ABD4E5F">
            <w:pPr>
              <w:rPr>
                <w:rFonts w:ascii="Arial"/>
                <w:sz w:val="21"/>
              </w:rPr>
            </w:pPr>
          </w:p>
        </w:tc>
      </w:tr>
      <w:tr w14:paraId="3384B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33" w:type="dxa"/>
            <w:vMerge w:val="continue"/>
            <w:tcBorders>
              <w:top w:val="nil"/>
              <w:bottom w:val="nil"/>
            </w:tcBorders>
            <w:textDirection w:val="tbRlV"/>
            <w:vAlign w:val="top"/>
          </w:tcPr>
          <w:p w14:paraId="01120F00">
            <w:pPr>
              <w:rPr>
                <w:rFonts w:ascii="Arial"/>
                <w:sz w:val="21"/>
              </w:rPr>
            </w:pPr>
          </w:p>
        </w:tc>
        <w:tc>
          <w:tcPr>
            <w:tcW w:w="110" w:type="dxa"/>
            <w:tcBorders>
              <w:top w:val="nil"/>
              <w:bottom w:val="nil"/>
            </w:tcBorders>
            <w:vAlign w:val="top"/>
          </w:tcPr>
          <w:p w14:paraId="088839F7">
            <w:pPr>
              <w:rPr>
                <w:rFonts w:ascii="Arial"/>
                <w:sz w:val="21"/>
              </w:rPr>
            </w:pPr>
          </w:p>
        </w:tc>
        <w:tc>
          <w:tcPr>
            <w:tcW w:w="939" w:type="dxa"/>
            <w:vAlign w:val="top"/>
          </w:tcPr>
          <w:p w14:paraId="432AB5F1">
            <w:pPr>
              <w:pStyle w:val="6"/>
              <w:spacing w:before="175" w:line="221" w:lineRule="auto"/>
              <w:ind w:left="257"/>
              <w:rPr>
                <w:sz w:val="22"/>
                <w:szCs w:val="22"/>
              </w:rPr>
            </w:pPr>
            <w:r>
              <w:rPr>
                <w:spacing w:val="-6"/>
                <w:sz w:val="22"/>
                <w:szCs w:val="22"/>
              </w:rPr>
              <w:t>项目</w:t>
            </w:r>
          </w:p>
        </w:tc>
        <w:tc>
          <w:tcPr>
            <w:tcW w:w="1153" w:type="dxa"/>
            <w:vAlign w:val="top"/>
          </w:tcPr>
          <w:p w14:paraId="08DF39DE">
            <w:pPr>
              <w:pStyle w:val="6"/>
              <w:spacing w:before="174" w:line="222" w:lineRule="auto"/>
              <w:ind w:left="265"/>
              <w:rPr>
                <w:sz w:val="22"/>
                <w:szCs w:val="22"/>
              </w:rPr>
            </w:pPr>
            <w:r>
              <w:rPr>
                <w:rFonts w:ascii="Times New Roman" w:hAnsi="Times New Roman" w:eastAsia="Times New Roman" w:cs="Times New Roman"/>
                <w:spacing w:val="-1"/>
                <w:sz w:val="22"/>
                <w:szCs w:val="22"/>
              </w:rPr>
              <w:t>2-</w:t>
            </w:r>
            <w:r>
              <w:rPr>
                <w:spacing w:val="-1"/>
                <w:sz w:val="22"/>
                <w:szCs w:val="22"/>
              </w:rPr>
              <w:t>氯酚</w:t>
            </w:r>
          </w:p>
        </w:tc>
        <w:tc>
          <w:tcPr>
            <w:tcW w:w="1134" w:type="dxa"/>
            <w:vAlign w:val="top"/>
          </w:tcPr>
          <w:p w14:paraId="756135BD">
            <w:pPr>
              <w:pStyle w:val="6"/>
              <w:spacing w:before="175" w:line="213" w:lineRule="auto"/>
              <w:ind w:left="122"/>
              <w:rPr>
                <w:sz w:val="22"/>
                <w:szCs w:val="22"/>
              </w:rPr>
            </w:pPr>
            <w:r>
              <w:rPr>
                <w:spacing w:val="-2"/>
                <w:sz w:val="22"/>
                <w:szCs w:val="22"/>
              </w:rPr>
              <w:t>苯并</w:t>
            </w:r>
            <w:r>
              <w:rPr>
                <w:rFonts w:ascii="Times New Roman" w:hAnsi="Times New Roman" w:eastAsia="Times New Roman" w:cs="Times New Roman"/>
                <w:spacing w:val="-2"/>
                <w:sz w:val="22"/>
                <w:szCs w:val="22"/>
              </w:rPr>
              <w:t>[a]</w:t>
            </w:r>
            <w:r>
              <w:rPr>
                <w:spacing w:val="-2"/>
                <w:sz w:val="22"/>
                <w:szCs w:val="22"/>
              </w:rPr>
              <w:t>蒽</w:t>
            </w:r>
          </w:p>
        </w:tc>
        <w:tc>
          <w:tcPr>
            <w:tcW w:w="986" w:type="dxa"/>
            <w:vAlign w:val="top"/>
          </w:tcPr>
          <w:p w14:paraId="67113B3E">
            <w:pPr>
              <w:pStyle w:val="6"/>
              <w:spacing w:before="33" w:line="221" w:lineRule="auto"/>
              <w:ind w:left="389" w:right="146" w:hanging="230"/>
              <w:rPr>
                <w:sz w:val="22"/>
                <w:szCs w:val="22"/>
              </w:rPr>
            </w:pPr>
            <w:r>
              <w:rPr>
                <w:spacing w:val="-2"/>
                <w:sz w:val="22"/>
                <w:szCs w:val="22"/>
              </w:rPr>
              <w:t>苯并</w:t>
            </w:r>
            <w:r>
              <w:rPr>
                <w:rFonts w:ascii="Times New Roman" w:hAnsi="Times New Roman" w:eastAsia="Times New Roman" w:cs="Times New Roman"/>
                <w:spacing w:val="-2"/>
                <w:sz w:val="22"/>
                <w:szCs w:val="22"/>
              </w:rPr>
              <w:t>[a]</w:t>
            </w:r>
            <w:r>
              <w:rPr>
                <w:sz w:val="22"/>
                <w:szCs w:val="22"/>
              </w:rPr>
              <w:t>芘</w:t>
            </w:r>
          </w:p>
        </w:tc>
        <w:tc>
          <w:tcPr>
            <w:tcW w:w="985" w:type="dxa"/>
            <w:vAlign w:val="top"/>
          </w:tcPr>
          <w:p w14:paraId="2D724B80">
            <w:pPr>
              <w:pStyle w:val="6"/>
              <w:spacing w:before="33" w:line="221" w:lineRule="auto"/>
              <w:ind w:left="283" w:right="140" w:hanging="130"/>
              <w:rPr>
                <w:sz w:val="22"/>
                <w:szCs w:val="22"/>
              </w:rPr>
            </w:pPr>
            <w:r>
              <w:rPr>
                <w:spacing w:val="-3"/>
                <w:sz w:val="22"/>
                <w:szCs w:val="22"/>
              </w:rPr>
              <w:t>苯并</w:t>
            </w:r>
            <w:r>
              <w:rPr>
                <w:rFonts w:ascii="Times New Roman" w:hAnsi="Times New Roman" w:eastAsia="Times New Roman" w:cs="Times New Roman"/>
                <w:spacing w:val="-3"/>
                <w:sz w:val="22"/>
                <w:szCs w:val="22"/>
              </w:rPr>
              <w:t>[b]</w:t>
            </w:r>
            <w:r>
              <w:rPr>
                <w:spacing w:val="-7"/>
                <w:sz w:val="22"/>
                <w:szCs w:val="22"/>
              </w:rPr>
              <w:t>荧蒽</w:t>
            </w:r>
          </w:p>
        </w:tc>
        <w:tc>
          <w:tcPr>
            <w:tcW w:w="1102" w:type="dxa"/>
            <w:vAlign w:val="top"/>
          </w:tcPr>
          <w:p w14:paraId="7B5495F9">
            <w:pPr>
              <w:pStyle w:val="6"/>
              <w:spacing w:before="33" w:line="221" w:lineRule="auto"/>
              <w:ind w:left="341" w:right="203" w:hanging="132"/>
              <w:rPr>
                <w:sz w:val="22"/>
                <w:szCs w:val="22"/>
              </w:rPr>
            </w:pPr>
            <w:r>
              <w:rPr>
                <w:spacing w:val="-3"/>
                <w:sz w:val="22"/>
                <w:szCs w:val="22"/>
              </w:rPr>
              <w:t>苯并</w:t>
            </w:r>
            <w:r>
              <w:rPr>
                <w:rFonts w:ascii="Times New Roman" w:hAnsi="Times New Roman" w:eastAsia="Times New Roman" w:cs="Times New Roman"/>
                <w:spacing w:val="-3"/>
                <w:sz w:val="22"/>
                <w:szCs w:val="22"/>
              </w:rPr>
              <w:t>[k]</w:t>
            </w:r>
            <w:r>
              <w:rPr>
                <w:spacing w:val="-7"/>
                <w:sz w:val="22"/>
                <w:szCs w:val="22"/>
              </w:rPr>
              <w:t>荧蒽</w:t>
            </w:r>
          </w:p>
        </w:tc>
        <w:tc>
          <w:tcPr>
            <w:tcW w:w="1275" w:type="dxa"/>
            <w:vAlign w:val="top"/>
          </w:tcPr>
          <w:p w14:paraId="3D2291C7">
            <w:pPr>
              <w:pStyle w:val="6"/>
              <w:spacing w:before="174" w:line="222" w:lineRule="auto"/>
              <w:ind w:left="531"/>
              <w:rPr>
                <w:sz w:val="22"/>
                <w:szCs w:val="22"/>
              </w:rPr>
            </w:pPr>
            <w:r>
              <w:rPr>
                <w:sz w:val="22"/>
                <w:szCs w:val="22"/>
              </w:rPr>
              <w:t>䓛</w:t>
            </w:r>
          </w:p>
        </w:tc>
        <w:tc>
          <w:tcPr>
            <w:tcW w:w="1215" w:type="dxa"/>
            <w:vAlign w:val="top"/>
          </w:tcPr>
          <w:p w14:paraId="638E042B">
            <w:pPr>
              <w:pStyle w:val="6"/>
              <w:spacing w:before="33" w:line="221" w:lineRule="auto"/>
              <w:ind w:left="308" w:right="273" w:hanging="20"/>
              <w:rPr>
                <w:sz w:val="22"/>
                <w:szCs w:val="22"/>
              </w:rPr>
            </w:pPr>
            <w:r>
              <w:rPr>
                <w:spacing w:val="-4"/>
                <w:sz w:val="22"/>
                <w:szCs w:val="22"/>
              </w:rPr>
              <w:t>二苯并</w:t>
            </w:r>
            <w:r>
              <w:rPr>
                <w:rFonts w:ascii="Times New Roman" w:hAnsi="Times New Roman" w:eastAsia="Times New Roman" w:cs="Times New Roman"/>
                <w:spacing w:val="-3"/>
                <w:sz w:val="22"/>
                <w:szCs w:val="22"/>
              </w:rPr>
              <w:t>[a,h]</w:t>
            </w:r>
            <w:r>
              <w:rPr>
                <w:spacing w:val="-3"/>
                <w:sz w:val="22"/>
                <w:szCs w:val="22"/>
              </w:rPr>
              <w:t>蒽</w:t>
            </w:r>
          </w:p>
        </w:tc>
        <w:tc>
          <w:tcPr>
            <w:tcW w:w="1334" w:type="dxa"/>
            <w:vAlign w:val="top"/>
          </w:tcPr>
          <w:p w14:paraId="129CEDB6">
            <w:pPr>
              <w:pStyle w:val="6"/>
              <w:spacing w:before="33" w:line="220" w:lineRule="auto"/>
              <w:ind w:left="459"/>
              <w:rPr>
                <w:sz w:val="22"/>
                <w:szCs w:val="22"/>
              </w:rPr>
            </w:pPr>
            <w:r>
              <w:rPr>
                <w:spacing w:val="-6"/>
                <w:sz w:val="22"/>
                <w:szCs w:val="22"/>
              </w:rPr>
              <w:t>茚并</w:t>
            </w:r>
          </w:p>
          <w:p w14:paraId="33D655B7">
            <w:pPr>
              <w:pStyle w:val="6"/>
              <w:spacing w:before="23" w:line="202" w:lineRule="auto"/>
              <w:ind w:left="140"/>
              <w:rPr>
                <w:sz w:val="22"/>
                <w:szCs w:val="22"/>
              </w:rPr>
            </w:pPr>
            <w:r>
              <w:rPr>
                <w:rFonts w:ascii="Times New Roman" w:hAnsi="Times New Roman" w:eastAsia="Times New Roman" w:cs="Times New Roman"/>
                <w:spacing w:val="-2"/>
                <w:sz w:val="22"/>
                <w:szCs w:val="22"/>
              </w:rPr>
              <w:t>[1,2,3-cd]</w:t>
            </w:r>
            <w:r>
              <w:rPr>
                <w:spacing w:val="-2"/>
                <w:sz w:val="22"/>
                <w:szCs w:val="22"/>
              </w:rPr>
              <w:t>芘</w:t>
            </w:r>
          </w:p>
        </w:tc>
        <w:tc>
          <w:tcPr>
            <w:tcW w:w="1190" w:type="dxa"/>
            <w:vAlign w:val="top"/>
          </w:tcPr>
          <w:p w14:paraId="4C0FFBB7">
            <w:pPr>
              <w:spacing w:before="209" w:line="193" w:lineRule="auto"/>
              <w:ind w:left="56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60" w:type="dxa"/>
            <w:vAlign w:val="top"/>
          </w:tcPr>
          <w:p w14:paraId="7B588D9F">
            <w:pPr>
              <w:spacing w:before="209" w:line="193" w:lineRule="auto"/>
              <w:ind w:left="5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6" w:type="dxa"/>
            <w:tcBorders>
              <w:top w:val="nil"/>
              <w:bottom w:val="nil"/>
            </w:tcBorders>
            <w:vAlign w:val="top"/>
          </w:tcPr>
          <w:p w14:paraId="01F359D2">
            <w:pPr>
              <w:rPr>
                <w:rFonts w:ascii="Arial"/>
                <w:sz w:val="21"/>
              </w:rPr>
            </w:pPr>
          </w:p>
        </w:tc>
      </w:tr>
      <w:tr w14:paraId="5D18F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dxa"/>
            <w:vMerge w:val="continue"/>
            <w:tcBorders>
              <w:top w:val="nil"/>
              <w:bottom w:val="nil"/>
            </w:tcBorders>
            <w:textDirection w:val="tbRlV"/>
            <w:vAlign w:val="top"/>
          </w:tcPr>
          <w:p w14:paraId="739A65B0">
            <w:pPr>
              <w:rPr>
                <w:rFonts w:ascii="Arial"/>
                <w:sz w:val="21"/>
              </w:rPr>
            </w:pPr>
          </w:p>
        </w:tc>
        <w:tc>
          <w:tcPr>
            <w:tcW w:w="110" w:type="dxa"/>
            <w:tcBorders>
              <w:top w:val="nil"/>
              <w:bottom w:val="nil"/>
            </w:tcBorders>
            <w:vAlign w:val="top"/>
          </w:tcPr>
          <w:p w14:paraId="725F77A2">
            <w:pPr>
              <w:rPr>
                <w:rFonts w:ascii="Arial"/>
                <w:sz w:val="21"/>
              </w:rPr>
            </w:pPr>
          </w:p>
        </w:tc>
        <w:tc>
          <w:tcPr>
            <w:tcW w:w="939" w:type="dxa"/>
            <w:vAlign w:val="top"/>
          </w:tcPr>
          <w:p w14:paraId="33421B40">
            <w:pPr>
              <w:spacing w:before="98" w:line="196" w:lineRule="auto"/>
              <w:ind w:left="383"/>
              <w:rPr>
                <w:rFonts w:ascii="Times New Roman" w:hAnsi="Times New Roman" w:eastAsia="Times New Roman" w:cs="Times New Roman"/>
                <w:sz w:val="14"/>
                <w:szCs w:val="14"/>
              </w:rPr>
            </w:pPr>
            <w:r>
              <w:rPr>
                <w:rFonts w:ascii="Times New Roman" w:hAnsi="Times New Roman" w:eastAsia="Times New Roman" w:cs="Times New Roman"/>
                <w:spacing w:val="-14"/>
                <w:sz w:val="22"/>
                <w:szCs w:val="22"/>
              </w:rPr>
              <w:t>S</w:t>
            </w:r>
            <w:r>
              <w:rPr>
                <w:rFonts w:ascii="Times New Roman" w:hAnsi="Times New Roman" w:eastAsia="Times New Roman" w:cs="Times New Roman"/>
                <w:position w:val="-1"/>
                <w:sz w:val="14"/>
                <w:szCs w:val="14"/>
              </w:rPr>
              <w:t>1</w:t>
            </w:r>
          </w:p>
        </w:tc>
        <w:tc>
          <w:tcPr>
            <w:tcW w:w="1153" w:type="dxa"/>
            <w:vAlign w:val="top"/>
          </w:tcPr>
          <w:p w14:paraId="61994C74">
            <w:pPr>
              <w:spacing w:before="102" w:line="186" w:lineRule="auto"/>
              <w:ind w:left="41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134" w:type="dxa"/>
            <w:vAlign w:val="top"/>
          </w:tcPr>
          <w:p w14:paraId="32ED64AC">
            <w:pPr>
              <w:spacing w:before="102" w:line="186" w:lineRule="auto"/>
              <w:ind w:left="40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986" w:type="dxa"/>
            <w:vAlign w:val="top"/>
          </w:tcPr>
          <w:p w14:paraId="2D93F7B5">
            <w:pPr>
              <w:spacing w:before="102" w:line="186" w:lineRule="auto"/>
              <w:ind w:left="32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985" w:type="dxa"/>
            <w:vAlign w:val="top"/>
          </w:tcPr>
          <w:p w14:paraId="6EE462BF">
            <w:pPr>
              <w:spacing w:before="102" w:line="186" w:lineRule="auto"/>
              <w:ind w:left="32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102" w:type="dxa"/>
            <w:vAlign w:val="top"/>
          </w:tcPr>
          <w:p w14:paraId="5FBDFC5A">
            <w:pPr>
              <w:spacing w:before="102" w:line="186" w:lineRule="auto"/>
              <w:ind w:left="38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275" w:type="dxa"/>
            <w:vAlign w:val="top"/>
          </w:tcPr>
          <w:p w14:paraId="1F1D27B9">
            <w:pPr>
              <w:spacing w:before="102" w:line="186" w:lineRule="auto"/>
              <w:ind w:left="47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215" w:type="dxa"/>
            <w:vAlign w:val="top"/>
          </w:tcPr>
          <w:p w14:paraId="1E24CFDC">
            <w:pPr>
              <w:spacing w:before="102" w:line="186" w:lineRule="auto"/>
              <w:ind w:left="44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334" w:type="dxa"/>
            <w:vAlign w:val="top"/>
          </w:tcPr>
          <w:p w14:paraId="6FC5DE97">
            <w:pPr>
              <w:spacing w:before="102" w:line="186" w:lineRule="auto"/>
              <w:ind w:left="50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ND</w:t>
            </w:r>
          </w:p>
        </w:tc>
        <w:tc>
          <w:tcPr>
            <w:tcW w:w="1190" w:type="dxa"/>
            <w:vAlign w:val="top"/>
          </w:tcPr>
          <w:p w14:paraId="79A289B4">
            <w:pPr>
              <w:spacing w:before="94" w:line="193" w:lineRule="auto"/>
              <w:ind w:left="56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60" w:type="dxa"/>
            <w:vAlign w:val="top"/>
          </w:tcPr>
          <w:p w14:paraId="31B22F5E">
            <w:pPr>
              <w:spacing w:before="94" w:line="193" w:lineRule="auto"/>
              <w:ind w:left="5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6" w:type="dxa"/>
            <w:tcBorders>
              <w:top w:val="nil"/>
              <w:bottom w:val="nil"/>
            </w:tcBorders>
            <w:vAlign w:val="top"/>
          </w:tcPr>
          <w:p w14:paraId="5D919C8E">
            <w:pPr>
              <w:rPr>
                <w:rFonts w:ascii="Arial"/>
                <w:sz w:val="21"/>
              </w:rPr>
            </w:pPr>
          </w:p>
        </w:tc>
      </w:tr>
      <w:tr w14:paraId="29943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dxa"/>
            <w:vMerge w:val="continue"/>
            <w:tcBorders>
              <w:top w:val="nil"/>
              <w:bottom w:val="nil"/>
            </w:tcBorders>
            <w:textDirection w:val="tbRlV"/>
            <w:vAlign w:val="top"/>
          </w:tcPr>
          <w:p w14:paraId="718CFF07">
            <w:pPr>
              <w:rPr>
                <w:rFonts w:ascii="Arial"/>
                <w:sz w:val="21"/>
              </w:rPr>
            </w:pPr>
          </w:p>
        </w:tc>
        <w:tc>
          <w:tcPr>
            <w:tcW w:w="110" w:type="dxa"/>
            <w:tcBorders>
              <w:top w:val="nil"/>
              <w:bottom w:val="nil"/>
            </w:tcBorders>
            <w:vAlign w:val="top"/>
          </w:tcPr>
          <w:p w14:paraId="077781DC">
            <w:pPr>
              <w:rPr>
                <w:rFonts w:ascii="Arial"/>
                <w:sz w:val="21"/>
              </w:rPr>
            </w:pPr>
          </w:p>
        </w:tc>
        <w:tc>
          <w:tcPr>
            <w:tcW w:w="939" w:type="dxa"/>
            <w:vAlign w:val="top"/>
          </w:tcPr>
          <w:p w14:paraId="422F9595">
            <w:pPr>
              <w:spacing w:before="93" w:line="193" w:lineRule="auto"/>
              <w:ind w:left="40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Ii</w:t>
            </w:r>
          </w:p>
        </w:tc>
        <w:tc>
          <w:tcPr>
            <w:tcW w:w="1153" w:type="dxa"/>
            <w:vAlign w:val="top"/>
          </w:tcPr>
          <w:p w14:paraId="48BC2CF9">
            <w:pPr>
              <w:spacing w:before="93" w:line="193" w:lineRule="auto"/>
              <w:ind w:left="54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4" w:type="dxa"/>
            <w:vAlign w:val="top"/>
          </w:tcPr>
          <w:p w14:paraId="39CF49A6">
            <w:pPr>
              <w:spacing w:before="93" w:line="193" w:lineRule="auto"/>
              <w:ind w:left="53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86" w:type="dxa"/>
            <w:vAlign w:val="top"/>
          </w:tcPr>
          <w:p w14:paraId="5B0A3A63">
            <w:pPr>
              <w:spacing w:before="93" w:line="193" w:lineRule="auto"/>
              <w:ind w:left="45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85" w:type="dxa"/>
            <w:vAlign w:val="top"/>
          </w:tcPr>
          <w:p w14:paraId="224F46E9">
            <w:pPr>
              <w:spacing w:before="93" w:line="193" w:lineRule="auto"/>
              <w:ind w:left="45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02" w:type="dxa"/>
            <w:vAlign w:val="top"/>
          </w:tcPr>
          <w:p w14:paraId="732CFF93">
            <w:pPr>
              <w:spacing w:before="93" w:line="193" w:lineRule="auto"/>
              <w:ind w:left="51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75" w:type="dxa"/>
            <w:vAlign w:val="top"/>
          </w:tcPr>
          <w:p w14:paraId="2ABBA3BC">
            <w:pPr>
              <w:spacing w:before="93" w:line="193" w:lineRule="auto"/>
              <w:ind w:left="60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15" w:type="dxa"/>
            <w:vAlign w:val="top"/>
          </w:tcPr>
          <w:p w14:paraId="37F73FF6">
            <w:pPr>
              <w:spacing w:before="93" w:line="193" w:lineRule="auto"/>
              <w:ind w:left="57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34" w:type="dxa"/>
            <w:vAlign w:val="top"/>
          </w:tcPr>
          <w:p w14:paraId="7B0B6ADF">
            <w:pPr>
              <w:spacing w:before="93" w:line="193" w:lineRule="auto"/>
              <w:ind w:left="63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90" w:type="dxa"/>
            <w:vAlign w:val="top"/>
          </w:tcPr>
          <w:p w14:paraId="6CE637D0">
            <w:pPr>
              <w:spacing w:before="93" w:line="193" w:lineRule="auto"/>
              <w:ind w:left="56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60" w:type="dxa"/>
            <w:vAlign w:val="top"/>
          </w:tcPr>
          <w:p w14:paraId="2D0B32E1">
            <w:pPr>
              <w:spacing w:before="93" w:line="193" w:lineRule="auto"/>
              <w:ind w:left="5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6" w:type="dxa"/>
            <w:tcBorders>
              <w:top w:val="nil"/>
              <w:bottom w:val="nil"/>
            </w:tcBorders>
            <w:vAlign w:val="top"/>
          </w:tcPr>
          <w:p w14:paraId="1D5EDD11">
            <w:pPr>
              <w:rPr>
                <w:rFonts w:ascii="Arial"/>
                <w:sz w:val="21"/>
              </w:rPr>
            </w:pPr>
          </w:p>
        </w:tc>
      </w:tr>
      <w:tr w14:paraId="389CA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dxa"/>
            <w:vMerge w:val="continue"/>
            <w:tcBorders>
              <w:top w:val="nil"/>
              <w:bottom w:val="nil"/>
            </w:tcBorders>
            <w:textDirection w:val="tbRlV"/>
            <w:vAlign w:val="top"/>
          </w:tcPr>
          <w:p w14:paraId="6FEDA279">
            <w:pPr>
              <w:rPr>
                <w:rFonts w:ascii="Arial"/>
                <w:sz w:val="21"/>
              </w:rPr>
            </w:pPr>
          </w:p>
        </w:tc>
        <w:tc>
          <w:tcPr>
            <w:tcW w:w="110" w:type="dxa"/>
            <w:tcBorders>
              <w:top w:val="nil"/>
              <w:bottom w:val="nil"/>
            </w:tcBorders>
            <w:vAlign w:val="top"/>
          </w:tcPr>
          <w:p w14:paraId="1AEB56F4">
            <w:pPr>
              <w:rPr>
                <w:rFonts w:ascii="Arial"/>
                <w:sz w:val="21"/>
              </w:rPr>
            </w:pPr>
          </w:p>
        </w:tc>
        <w:tc>
          <w:tcPr>
            <w:tcW w:w="939" w:type="dxa"/>
            <w:vAlign w:val="top"/>
          </w:tcPr>
          <w:p w14:paraId="3C9DF075">
            <w:pPr>
              <w:pStyle w:val="6"/>
              <w:spacing w:before="62" w:line="220" w:lineRule="auto"/>
              <w:ind w:left="144"/>
              <w:rPr>
                <w:sz w:val="22"/>
                <w:szCs w:val="22"/>
              </w:rPr>
            </w:pPr>
            <w:r>
              <w:rPr>
                <w:spacing w:val="-3"/>
                <w:sz w:val="22"/>
                <w:szCs w:val="22"/>
              </w:rPr>
              <w:t>标准值</w:t>
            </w:r>
          </w:p>
        </w:tc>
        <w:tc>
          <w:tcPr>
            <w:tcW w:w="1153" w:type="dxa"/>
            <w:vAlign w:val="top"/>
          </w:tcPr>
          <w:p w14:paraId="7D5F0B69">
            <w:pPr>
              <w:spacing w:before="97" w:line="189" w:lineRule="auto"/>
              <w:ind w:left="35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2256</w:t>
            </w:r>
          </w:p>
        </w:tc>
        <w:tc>
          <w:tcPr>
            <w:tcW w:w="1134" w:type="dxa"/>
            <w:vAlign w:val="top"/>
          </w:tcPr>
          <w:p w14:paraId="561197CD">
            <w:pPr>
              <w:spacing w:before="97" w:line="189" w:lineRule="auto"/>
              <w:ind w:left="480"/>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15</w:t>
            </w:r>
          </w:p>
        </w:tc>
        <w:tc>
          <w:tcPr>
            <w:tcW w:w="986" w:type="dxa"/>
            <w:vAlign w:val="top"/>
          </w:tcPr>
          <w:p w14:paraId="705C0E41">
            <w:pPr>
              <w:spacing w:before="97" w:line="189" w:lineRule="auto"/>
              <w:ind w:left="378"/>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1.5</w:t>
            </w:r>
          </w:p>
        </w:tc>
        <w:tc>
          <w:tcPr>
            <w:tcW w:w="985" w:type="dxa"/>
            <w:vAlign w:val="top"/>
          </w:tcPr>
          <w:p w14:paraId="22B3B93C">
            <w:pPr>
              <w:spacing w:before="97" w:line="189" w:lineRule="auto"/>
              <w:ind w:left="405"/>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15</w:t>
            </w:r>
          </w:p>
        </w:tc>
        <w:tc>
          <w:tcPr>
            <w:tcW w:w="1102" w:type="dxa"/>
            <w:vAlign w:val="top"/>
          </w:tcPr>
          <w:p w14:paraId="30CC0EA5">
            <w:pPr>
              <w:spacing w:before="97" w:line="189" w:lineRule="auto"/>
              <w:ind w:left="409"/>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151</w:t>
            </w:r>
          </w:p>
        </w:tc>
        <w:tc>
          <w:tcPr>
            <w:tcW w:w="1275" w:type="dxa"/>
            <w:vAlign w:val="top"/>
          </w:tcPr>
          <w:p w14:paraId="287AC891">
            <w:pPr>
              <w:spacing w:before="97" w:line="189" w:lineRule="auto"/>
              <w:ind w:left="439"/>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1293</w:t>
            </w:r>
          </w:p>
        </w:tc>
        <w:tc>
          <w:tcPr>
            <w:tcW w:w="1215" w:type="dxa"/>
            <w:vAlign w:val="top"/>
          </w:tcPr>
          <w:p w14:paraId="5D1CB283">
            <w:pPr>
              <w:spacing w:before="97" w:line="189" w:lineRule="auto"/>
              <w:ind w:left="494"/>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1.5</w:t>
            </w:r>
          </w:p>
        </w:tc>
        <w:tc>
          <w:tcPr>
            <w:tcW w:w="1334" w:type="dxa"/>
            <w:vAlign w:val="top"/>
          </w:tcPr>
          <w:p w14:paraId="024C2BA0">
            <w:pPr>
              <w:spacing w:before="97" w:line="189" w:lineRule="auto"/>
              <w:ind w:left="582"/>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15</w:t>
            </w:r>
          </w:p>
        </w:tc>
        <w:tc>
          <w:tcPr>
            <w:tcW w:w="1190" w:type="dxa"/>
            <w:vAlign w:val="top"/>
          </w:tcPr>
          <w:p w14:paraId="5041F452">
            <w:pPr>
              <w:spacing w:before="93" w:line="193" w:lineRule="auto"/>
              <w:ind w:left="56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60" w:type="dxa"/>
            <w:vAlign w:val="top"/>
          </w:tcPr>
          <w:p w14:paraId="7DB53040">
            <w:pPr>
              <w:spacing w:before="93" w:line="193" w:lineRule="auto"/>
              <w:ind w:left="5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6" w:type="dxa"/>
            <w:tcBorders>
              <w:top w:val="nil"/>
              <w:bottom w:val="nil"/>
            </w:tcBorders>
            <w:vAlign w:val="top"/>
          </w:tcPr>
          <w:p w14:paraId="65A9EFCF">
            <w:pPr>
              <w:rPr>
                <w:rFonts w:ascii="Arial"/>
                <w:sz w:val="21"/>
              </w:rPr>
            </w:pPr>
          </w:p>
        </w:tc>
      </w:tr>
      <w:tr w14:paraId="432D9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633" w:type="dxa"/>
            <w:vMerge w:val="continue"/>
            <w:tcBorders>
              <w:top w:val="nil"/>
            </w:tcBorders>
            <w:textDirection w:val="tbRlV"/>
            <w:vAlign w:val="top"/>
          </w:tcPr>
          <w:p w14:paraId="48F0DAA0">
            <w:pPr>
              <w:rPr>
                <w:rFonts w:ascii="Arial"/>
                <w:sz w:val="21"/>
              </w:rPr>
            </w:pPr>
          </w:p>
        </w:tc>
        <w:tc>
          <w:tcPr>
            <w:tcW w:w="12599" w:type="dxa"/>
            <w:gridSpan w:val="13"/>
            <w:vAlign w:val="top"/>
          </w:tcPr>
          <w:p w14:paraId="29957BAC">
            <w:pPr>
              <w:pStyle w:val="6"/>
              <w:spacing w:before="34" w:line="208" w:lineRule="auto"/>
              <w:ind w:left="111"/>
              <w:rPr>
                <w:sz w:val="22"/>
                <w:szCs w:val="22"/>
              </w:rPr>
            </w:pPr>
            <w:r>
              <w:rPr>
                <w:sz w:val="22"/>
                <w:szCs w:val="22"/>
              </w:rPr>
              <w:t>注：</w:t>
            </w:r>
            <w:r>
              <w:rPr>
                <w:rFonts w:ascii="Times New Roman" w:hAnsi="Times New Roman" w:eastAsia="Times New Roman" w:cs="Times New Roman"/>
                <w:sz w:val="22"/>
                <w:szCs w:val="22"/>
              </w:rPr>
              <w:t>“L”</w:t>
            </w:r>
            <w:r>
              <w:rPr>
                <w:sz w:val="22"/>
                <w:szCs w:val="22"/>
              </w:rPr>
              <w:t>表示结果低于检出限，监测结果以检出</w:t>
            </w:r>
            <w:r>
              <w:rPr>
                <w:spacing w:val="-1"/>
                <w:sz w:val="22"/>
                <w:szCs w:val="22"/>
              </w:rPr>
              <w:t>限加</w:t>
            </w:r>
            <w:r>
              <w:rPr>
                <w:rFonts w:ascii="Times New Roman" w:hAnsi="Times New Roman" w:eastAsia="Times New Roman" w:cs="Times New Roman"/>
                <w:spacing w:val="-1"/>
                <w:sz w:val="22"/>
                <w:szCs w:val="22"/>
              </w:rPr>
              <w:t>“L”</w:t>
            </w:r>
            <w:r>
              <w:rPr>
                <w:spacing w:val="-1"/>
                <w:sz w:val="22"/>
                <w:szCs w:val="22"/>
              </w:rPr>
              <w:t>标识。</w:t>
            </w:r>
          </w:p>
        </w:tc>
      </w:tr>
    </w:tbl>
    <w:p w14:paraId="707E998F">
      <w:pPr>
        <w:pStyle w:val="2"/>
        <w:rPr>
          <w:sz w:val="21"/>
        </w:rPr>
      </w:pPr>
    </w:p>
    <w:p w14:paraId="39E7B7E9">
      <w:pPr>
        <w:rPr>
          <w:sz w:val="21"/>
          <w:szCs w:val="21"/>
        </w:rPr>
        <w:sectPr>
          <w:footerReference r:id="rId64" w:type="default"/>
          <w:pgSz w:w="16840" w:h="11907"/>
          <w:pgMar w:top="400" w:right="1588" w:bottom="1007" w:left="2014" w:header="0" w:footer="769" w:gutter="0"/>
          <w:cols w:space="720" w:num="1"/>
        </w:sectPr>
      </w:pPr>
    </w:p>
    <w:p w14:paraId="55FD834F">
      <w:pPr>
        <w:spacing w:before="18"/>
      </w:pPr>
    </w:p>
    <w:p w14:paraId="1025E130">
      <w:pPr>
        <w:spacing w:before="18"/>
      </w:pPr>
    </w:p>
    <w:p w14:paraId="78A5F158">
      <w:pPr>
        <w:spacing w:before="18"/>
      </w:pPr>
    </w:p>
    <w:p w14:paraId="13CA35CF">
      <w:pPr>
        <w:spacing w:before="18"/>
      </w:pPr>
    </w:p>
    <w:p w14:paraId="73EA14E4">
      <w:pPr>
        <w:spacing w:before="18"/>
      </w:pPr>
    </w:p>
    <w:p w14:paraId="5452A34B">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5"/>
        <w:gridCol w:w="113"/>
        <w:gridCol w:w="479"/>
        <w:gridCol w:w="497"/>
        <w:gridCol w:w="1809"/>
        <w:gridCol w:w="656"/>
        <w:gridCol w:w="711"/>
        <w:gridCol w:w="674"/>
        <w:gridCol w:w="806"/>
        <w:gridCol w:w="1977"/>
        <w:gridCol w:w="430"/>
        <w:gridCol w:w="118"/>
      </w:tblGrid>
      <w:tr w14:paraId="45C73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9" w:hRule="atLeast"/>
        </w:trPr>
        <w:tc>
          <w:tcPr>
            <w:tcW w:w="795" w:type="dxa"/>
            <w:vAlign w:val="top"/>
          </w:tcPr>
          <w:p w14:paraId="0EE4A9FD">
            <w:pPr>
              <w:spacing w:line="437" w:lineRule="auto"/>
              <w:rPr>
                <w:rFonts w:ascii="Arial"/>
                <w:sz w:val="21"/>
              </w:rPr>
            </w:pPr>
          </w:p>
          <w:p w14:paraId="76AC9C96">
            <w:pPr>
              <w:pStyle w:val="6"/>
              <w:spacing w:before="81" w:line="249" w:lineRule="auto"/>
              <w:ind w:left="144" w:right="137" w:firstLine="19"/>
              <w:jc w:val="both"/>
            </w:pPr>
            <w:r>
              <w:rPr>
                <w:spacing w:val="-6"/>
              </w:rPr>
              <w:t>区域</w:t>
            </w:r>
            <w:r>
              <w:rPr>
                <w:spacing w:val="4"/>
              </w:rPr>
              <w:t>环境质量现状</w:t>
            </w:r>
          </w:p>
        </w:tc>
        <w:tc>
          <w:tcPr>
            <w:tcW w:w="8270" w:type="dxa"/>
            <w:gridSpan w:val="11"/>
            <w:vAlign w:val="top"/>
          </w:tcPr>
          <w:p w14:paraId="14B0EB04">
            <w:pPr>
              <w:pStyle w:val="6"/>
              <w:spacing w:before="152" w:line="317" w:lineRule="auto"/>
              <w:ind w:left="112" w:right="20" w:firstLine="552"/>
              <w:jc w:val="both"/>
            </w:pPr>
            <w:r>
              <w:t>由表</w:t>
            </w:r>
            <w:r>
              <w:rPr>
                <w:spacing w:val="-47"/>
              </w:rPr>
              <w:t xml:space="preserve"> </w:t>
            </w:r>
            <w:r>
              <w:rPr>
                <w:rFonts w:ascii="Times New Roman" w:hAnsi="Times New Roman" w:eastAsia="Times New Roman" w:cs="Times New Roman"/>
              </w:rPr>
              <w:t>3.1-</w:t>
            </w:r>
            <w:r>
              <w:rPr>
                <w:rFonts w:ascii="Times New Roman" w:hAnsi="Times New Roman" w:eastAsia="Times New Roman" w:cs="Times New Roman"/>
                <w:spacing w:val="-32"/>
              </w:rPr>
              <w:t xml:space="preserve"> </w:t>
            </w:r>
            <w:r>
              <w:rPr>
                <w:rFonts w:ascii="Times New Roman" w:hAnsi="Times New Roman" w:eastAsia="Times New Roman" w:cs="Times New Roman"/>
              </w:rPr>
              <w:t>10</w:t>
            </w:r>
            <w:r>
              <w:rPr>
                <w:rFonts w:ascii="Times New Roman" w:hAnsi="Times New Roman" w:eastAsia="Times New Roman" w:cs="Times New Roman"/>
                <w:spacing w:val="17"/>
                <w:w w:val="101"/>
              </w:rPr>
              <w:t xml:space="preserve"> </w:t>
            </w:r>
            <w:r>
              <w:t>可知，项目土壤现状监测点中镉、汞、六价</w:t>
            </w:r>
            <w:r>
              <w:rPr>
                <w:spacing w:val="-1"/>
              </w:rPr>
              <w:t>铬、砷、铅、</w:t>
            </w:r>
            <w:r>
              <w:rPr>
                <w:spacing w:val="9"/>
              </w:rPr>
              <w:t>铜、镍、半挥发性有机物（</w:t>
            </w:r>
            <w:r>
              <w:rPr>
                <w:rFonts w:ascii="Times New Roman" w:hAnsi="Times New Roman" w:eastAsia="Times New Roman" w:cs="Times New Roman"/>
              </w:rPr>
              <w:t>SVOC</w:t>
            </w:r>
            <w:r>
              <w:rPr>
                <w:spacing w:val="9"/>
              </w:rPr>
              <w:t>）、挥发性有机物（</w:t>
            </w:r>
            <w:r>
              <w:rPr>
                <w:rFonts w:ascii="Times New Roman" w:hAnsi="Times New Roman" w:eastAsia="Times New Roman" w:cs="Times New Roman"/>
              </w:rPr>
              <w:t>VOCs</w:t>
            </w:r>
            <w:r>
              <w:rPr>
                <w:spacing w:val="9"/>
              </w:rPr>
              <w:t>）等监测因</w:t>
            </w:r>
            <w:r>
              <w:rPr>
                <w:spacing w:val="6"/>
              </w:rPr>
              <w:t>子的标准指数均小于</w:t>
            </w:r>
            <w:r>
              <w:rPr>
                <w:spacing w:val="-24"/>
              </w:rPr>
              <w:t xml:space="preserve"> </w:t>
            </w:r>
            <w:r>
              <w:rPr>
                <w:rFonts w:ascii="Times New Roman" w:hAnsi="Times New Roman" w:eastAsia="Times New Roman" w:cs="Times New Roman"/>
                <w:spacing w:val="6"/>
              </w:rPr>
              <w:t>1</w:t>
            </w:r>
            <w:r>
              <w:rPr>
                <w:spacing w:val="6"/>
              </w:rPr>
              <w:t>，监测值均低于《土壤环境质量 建设用地土壤污</w:t>
            </w:r>
            <w:r>
              <w:rPr>
                <w:spacing w:val="9"/>
              </w:rPr>
              <w:t>染风险管控标准（试行）》（</w:t>
            </w:r>
            <w:r>
              <w:rPr>
                <w:rFonts w:ascii="Times New Roman" w:hAnsi="Times New Roman" w:eastAsia="Times New Roman" w:cs="Times New Roman"/>
              </w:rPr>
              <w:t>GB</w:t>
            </w:r>
            <w:r>
              <w:rPr>
                <w:rFonts w:ascii="Times New Roman" w:hAnsi="Times New Roman" w:eastAsia="Times New Roman" w:cs="Times New Roman"/>
                <w:spacing w:val="9"/>
              </w:rPr>
              <w:t>3660-2018</w:t>
            </w:r>
            <w:r>
              <w:rPr>
                <w:spacing w:val="9"/>
              </w:rPr>
              <w:t>）</w:t>
            </w:r>
            <w:r>
              <w:rPr>
                <w:spacing w:val="8"/>
              </w:rPr>
              <w:t>中规定的第二类用地污染风险筛选值。表明区域土壤环境质量良好。</w:t>
            </w:r>
          </w:p>
        </w:tc>
      </w:tr>
      <w:tr w14:paraId="06CB3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0" w:hRule="atLeast"/>
        </w:trPr>
        <w:tc>
          <w:tcPr>
            <w:tcW w:w="795" w:type="dxa"/>
            <w:vMerge w:val="restart"/>
            <w:tcBorders>
              <w:bottom w:val="nil"/>
            </w:tcBorders>
            <w:vAlign w:val="top"/>
          </w:tcPr>
          <w:p w14:paraId="68FD40DE">
            <w:pPr>
              <w:spacing w:line="243" w:lineRule="auto"/>
              <w:rPr>
                <w:rFonts w:ascii="Arial"/>
                <w:sz w:val="21"/>
              </w:rPr>
            </w:pPr>
          </w:p>
          <w:p w14:paraId="5842F776">
            <w:pPr>
              <w:spacing w:line="243" w:lineRule="auto"/>
              <w:rPr>
                <w:rFonts w:ascii="Arial"/>
                <w:sz w:val="21"/>
              </w:rPr>
            </w:pPr>
          </w:p>
          <w:p w14:paraId="67409DB5">
            <w:pPr>
              <w:spacing w:line="243" w:lineRule="auto"/>
              <w:rPr>
                <w:rFonts w:ascii="Arial"/>
                <w:sz w:val="21"/>
              </w:rPr>
            </w:pPr>
          </w:p>
          <w:p w14:paraId="5A54F2E5">
            <w:pPr>
              <w:spacing w:line="243" w:lineRule="auto"/>
              <w:rPr>
                <w:rFonts w:ascii="Arial"/>
                <w:sz w:val="21"/>
              </w:rPr>
            </w:pPr>
          </w:p>
          <w:p w14:paraId="173EC91B">
            <w:pPr>
              <w:spacing w:line="243" w:lineRule="auto"/>
              <w:rPr>
                <w:rFonts w:ascii="Arial"/>
                <w:sz w:val="21"/>
              </w:rPr>
            </w:pPr>
          </w:p>
          <w:p w14:paraId="72A1C249">
            <w:pPr>
              <w:spacing w:line="243" w:lineRule="auto"/>
              <w:rPr>
                <w:rFonts w:ascii="Arial"/>
                <w:sz w:val="21"/>
              </w:rPr>
            </w:pPr>
          </w:p>
          <w:p w14:paraId="0439C6DB">
            <w:pPr>
              <w:spacing w:line="243" w:lineRule="auto"/>
              <w:rPr>
                <w:rFonts w:ascii="Arial"/>
                <w:sz w:val="21"/>
              </w:rPr>
            </w:pPr>
          </w:p>
          <w:p w14:paraId="321E200D">
            <w:pPr>
              <w:spacing w:line="243" w:lineRule="auto"/>
              <w:rPr>
                <w:rFonts w:ascii="Arial"/>
                <w:sz w:val="21"/>
              </w:rPr>
            </w:pPr>
          </w:p>
          <w:p w14:paraId="1D1D2BFC">
            <w:pPr>
              <w:spacing w:line="243" w:lineRule="auto"/>
              <w:rPr>
                <w:rFonts w:ascii="Arial"/>
                <w:sz w:val="21"/>
              </w:rPr>
            </w:pPr>
          </w:p>
          <w:p w14:paraId="447D744F">
            <w:pPr>
              <w:spacing w:line="243" w:lineRule="auto"/>
              <w:rPr>
                <w:rFonts w:ascii="Arial"/>
                <w:sz w:val="21"/>
              </w:rPr>
            </w:pPr>
          </w:p>
          <w:p w14:paraId="71CE69A0">
            <w:pPr>
              <w:spacing w:line="243" w:lineRule="auto"/>
              <w:rPr>
                <w:rFonts w:ascii="Arial"/>
                <w:sz w:val="21"/>
              </w:rPr>
            </w:pPr>
          </w:p>
          <w:p w14:paraId="7F0918CB">
            <w:pPr>
              <w:spacing w:line="243" w:lineRule="auto"/>
              <w:rPr>
                <w:rFonts w:ascii="Arial"/>
                <w:sz w:val="21"/>
              </w:rPr>
            </w:pPr>
          </w:p>
          <w:p w14:paraId="20FDD2E4">
            <w:pPr>
              <w:spacing w:line="243" w:lineRule="auto"/>
              <w:rPr>
                <w:rFonts w:ascii="Arial"/>
                <w:sz w:val="21"/>
              </w:rPr>
            </w:pPr>
          </w:p>
          <w:p w14:paraId="31E195CC">
            <w:pPr>
              <w:spacing w:line="243" w:lineRule="auto"/>
              <w:rPr>
                <w:rFonts w:ascii="Arial"/>
                <w:sz w:val="21"/>
              </w:rPr>
            </w:pPr>
          </w:p>
          <w:p w14:paraId="015EA4A0">
            <w:pPr>
              <w:spacing w:line="243" w:lineRule="auto"/>
              <w:rPr>
                <w:rFonts w:ascii="Arial"/>
                <w:sz w:val="21"/>
              </w:rPr>
            </w:pPr>
          </w:p>
          <w:p w14:paraId="5A67E42C">
            <w:pPr>
              <w:spacing w:line="243" w:lineRule="auto"/>
              <w:rPr>
                <w:rFonts w:ascii="Arial"/>
                <w:sz w:val="21"/>
              </w:rPr>
            </w:pPr>
          </w:p>
          <w:p w14:paraId="06D735FE">
            <w:pPr>
              <w:spacing w:line="243" w:lineRule="auto"/>
              <w:rPr>
                <w:rFonts w:ascii="Arial"/>
                <w:sz w:val="21"/>
              </w:rPr>
            </w:pPr>
          </w:p>
          <w:p w14:paraId="077BE6DC">
            <w:pPr>
              <w:spacing w:line="244" w:lineRule="auto"/>
              <w:rPr>
                <w:rFonts w:ascii="Arial"/>
                <w:sz w:val="21"/>
              </w:rPr>
            </w:pPr>
          </w:p>
          <w:p w14:paraId="176BD962">
            <w:pPr>
              <w:spacing w:line="244" w:lineRule="auto"/>
              <w:rPr>
                <w:rFonts w:ascii="Arial"/>
                <w:sz w:val="21"/>
              </w:rPr>
            </w:pPr>
          </w:p>
          <w:p w14:paraId="4140F452">
            <w:pPr>
              <w:pStyle w:val="6"/>
              <w:spacing w:before="81" w:line="250" w:lineRule="auto"/>
              <w:ind w:left="145" w:right="137" w:hanging="1"/>
              <w:jc w:val="both"/>
            </w:pPr>
            <w:r>
              <w:rPr>
                <w:spacing w:val="4"/>
              </w:rPr>
              <w:t>环境</w:t>
            </w:r>
            <w:r>
              <w:rPr>
                <w:spacing w:val="3"/>
              </w:rPr>
              <w:t>保护目标</w:t>
            </w:r>
          </w:p>
        </w:tc>
        <w:tc>
          <w:tcPr>
            <w:tcW w:w="8270" w:type="dxa"/>
            <w:gridSpan w:val="11"/>
            <w:vAlign w:val="top"/>
          </w:tcPr>
          <w:p w14:paraId="4F661C9F">
            <w:pPr>
              <w:pStyle w:val="6"/>
              <w:spacing w:before="146" w:line="227" w:lineRule="auto"/>
              <w:ind w:left="106"/>
            </w:pPr>
            <w:r>
              <w:rPr>
                <w:rFonts w:ascii="Times New Roman" w:hAnsi="Times New Roman" w:eastAsia="Times New Roman" w:cs="Times New Roman"/>
                <w:b/>
                <w:bCs/>
                <w:spacing w:val="6"/>
              </w:rPr>
              <w:t xml:space="preserve">3.2 </w:t>
            </w:r>
            <w:r>
              <w:rPr>
                <w:b/>
                <w:bCs/>
                <w:spacing w:val="6"/>
              </w:rPr>
              <w:t>环境保护目标</w:t>
            </w:r>
          </w:p>
          <w:p w14:paraId="6D2EB12A">
            <w:pPr>
              <w:pStyle w:val="6"/>
              <w:spacing w:before="153" w:line="227" w:lineRule="auto"/>
              <w:ind w:left="106"/>
            </w:pPr>
            <w:r>
              <w:rPr>
                <w:rFonts w:ascii="Times New Roman" w:hAnsi="Times New Roman" w:eastAsia="Times New Roman" w:cs="Times New Roman"/>
                <w:b/>
                <w:bCs/>
                <w:spacing w:val="5"/>
              </w:rPr>
              <w:t xml:space="preserve">3.2.1 </w:t>
            </w:r>
            <w:r>
              <w:rPr>
                <w:b/>
                <w:bCs/>
                <w:spacing w:val="5"/>
              </w:rPr>
              <w:t>外环境关系</w:t>
            </w:r>
          </w:p>
          <w:p w14:paraId="283C6911">
            <w:pPr>
              <w:pStyle w:val="6"/>
              <w:spacing w:before="151" w:line="225" w:lineRule="auto"/>
              <w:ind w:left="634"/>
            </w:pPr>
            <w:r>
              <w:rPr>
                <w:spacing w:val="4"/>
              </w:rPr>
              <w:t>本项目外环境关系见下表</w:t>
            </w:r>
            <w:r>
              <w:rPr>
                <w:spacing w:val="-41"/>
              </w:rPr>
              <w:t xml:space="preserve"> </w:t>
            </w:r>
            <w:r>
              <w:rPr>
                <w:rFonts w:ascii="Times New Roman" w:hAnsi="Times New Roman" w:eastAsia="Times New Roman" w:cs="Times New Roman"/>
                <w:spacing w:val="4"/>
              </w:rPr>
              <w:t>3.2-</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w:t>
            </w:r>
            <w:r>
              <w:rPr>
                <w:spacing w:val="4"/>
              </w:rPr>
              <w:t>。</w:t>
            </w:r>
          </w:p>
          <w:p w14:paraId="37932CE6">
            <w:pPr>
              <w:pStyle w:val="6"/>
              <w:spacing w:before="156" w:line="225" w:lineRule="auto"/>
              <w:ind w:left="2146"/>
            </w:pPr>
            <w:r>
              <w:rPr>
                <w:spacing w:val="4"/>
              </w:rPr>
              <w:t>表</w:t>
            </w:r>
            <w:r>
              <w:rPr>
                <w:spacing w:val="-37"/>
              </w:rPr>
              <w:t xml:space="preserve"> </w:t>
            </w:r>
            <w:r>
              <w:rPr>
                <w:rFonts w:ascii="Times New Roman" w:hAnsi="Times New Roman" w:eastAsia="Times New Roman" w:cs="Times New Roman"/>
                <w:spacing w:val="4"/>
              </w:rPr>
              <w:t>3.2-</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 xml:space="preserve">1    </w:t>
            </w:r>
            <w:r>
              <w:rPr>
                <w:spacing w:val="4"/>
              </w:rPr>
              <w:t>本项目外环境关系一览表</w:t>
            </w:r>
          </w:p>
          <w:p w14:paraId="71632C9C">
            <w:pPr>
              <w:spacing w:line="98" w:lineRule="auto"/>
              <w:rPr>
                <w:rFonts w:ascii="Arial"/>
                <w:sz w:val="2"/>
              </w:rPr>
            </w:pPr>
          </w:p>
          <w:tbl>
            <w:tblPr>
              <w:tblStyle w:val="5"/>
              <w:tblW w:w="8049"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0"/>
              <w:gridCol w:w="3272"/>
              <w:gridCol w:w="868"/>
              <w:gridCol w:w="1433"/>
              <w:gridCol w:w="1676"/>
            </w:tblGrid>
            <w:tr w14:paraId="66F03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800" w:type="dxa"/>
                  <w:vAlign w:val="top"/>
                </w:tcPr>
                <w:p w14:paraId="7E4923A4">
                  <w:pPr>
                    <w:pStyle w:val="6"/>
                    <w:spacing w:before="204" w:line="222" w:lineRule="auto"/>
                    <w:ind w:left="184"/>
                    <w:rPr>
                      <w:sz w:val="22"/>
                      <w:szCs w:val="22"/>
                    </w:rPr>
                  </w:pPr>
                  <w:r>
                    <w:rPr>
                      <w:spacing w:val="-3"/>
                      <w:sz w:val="22"/>
                      <w:szCs w:val="22"/>
                    </w:rPr>
                    <w:t>序号</w:t>
                  </w:r>
                </w:p>
              </w:tc>
              <w:tc>
                <w:tcPr>
                  <w:tcW w:w="3272" w:type="dxa"/>
                  <w:vAlign w:val="top"/>
                </w:tcPr>
                <w:p w14:paraId="74138040">
                  <w:pPr>
                    <w:pStyle w:val="6"/>
                    <w:spacing w:before="205" w:line="222" w:lineRule="auto"/>
                    <w:ind w:left="1423"/>
                    <w:rPr>
                      <w:sz w:val="22"/>
                      <w:szCs w:val="22"/>
                    </w:rPr>
                  </w:pPr>
                  <w:r>
                    <w:rPr>
                      <w:spacing w:val="-5"/>
                      <w:sz w:val="22"/>
                      <w:szCs w:val="22"/>
                    </w:rPr>
                    <w:t>名称</w:t>
                  </w:r>
                </w:p>
              </w:tc>
              <w:tc>
                <w:tcPr>
                  <w:tcW w:w="868" w:type="dxa"/>
                  <w:vAlign w:val="top"/>
                </w:tcPr>
                <w:p w14:paraId="20D3663A">
                  <w:pPr>
                    <w:pStyle w:val="6"/>
                    <w:spacing w:before="204" w:line="222" w:lineRule="auto"/>
                    <w:ind w:left="220"/>
                    <w:rPr>
                      <w:sz w:val="22"/>
                      <w:szCs w:val="22"/>
                    </w:rPr>
                  </w:pPr>
                  <w:r>
                    <w:rPr>
                      <w:spacing w:val="-4"/>
                      <w:sz w:val="22"/>
                      <w:szCs w:val="22"/>
                    </w:rPr>
                    <w:t>方位</w:t>
                  </w:r>
                </w:p>
              </w:tc>
              <w:tc>
                <w:tcPr>
                  <w:tcW w:w="1433" w:type="dxa"/>
                  <w:vAlign w:val="top"/>
                </w:tcPr>
                <w:p w14:paraId="6D48BDE3">
                  <w:pPr>
                    <w:pStyle w:val="6"/>
                    <w:spacing w:before="56" w:line="219" w:lineRule="auto"/>
                    <w:ind w:left="179"/>
                    <w:rPr>
                      <w:sz w:val="22"/>
                      <w:szCs w:val="22"/>
                    </w:rPr>
                  </w:pPr>
                  <w:r>
                    <w:rPr>
                      <w:spacing w:val="-3"/>
                      <w:sz w:val="22"/>
                      <w:szCs w:val="22"/>
                    </w:rPr>
                    <w:t>与本项目厂</w:t>
                  </w:r>
                </w:p>
                <w:p w14:paraId="3252ED61">
                  <w:pPr>
                    <w:pStyle w:val="6"/>
                    <w:spacing w:before="38" w:line="202" w:lineRule="auto"/>
                    <w:ind w:left="180"/>
                    <w:rPr>
                      <w:sz w:val="22"/>
                      <w:szCs w:val="22"/>
                    </w:rPr>
                  </w:pPr>
                  <w:r>
                    <w:rPr>
                      <w:spacing w:val="-3"/>
                      <w:sz w:val="22"/>
                      <w:szCs w:val="22"/>
                    </w:rPr>
                    <w:t>界最近距离</w:t>
                  </w:r>
                </w:p>
              </w:tc>
              <w:tc>
                <w:tcPr>
                  <w:tcW w:w="1676" w:type="dxa"/>
                  <w:vAlign w:val="top"/>
                </w:tcPr>
                <w:p w14:paraId="7EB45E82">
                  <w:pPr>
                    <w:pStyle w:val="6"/>
                    <w:spacing w:before="205" w:line="221" w:lineRule="auto"/>
                    <w:ind w:left="626"/>
                    <w:rPr>
                      <w:sz w:val="22"/>
                      <w:szCs w:val="22"/>
                    </w:rPr>
                  </w:pPr>
                  <w:r>
                    <w:rPr>
                      <w:spacing w:val="-5"/>
                      <w:sz w:val="22"/>
                      <w:szCs w:val="22"/>
                    </w:rPr>
                    <w:t>性质</w:t>
                  </w:r>
                </w:p>
              </w:tc>
            </w:tr>
            <w:tr w14:paraId="6C082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800" w:type="dxa"/>
                  <w:vAlign w:val="top"/>
                </w:tcPr>
                <w:p w14:paraId="50EAEAF3">
                  <w:pPr>
                    <w:spacing w:before="125" w:line="189" w:lineRule="auto"/>
                    <w:ind w:left="368"/>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272" w:type="dxa"/>
                  <w:vAlign w:val="top"/>
                </w:tcPr>
                <w:p w14:paraId="774F092D">
                  <w:pPr>
                    <w:pStyle w:val="6"/>
                    <w:spacing w:before="87" w:line="220" w:lineRule="auto"/>
                    <w:ind w:left="1337"/>
                    <w:rPr>
                      <w:sz w:val="22"/>
                      <w:szCs w:val="22"/>
                    </w:rPr>
                  </w:pPr>
                  <w:r>
                    <w:rPr>
                      <w:spacing w:val="-12"/>
                      <w:sz w:val="22"/>
                      <w:szCs w:val="22"/>
                    </w:rPr>
                    <w:t>田福路</w:t>
                  </w:r>
                </w:p>
              </w:tc>
              <w:tc>
                <w:tcPr>
                  <w:tcW w:w="868" w:type="dxa"/>
                  <w:vAlign w:val="top"/>
                </w:tcPr>
                <w:p w14:paraId="2382DA8C">
                  <w:pPr>
                    <w:spacing w:before="128" w:line="186" w:lineRule="auto"/>
                    <w:ind w:left="35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N</w:t>
                  </w:r>
                </w:p>
              </w:tc>
              <w:tc>
                <w:tcPr>
                  <w:tcW w:w="1433" w:type="dxa"/>
                  <w:vAlign w:val="top"/>
                </w:tcPr>
                <w:p w14:paraId="6CF01D26">
                  <w:pPr>
                    <w:pStyle w:val="6"/>
                    <w:spacing w:before="87" w:line="220" w:lineRule="auto"/>
                    <w:ind w:left="509"/>
                    <w:rPr>
                      <w:sz w:val="22"/>
                      <w:szCs w:val="22"/>
                    </w:rPr>
                  </w:pPr>
                  <w:r>
                    <w:rPr>
                      <w:spacing w:val="-7"/>
                      <w:sz w:val="22"/>
                      <w:szCs w:val="22"/>
                    </w:rPr>
                    <w:t>紧邻</w:t>
                  </w:r>
                </w:p>
              </w:tc>
              <w:tc>
                <w:tcPr>
                  <w:tcW w:w="1676" w:type="dxa"/>
                  <w:vAlign w:val="top"/>
                </w:tcPr>
                <w:p w14:paraId="2F32A1F3">
                  <w:pPr>
                    <w:pStyle w:val="6"/>
                    <w:spacing w:before="88" w:line="219" w:lineRule="auto"/>
                    <w:ind w:left="295"/>
                    <w:rPr>
                      <w:sz w:val="22"/>
                      <w:szCs w:val="22"/>
                    </w:rPr>
                  </w:pPr>
                  <w:r>
                    <w:rPr>
                      <w:spacing w:val="-2"/>
                      <w:sz w:val="22"/>
                      <w:szCs w:val="22"/>
                    </w:rPr>
                    <w:t>城市主干路</w:t>
                  </w:r>
                </w:p>
              </w:tc>
            </w:tr>
            <w:tr w14:paraId="679AC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00" w:type="dxa"/>
                  <w:vAlign w:val="top"/>
                </w:tcPr>
                <w:p w14:paraId="29C53A40">
                  <w:pPr>
                    <w:spacing w:before="126" w:line="189" w:lineRule="auto"/>
                    <w:ind w:left="347"/>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3272" w:type="dxa"/>
                  <w:vAlign w:val="top"/>
                </w:tcPr>
                <w:p w14:paraId="5A43779C">
                  <w:pPr>
                    <w:pStyle w:val="6"/>
                    <w:spacing w:before="88" w:line="220" w:lineRule="auto"/>
                    <w:ind w:left="1224"/>
                    <w:rPr>
                      <w:sz w:val="22"/>
                      <w:szCs w:val="22"/>
                    </w:rPr>
                  </w:pPr>
                  <w:r>
                    <w:rPr>
                      <w:spacing w:val="-8"/>
                      <w:sz w:val="22"/>
                      <w:szCs w:val="22"/>
                    </w:rPr>
                    <w:t>民康公园</w:t>
                  </w:r>
                </w:p>
              </w:tc>
              <w:tc>
                <w:tcPr>
                  <w:tcW w:w="868" w:type="dxa"/>
                  <w:vAlign w:val="top"/>
                </w:tcPr>
                <w:p w14:paraId="215ABE94">
                  <w:pPr>
                    <w:spacing w:before="129" w:line="186" w:lineRule="auto"/>
                    <w:ind w:left="35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N</w:t>
                  </w:r>
                </w:p>
              </w:tc>
              <w:tc>
                <w:tcPr>
                  <w:tcW w:w="1433" w:type="dxa"/>
                  <w:vAlign w:val="top"/>
                </w:tcPr>
                <w:p w14:paraId="66967D1A">
                  <w:pPr>
                    <w:spacing w:before="126" w:line="189" w:lineRule="auto"/>
                    <w:ind w:left="545"/>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15m</w:t>
                  </w:r>
                </w:p>
              </w:tc>
              <w:tc>
                <w:tcPr>
                  <w:tcW w:w="1676" w:type="dxa"/>
                  <w:vAlign w:val="top"/>
                </w:tcPr>
                <w:p w14:paraId="1425A809">
                  <w:pPr>
                    <w:pStyle w:val="6"/>
                    <w:spacing w:before="88" w:line="220" w:lineRule="auto"/>
                    <w:ind w:left="411"/>
                    <w:rPr>
                      <w:sz w:val="22"/>
                      <w:szCs w:val="22"/>
                    </w:rPr>
                  </w:pPr>
                  <w:r>
                    <w:rPr>
                      <w:spacing w:val="-4"/>
                      <w:sz w:val="22"/>
                      <w:szCs w:val="22"/>
                    </w:rPr>
                    <w:t>市政公园</w:t>
                  </w:r>
                </w:p>
              </w:tc>
            </w:tr>
          </w:tbl>
          <w:p w14:paraId="74E9EB29">
            <w:pPr>
              <w:spacing w:line="259" w:lineRule="auto"/>
              <w:rPr>
                <w:rFonts w:ascii="Arial"/>
                <w:sz w:val="21"/>
              </w:rPr>
            </w:pPr>
          </w:p>
          <w:p w14:paraId="6A99040B">
            <w:pPr>
              <w:spacing w:line="260" w:lineRule="auto"/>
              <w:rPr>
                <w:rFonts w:ascii="Arial"/>
                <w:sz w:val="21"/>
              </w:rPr>
            </w:pPr>
          </w:p>
          <w:p w14:paraId="338D0B53">
            <w:pPr>
              <w:pStyle w:val="6"/>
              <w:spacing w:before="82" w:line="227" w:lineRule="auto"/>
              <w:ind w:left="106"/>
            </w:pPr>
            <w:r>
              <w:rPr>
                <w:rFonts w:ascii="Times New Roman" w:hAnsi="Times New Roman" w:eastAsia="Times New Roman" w:cs="Times New Roman"/>
                <w:b/>
                <w:bCs/>
                <w:spacing w:val="3"/>
              </w:rPr>
              <w:t>3.2.2</w:t>
            </w:r>
            <w:r>
              <w:rPr>
                <w:rFonts w:ascii="Times New Roman" w:hAnsi="Times New Roman" w:eastAsia="Times New Roman" w:cs="Times New Roman"/>
                <w:b/>
                <w:bCs/>
                <w:spacing w:val="21"/>
                <w:w w:val="101"/>
              </w:rPr>
              <w:t xml:space="preserve"> </w:t>
            </w:r>
            <w:r>
              <w:rPr>
                <w:b/>
                <w:bCs/>
                <w:spacing w:val="3"/>
              </w:rPr>
              <w:t>大气环境</w:t>
            </w:r>
          </w:p>
          <w:p w14:paraId="0FA93E05">
            <w:pPr>
              <w:pStyle w:val="6"/>
              <w:spacing w:before="153" w:line="339" w:lineRule="auto"/>
              <w:ind w:left="111" w:right="108" w:firstLine="522"/>
              <w:jc w:val="both"/>
            </w:pPr>
            <w:r>
              <w:rPr>
                <w:spacing w:val="10"/>
              </w:rPr>
              <w:t>本项目位于重庆市九龙坡区石堰村八社</w:t>
            </w:r>
            <w:r>
              <w:rPr>
                <w:rFonts w:ascii="Times New Roman" w:hAnsi="Times New Roman" w:eastAsia="Times New Roman" w:cs="Times New Roman"/>
                <w:spacing w:val="10"/>
              </w:rPr>
              <w:t>(</w:t>
            </w:r>
            <w:r>
              <w:rPr>
                <w:spacing w:val="10"/>
              </w:rPr>
              <w:t>乔鹤佳苑小区旁</w:t>
            </w:r>
            <w:r>
              <w:rPr>
                <w:rFonts w:ascii="Times New Roman" w:hAnsi="Times New Roman" w:eastAsia="Times New Roman" w:cs="Times New Roman"/>
                <w:spacing w:val="10"/>
              </w:rPr>
              <w:t>)</w:t>
            </w:r>
            <w:r>
              <w:rPr>
                <w:rFonts w:ascii="Times New Roman" w:hAnsi="Times New Roman" w:eastAsia="Times New Roman" w:cs="Times New Roman"/>
                <w:spacing w:val="-11"/>
              </w:rPr>
              <w:t xml:space="preserve"> </w:t>
            </w:r>
            <w:r>
              <w:rPr>
                <w:spacing w:val="10"/>
              </w:rPr>
              <w:t>，根据现场踏勘及调查了解，项目位于城市建成区，其</w:t>
            </w:r>
            <w:r>
              <w:rPr>
                <w:spacing w:val="-43"/>
              </w:rPr>
              <w:t xml:space="preserve"> </w:t>
            </w:r>
            <w:r>
              <w:rPr>
                <w:rFonts w:ascii="Times New Roman" w:hAnsi="Times New Roman" w:eastAsia="Times New Roman" w:cs="Times New Roman"/>
                <w:spacing w:val="9"/>
              </w:rPr>
              <w:t>500m</w:t>
            </w:r>
            <w:r>
              <w:rPr>
                <w:rFonts w:ascii="Times New Roman" w:hAnsi="Times New Roman" w:eastAsia="Times New Roman" w:cs="Times New Roman"/>
                <w:spacing w:val="22"/>
              </w:rPr>
              <w:t xml:space="preserve"> </w:t>
            </w:r>
            <w:r>
              <w:rPr>
                <w:spacing w:val="9"/>
              </w:rPr>
              <w:t>范围内无自然保护区、风景名胜区等敏感点，大气环境敏感目标主要居民小区、学校等，</w:t>
            </w:r>
            <w:r>
              <w:rPr>
                <w:spacing w:val="5"/>
              </w:rPr>
              <w:t>详见下表</w:t>
            </w:r>
            <w:r>
              <w:rPr>
                <w:spacing w:val="-48"/>
              </w:rPr>
              <w:t xml:space="preserve"> </w:t>
            </w:r>
            <w:r>
              <w:rPr>
                <w:rFonts w:ascii="Times New Roman" w:hAnsi="Times New Roman" w:eastAsia="Times New Roman" w:cs="Times New Roman"/>
                <w:spacing w:val="5"/>
              </w:rPr>
              <w:t xml:space="preserve">3.2-2 </w:t>
            </w:r>
            <w:r>
              <w:rPr>
                <w:spacing w:val="5"/>
              </w:rPr>
              <w:t>和附图。</w:t>
            </w:r>
          </w:p>
          <w:p w14:paraId="2309FF8C">
            <w:pPr>
              <w:pStyle w:val="6"/>
              <w:spacing w:before="5" w:line="225" w:lineRule="auto"/>
              <w:ind w:left="1755"/>
            </w:pPr>
            <w:r>
              <w:rPr>
                <w:spacing w:val="6"/>
              </w:rPr>
              <w:t>表</w:t>
            </w:r>
            <w:r>
              <w:rPr>
                <w:spacing w:val="-37"/>
              </w:rPr>
              <w:t xml:space="preserve"> </w:t>
            </w:r>
            <w:r>
              <w:rPr>
                <w:rFonts w:ascii="Times New Roman" w:hAnsi="Times New Roman" w:eastAsia="Times New Roman" w:cs="Times New Roman"/>
                <w:spacing w:val="6"/>
              </w:rPr>
              <w:t xml:space="preserve">3.2-2    </w:t>
            </w:r>
            <w:r>
              <w:rPr>
                <w:spacing w:val="6"/>
              </w:rPr>
              <w:t>本项目大气环境保护目标一览表</w:t>
            </w:r>
          </w:p>
        </w:tc>
      </w:tr>
      <w:tr w14:paraId="4D28D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95" w:type="dxa"/>
            <w:vMerge w:val="continue"/>
            <w:tcBorders>
              <w:top w:val="nil"/>
              <w:bottom w:val="nil"/>
            </w:tcBorders>
            <w:vAlign w:val="top"/>
          </w:tcPr>
          <w:p w14:paraId="37224BF2">
            <w:pPr>
              <w:rPr>
                <w:rFonts w:ascii="Arial"/>
                <w:sz w:val="21"/>
              </w:rPr>
            </w:pPr>
          </w:p>
        </w:tc>
        <w:tc>
          <w:tcPr>
            <w:tcW w:w="113" w:type="dxa"/>
            <w:tcBorders>
              <w:top w:val="nil"/>
              <w:bottom w:val="nil"/>
            </w:tcBorders>
            <w:vAlign w:val="top"/>
          </w:tcPr>
          <w:p w14:paraId="3B8DC651">
            <w:pPr>
              <w:rPr>
                <w:rFonts w:ascii="Arial"/>
                <w:sz w:val="21"/>
              </w:rPr>
            </w:pPr>
          </w:p>
        </w:tc>
        <w:tc>
          <w:tcPr>
            <w:tcW w:w="479" w:type="dxa"/>
            <w:vMerge w:val="restart"/>
            <w:tcBorders>
              <w:bottom w:val="nil"/>
            </w:tcBorders>
            <w:textDirection w:val="tbRlV"/>
            <w:vAlign w:val="top"/>
          </w:tcPr>
          <w:p w14:paraId="2AA825C2">
            <w:pPr>
              <w:pStyle w:val="6"/>
              <w:spacing w:before="128" w:line="211" w:lineRule="auto"/>
              <w:ind w:left="504"/>
              <w:rPr>
                <w:sz w:val="22"/>
                <w:szCs w:val="22"/>
              </w:rPr>
            </w:pPr>
            <w:r>
              <w:rPr>
                <w:sz w:val="22"/>
                <w:szCs w:val="22"/>
              </w:rPr>
              <w:t>序</w:t>
            </w:r>
            <w:r>
              <w:rPr>
                <w:spacing w:val="-31"/>
                <w:sz w:val="22"/>
                <w:szCs w:val="22"/>
              </w:rPr>
              <w:t xml:space="preserve"> </w:t>
            </w:r>
            <w:r>
              <w:rPr>
                <w:sz w:val="22"/>
                <w:szCs w:val="22"/>
              </w:rPr>
              <w:t>号</w:t>
            </w:r>
          </w:p>
        </w:tc>
        <w:tc>
          <w:tcPr>
            <w:tcW w:w="497" w:type="dxa"/>
            <w:vMerge w:val="restart"/>
            <w:tcBorders>
              <w:bottom w:val="nil"/>
            </w:tcBorders>
            <w:textDirection w:val="tbRlV"/>
            <w:vAlign w:val="top"/>
          </w:tcPr>
          <w:p w14:paraId="3E5A533F">
            <w:pPr>
              <w:pStyle w:val="6"/>
              <w:spacing w:before="135" w:line="209" w:lineRule="auto"/>
              <w:ind w:left="204"/>
              <w:rPr>
                <w:sz w:val="22"/>
                <w:szCs w:val="22"/>
              </w:rPr>
            </w:pPr>
            <w:r>
              <w:rPr>
                <w:sz w:val="22"/>
                <w:szCs w:val="22"/>
              </w:rPr>
              <w:t>环</w:t>
            </w:r>
            <w:r>
              <w:rPr>
                <w:spacing w:val="-29"/>
                <w:sz w:val="22"/>
                <w:szCs w:val="22"/>
              </w:rPr>
              <w:t xml:space="preserve"> </w:t>
            </w:r>
            <w:r>
              <w:rPr>
                <w:sz w:val="22"/>
                <w:szCs w:val="22"/>
              </w:rPr>
              <w:t>境</w:t>
            </w:r>
            <w:r>
              <w:rPr>
                <w:spacing w:val="-31"/>
                <w:sz w:val="22"/>
                <w:szCs w:val="22"/>
              </w:rPr>
              <w:t xml:space="preserve"> </w:t>
            </w:r>
            <w:r>
              <w:rPr>
                <w:sz w:val="22"/>
                <w:szCs w:val="22"/>
              </w:rPr>
              <w:t>要</w:t>
            </w:r>
            <w:r>
              <w:rPr>
                <w:spacing w:val="-31"/>
                <w:sz w:val="22"/>
                <w:szCs w:val="22"/>
              </w:rPr>
              <w:t xml:space="preserve"> </w:t>
            </w:r>
            <w:r>
              <w:rPr>
                <w:sz w:val="22"/>
                <w:szCs w:val="22"/>
              </w:rPr>
              <w:t>素</w:t>
            </w:r>
          </w:p>
        </w:tc>
        <w:tc>
          <w:tcPr>
            <w:tcW w:w="1809" w:type="dxa"/>
            <w:vMerge w:val="restart"/>
            <w:tcBorders>
              <w:bottom w:val="nil"/>
            </w:tcBorders>
            <w:vAlign w:val="top"/>
          </w:tcPr>
          <w:p w14:paraId="307D403A">
            <w:pPr>
              <w:spacing w:line="290" w:lineRule="auto"/>
              <w:rPr>
                <w:rFonts w:ascii="Arial"/>
                <w:sz w:val="21"/>
              </w:rPr>
            </w:pPr>
          </w:p>
          <w:p w14:paraId="1E5D4234">
            <w:pPr>
              <w:spacing w:line="290" w:lineRule="auto"/>
              <w:rPr>
                <w:rFonts w:ascii="Arial"/>
                <w:sz w:val="21"/>
              </w:rPr>
            </w:pPr>
          </w:p>
          <w:p w14:paraId="4386968B">
            <w:pPr>
              <w:pStyle w:val="6"/>
              <w:spacing w:before="72" w:line="221" w:lineRule="auto"/>
              <w:ind w:left="248"/>
              <w:rPr>
                <w:sz w:val="22"/>
                <w:szCs w:val="22"/>
              </w:rPr>
            </w:pPr>
            <w:r>
              <w:rPr>
                <w:spacing w:val="-2"/>
                <w:sz w:val="22"/>
                <w:szCs w:val="22"/>
              </w:rPr>
              <w:t>环境保护目标</w:t>
            </w:r>
          </w:p>
        </w:tc>
        <w:tc>
          <w:tcPr>
            <w:tcW w:w="656" w:type="dxa"/>
            <w:vMerge w:val="restart"/>
            <w:tcBorders>
              <w:bottom w:val="nil"/>
            </w:tcBorders>
            <w:vAlign w:val="top"/>
          </w:tcPr>
          <w:p w14:paraId="3C1D9634">
            <w:pPr>
              <w:spacing w:line="290" w:lineRule="auto"/>
              <w:rPr>
                <w:rFonts w:ascii="Arial"/>
                <w:sz w:val="21"/>
              </w:rPr>
            </w:pPr>
          </w:p>
          <w:p w14:paraId="5B934785">
            <w:pPr>
              <w:spacing w:line="290" w:lineRule="auto"/>
              <w:rPr>
                <w:rFonts w:ascii="Arial"/>
                <w:sz w:val="21"/>
              </w:rPr>
            </w:pPr>
          </w:p>
          <w:p w14:paraId="612C1EE5">
            <w:pPr>
              <w:pStyle w:val="6"/>
              <w:spacing w:before="71" w:line="222" w:lineRule="auto"/>
              <w:ind w:left="113"/>
              <w:rPr>
                <w:sz w:val="22"/>
                <w:szCs w:val="22"/>
              </w:rPr>
            </w:pPr>
            <w:r>
              <w:rPr>
                <w:spacing w:val="-4"/>
                <w:sz w:val="22"/>
                <w:szCs w:val="22"/>
              </w:rPr>
              <w:t>方位</w:t>
            </w:r>
          </w:p>
        </w:tc>
        <w:tc>
          <w:tcPr>
            <w:tcW w:w="1385" w:type="dxa"/>
            <w:gridSpan w:val="2"/>
            <w:vAlign w:val="top"/>
          </w:tcPr>
          <w:p w14:paraId="00CF6518">
            <w:pPr>
              <w:pStyle w:val="6"/>
              <w:spacing w:before="146" w:line="221" w:lineRule="auto"/>
              <w:ind w:left="479"/>
              <w:rPr>
                <w:sz w:val="22"/>
                <w:szCs w:val="22"/>
              </w:rPr>
            </w:pPr>
            <w:r>
              <w:rPr>
                <w:spacing w:val="-4"/>
                <w:sz w:val="22"/>
                <w:szCs w:val="22"/>
              </w:rPr>
              <w:t>坐标</w:t>
            </w:r>
          </w:p>
        </w:tc>
        <w:tc>
          <w:tcPr>
            <w:tcW w:w="806" w:type="dxa"/>
            <w:vMerge w:val="restart"/>
            <w:tcBorders>
              <w:bottom w:val="nil"/>
            </w:tcBorders>
            <w:vAlign w:val="top"/>
          </w:tcPr>
          <w:p w14:paraId="15B75F06">
            <w:pPr>
              <w:pStyle w:val="6"/>
              <w:spacing w:before="56" w:line="219" w:lineRule="auto"/>
              <w:ind w:left="195"/>
              <w:rPr>
                <w:sz w:val="22"/>
                <w:szCs w:val="22"/>
              </w:rPr>
            </w:pPr>
            <w:r>
              <w:rPr>
                <w:spacing w:val="-6"/>
                <w:sz w:val="22"/>
                <w:szCs w:val="22"/>
              </w:rPr>
              <w:t>与本</w:t>
            </w:r>
          </w:p>
          <w:p w14:paraId="4D3650FC">
            <w:pPr>
              <w:pStyle w:val="6"/>
              <w:spacing w:before="38" w:line="221" w:lineRule="auto"/>
              <w:ind w:left="194"/>
              <w:rPr>
                <w:sz w:val="22"/>
                <w:szCs w:val="22"/>
              </w:rPr>
            </w:pPr>
            <w:r>
              <w:rPr>
                <w:spacing w:val="-6"/>
                <w:sz w:val="22"/>
                <w:szCs w:val="22"/>
              </w:rPr>
              <w:t>项目</w:t>
            </w:r>
          </w:p>
          <w:p w14:paraId="2AFE628A">
            <w:pPr>
              <w:pStyle w:val="6"/>
              <w:spacing w:before="36" w:line="220" w:lineRule="auto"/>
              <w:ind w:left="193"/>
              <w:rPr>
                <w:sz w:val="22"/>
                <w:szCs w:val="22"/>
              </w:rPr>
            </w:pPr>
            <w:r>
              <w:rPr>
                <w:spacing w:val="-5"/>
                <w:sz w:val="22"/>
                <w:szCs w:val="22"/>
              </w:rPr>
              <w:t>最近</w:t>
            </w:r>
          </w:p>
          <w:p w14:paraId="2CF9FE54">
            <w:pPr>
              <w:pStyle w:val="6"/>
              <w:spacing w:before="37" w:line="226" w:lineRule="auto"/>
              <w:ind w:left="122" w:right="96" w:firstLine="67"/>
              <w:rPr>
                <w:sz w:val="22"/>
                <w:szCs w:val="22"/>
              </w:rPr>
            </w:pPr>
            <w:r>
              <w:rPr>
                <w:spacing w:val="-3"/>
                <w:sz w:val="22"/>
                <w:szCs w:val="22"/>
              </w:rPr>
              <w:t>距离</w:t>
            </w:r>
            <w:r>
              <w:rPr>
                <w:spacing w:val="-10"/>
                <w:sz w:val="22"/>
                <w:szCs w:val="22"/>
              </w:rPr>
              <w:t>（</w:t>
            </w:r>
            <w:r>
              <w:rPr>
                <w:rFonts w:ascii="Times New Roman" w:hAnsi="Times New Roman" w:eastAsia="Times New Roman" w:cs="Times New Roman"/>
                <w:spacing w:val="-10"/>
                <w:sz w:val="22"/>
                <w:szCs w:val="22"/>
              </w:rPr>
              <w:t>m</w:t>
            </w:r>
            <w:r>
              <w:rPr>
                <w:spacing w:val="-10"/>
                <w:sz w:val="22"/>
                <w:szCs w:val="22"/>
              </w:rPr>
              <w:t>）</w:t>
            </w:r>
          </w:p>
        </w:tc>
        <w:tc>
          <w:tcPr>
            <w:tcW w:w="1977" w:type="dxa"/>
            <w:vMerge w:val="restart"/>
            <w:tcBorders>
              <w:bottom w:val="nil"/>
            </w:tcBorders>
            <w:vAlign w:val="top"/>
          </w:tcPr>
          <w:p w14:paraId="3560E558">
            <w:pPr>
              <w:spacing w:line="290" w:lineRule="auto"/>
              <w:rPr>
                <w:rFonts w:ascii="Arial"/>
                <w:sz w:val="21"/>
              </w:rPr>
            </w:pPr>
          </w:p>
          <w:p w14:paraId="15BF07E3">
            <w:pPr>
              <w:spacing w:line="290" w:lineRule="auto"/>
              <w:rPr>
                <w:rFonts w:ascii="Arial"/>
                <w:sz w:val="21"/>
              </w:rPr>
            </w:pPr>
          </w:p>
          <w:p w14:paraId="50DD4FB6">
            <w:pPr>
              <w:pStyle w:val="6"/>
              <w:spacing w:before="72" w:line="220" w:lineRule="auto"/>
              <w:ind w:left="558"/>
              <w:rPr>
                <w:sz w:val="22"/>
                <w:szCs w:val="22"/>
              </w:rPr>
            </w:pPr>
            <w:r>
              <w:rPr>
                <w:spacing w:val="-2"/>
                <w:sz w:val="22"/>
                <w:szCs w:val="22"/>
              </w:rPr>
              <w:t>环境特性</w:t>
            </w:r>
          </w:p>
        </w:tc>
        <w:tc>
          <w:tcPr>
            <w:tcW w:w="430" w:type="dxa"/>
            <w:vMerge w:val="restart"/>
            <w:tcBorders>
              <w:bottom w:val="nil"/>
            </w:tcBorders>
            <w:textDirection w:val="tbRlV"/>
            <w:vAlign w:val="top"/>
          </w:tcPr>
          <w:p w14:paraId="7CFBC433">
            <w:pPr>
              <w:pStyle w:val="6"/>
              <w:spacing w:before="95" w:line="209" w:lineRule="auto"/>
              <w:ind w:left="55"/>
              <w:rPr>
                <w:sz w:val="22"/>
                <w:szCs w:val="22"/>
              </w:rPr>
            </w:pPr>
            <w:r>
              <w:rPr>
                <w:sz w:val="22"/>
                <w:szCs w:val="22"/>
              </w:rPr>
              <w:t>环</w:t>
            </w:r>
            <w:r>
              <w:rPr>
                <w:spacing w:val="-28"/>
                <w:sz w:val="22"/>
                <w:szCs w:val="22"/>
              </w:rPr>
              <w:t xml:space="preserve"> </w:t>
            </w:r>
            <w:r>
              <w:rPr>
                <w:sz w:val="22"/>
                <w:szCs w:val="22"/>
              </w:rPr>
              <w:t>境</w:t>
            </w:r>
            <w:r>
              <w:rPr>
                <w:spacing w:val="-31"/>
                <w:sz w:val="22"/>
                <w:szCs w:val="22"/>
              </w:rPr>
              <w:t xml:space="preserve"> </w:t>
            </w:r>
            <w:r>
              <w:rPr>
                <w:sz w:val="22"/>
                <w:szCs w:val="22"/>
              </w:rPr>
              <w:t>功</w:t>
            </w:r>
            <w:r>
              <w:rPr>
                <w:spacing w:val="-31"/>
                <w:sz w:val="22"/>
                <w:szCs w:val="22"/>
              </w:rPr>
              <w:t xml:space="preserve"> </w:t>
            </w:r>
            <w:r>
              <w:rPr>
                <w:sz w:val="22"/>
                <w:szCs w:val="22"/>
              </w:rPr>
              <w:t>能</w:t>
            </w:r>
            <w:r>
              <w:rPr>
                <w:spacing w:val="-31"/>
                <w:sz w:val="22"/>
                <w:szCs w:val="22"/>
              </w:rPr>
              <w:t xml:space="preserve"> </w:t>
            </w:r>
            <w:r>
              <w:rPr>
                <w:sz w:val="22"/>
                <w:szCs w:val="22"/>
              </w:rPr>
              <w:t>区</w:t>
            </w:r>
          </w:p>
        </w:tc>
        <w:tc>
          <w:tcPr>
            <w:tcW w:w="118" w:type="dxa"/>
            <w:tcBorders>
              <w:top w:val="nil"/>
              <w:bottom w:val="nil"/>
            </w:tcBorders>
            <w:vAlign w:val="top"/>
          </w:tcPr>
          <w:p w14:paraId="6AF0DC8C">
            <w:pPr>
              <w:rPr>
                <w:rFonts w:ascii="Arial"/>
                <w:sz w:val="21"/>
              </w:rPr>
            </w:pPr>
          </w:p>
        </w:tc>
      </w:tr>
      <w:tr w14:paraId="23B93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8" w:hRule="atLeast"/>
        </w:trPr>
        <w:tc>
          <w:tcPr>
            <w:tcW w:w="795" w:type="dxa"/>
            <w:vMerge w:val="continue"/>
            <w:tcBorders>
              <w:top w:val="nil"/>
              <w:bottom w:val="nil"/>
            </w:tcBorders>
            <w:vAlign w:val="top"/>
          </w:tcPr>
          <w:p w14:paraId="235861C5">
            <w:pPr>
              <w:rPr>
                <w:rFonts w:ascii="Arial"/>
                <w:sz w:val="21"/>
              </w:rPr>
            </w:pPr>
          </w:p>
        </w:tc>
        <w:tc>
          <w:tcPr>
            <w:tcW w:w="113" w:type="dxa"/>
            <w:tcBorders>
              <w:top w:val="nil"/>
              <w:bottom w:val="nil"/>
            </w:tcBorders>
            <w:vAlign w:val="top"/>
          </w:tcPr>
          <w:p w14:paraId="27745853">
            <w:pPr>
              <w:rPr>
                <w:rFonts w:ascii="Arial"/>
                <w:sz w:val="21"/>
              </w:rPr>
            </w:pPr>
          </w:p>
        </w:tc>
        <w:tc>
          <w:tcPr>
            <w:tcW w:w="479" w:type="dxa"/>
            <w:vMerge w:val="continue"/>
            <w:tcBorders>
              <w:top w:val="nil"/>
            </w:tcBorders>
            <w:textDirection w:val="tbRlV"/>
            <w:vAlign w:val="top"/>
          </w:tcPr>
          <w:p w14:paraId="36178A7F">
            <w:pPr>
              <w:rPr>
                <w:rFonts w:ascii="Arial"/>
                <w:sz w:val="21"/>
              </w:rPr>
            </w:pPr>
          </w:p>
        </w:tc>
        <w:tc>
          <w:tcPr>
            <w:tcW w:w="497" w:type="dxa"/>
            <w:vMerge w:val="continue"/>
            <w:tcBorders>
              <w:top w:val="nil"/>
            </w:tcBorders>
            <w:textDirection w:val="tbRlV"/>
            <w:vAlign w:val="top"/>
          </w:tcPr>
          <w:p w14:paraId="6B043E49">
            <w:pPr>
              <w:rPr>
                <w:rFonts w:ascii="Arial"/>
                <w:sz w:val="21"/>
              </w:rPr>
            </w:pPr>
          </w:p>
        </w:tc>
        <w:tc>
          <w:tcPr>
            <w:tcW w:w="1809" w:type="dxa"/>
            <w:vMerge w:val="continue"/>
            <w:tcBorders>
              <w:top w:val="nil"/>
            </w:tcBorders>
            <w:vAlign w:val="top"/>
          </w:tcPr>
          <w:p w14:paraId="7AF175EC">
            <w:pPr>
              <w:rPr>
                <w:rFonts w:ascii="Arial"/>
                <w:sz w:val="21"/>
              </w:rPr>
            </w:pPr>
          </w:p>
        </w:tc>
        <w:tc>
          <w:tcPr>
            <w:tcW w:w="656" w:type="dxa"/>
            <w:vMerge w:val="continue"/>
            <w:tcBorders>
              <w:top w:val="nil"/>
            </w:tcBorders>
            <w:vAlign w:val="top"/>
          </w:tcPr>
          <w:p w14:paraId="49AAE6BD">
            <w:pPr>
              <w:rPr>
                <w:rFonts w:ascii="Arial"/>
                <w:sz w:val="21"/>
              </w:rPr>
            </w:pPr>
          </w:p>
        </w:tc>
        <w:tc>
          <w:tcPr>
            <w:tcW w:w="711" w:type="dxa"/>
            <w:vAlign w:val="top"/>
          </w:tcPr>
          <w:p w14:paraId="1ABACBE9">
            <w:pPr>
              <w:spacing w:line="439" w:lineRule="auto"/>
              <w:rPr>
                <w:rFonts w:ascii="Arial"/>
                <w:sz w:val="21"/>
              </w:rPr>
            </w:pPr>
          </w:p>
          <w:p w14:paraId="4C8F159A">
            <w:pPr>
              <w:spacing w:before="64" w:line="186" w:lineRule="auto"/>
              <w:ind w:left="274"/>
              <w:rPr>
                <w:rFonts w:ascii="Times New Roman" w:hAnsi="Times New Roman" w:eastAsia="Times New Roman" w:cs="Times New Roman"/>
                <w:sz w:val="22"/>
                <w:szCs w:val="22"/>
              </w:rPr>
            </w:pPr>
            <w:r>
              <w:rPr>
                <w:rFonts w:ascii="Times New Roman" w:hAnsi="Times New Roman" w:eastAsia="Times New Roman" w:cs="Times New Roman"/>
                <w:sz w:val="22"/>
                <w:szCs w:val="22"/>
              </w:rPr>
              <w:t>X</w:t>
            </w:r>
          </w:p>
        </w:tc>
        <w:tc>
          <w:tcPr>
            <w:tcW w:w="674" w:type="dxa"/>
            <w:vAlign w:val="top"/>
          </w:tcPr>
          <w:p w14:paraId="06F0EC6D">
            <w:pPr>
              <w:spacing w:line="439" w:lineRule="auto"/>
              <w:rPr>
                <w:rFonts w:ascii="Arial"/>
                <w:sz w:val="21"/>
              </w:rPr>
            </w:pPr>
          </w:p>
          <w:p w14:paraId="55B68004">
            <w:pPr>
              <w:spacing w:before="64" w:line="186" w:lineRule="auto"/>
              <w:ind w:left="257"/>
              <w:rPr>
                <w:rFonts w:ascii="Times New Roman" w:hAnsi="Times New Roman" w:eastAsia="Times New Roman" w:cs="Times New Roman"/>
                <w:sz w:val="22"/>
                <w:szCs w:val="22"/>
              </w:rPr>
            </w:pPr>
            <w:r>
              <w:rPr>
                <w:rFonts w:ascii="Times New Roman" w:hAnsi="Times New Roman" w:eastAsia="Times New Roman" w:cs="Times New Roman"/>
                <w:sz w:val="22"/>
                <w:szCs w:val="22"/>
              </w:rPr>
              <w:t>Y</w:t>
            </w:r>
          </w:p>
        </w:tc>
        <w:tc>
          <w:tcPr>
            <w:tcW w:w="806" w:type="dxa"/>
            <w:vMerge w:val="continue"/>
            <w:tcBorders>
              <w:top w:val="nil"/>
            </w:tcBorders>
            <w:vAlign w:val="top"/>
          </w:tcPr>
          <w:p w14:paraId="0C3E74E1">
            <w:pPr>
              <w:rPr>
                <w:rFonts w:ascii="Arial"/>
                <w:sz w:val="21"/>
              </w:rPr>
            </w:pPr>
          </w:p>
        </w:tc>
        <w:tc>
          <w:tcPr>
            <w:tcW w:w="1977" w:type="dxa"/>
            <w:vMerge w:val="continue"/>
            <w:tcBorders>
              <w:top w:val="nil"/>
            </w:tcBorders>
            <w:vAlign w:val="top"/>
          </w:tcPr>
          <w:p w14:paraId="6F196DA9">
            <w:pPr>
              <w:rPr>
                <w:rFonts w:ascii="Arial"/>
                <w:sz w:val="21"/>
              </w:rPr>
            </w:pPr>
          </w:p>
        </w:tc>
        <w:tc>
          <w:tcPr>
            <w:tcW w:w="430" w:type="dxa"/>
            <w:vMerge w:val="continue"/>
            <w:tcBorders>
              <w:top w:val="nil"/>
            </w:tcBorders>
            <w:textDirection w:val="tbRlV"/>
            <w:vAlign w:val="top"/>
          </w:tcPr>
          <w:p w14:paraId="3B10BFDD">
            <w:pPr>
              <w:rPr>
                <w:rFonts w:ascii="Arial"/>
                <w:sz w:val="21"/>
              </w:rPr>
            </w:pPr>
          </w:p>
        </w:tc>
        <w:tc>
          <w:tcPr>
            <w:tcW w:w="118" w:type="dxa"/>
            <w:tcBorders>
              <w:top w:val="nil"/>
              <w:bottom w:val="nil"/>
            </w:tcBorders>
            <w:vAlign w:val="top"/>
          </w:tcPr>
          <w:p w14:paraId="5D411339">
            <w:pPr>
              <w:rPr>
                <w:rFonts w:ascii="Arial"/>
                <w:sz w:val="21"/>
              </w:rPr>
            </w:pPr>
          </w:p>
        </w:tc>
      </w:tr>
      <w:tr w14:paraId="0079D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795" w:type="dxa"/>
            <w:vMerge w:val="continue"/>
            <w:tcBorders>
              <w:top w:val="nil"/>
              <w:bottom w:val="nil"/>
            </w:tcBorders>
            <w:vAlign w:val="top"/>
          </w:tcPr>
          <w:p w14:paraId="699F0270">
            <w:pPr>
              <w:rPr>
                <w:rFonts w:ascii="Arial"/>
                <w:sz w:val="21"/>
              </w:rPr>
            </w:pPr>
          </w:p>
        </w:tc>
        <w:tc>
          <w:tcPr>
            <w:tcW w:w="113" w:type="dxa"/>
            <w:tcBorders>
              <w:top w:val="nil"/>
              <w:bottom w:val="nil"/>
            </w:tcBorders>
            <w:vAlign w:val="top"/>
          </w:tcPr>
          <w:p w14:paraId="6E4129A2">
            <w:pPr>
              <w:rPr>
                <w:rFonts w:ascii="Arial"/>
                <w:sz w:val="21"/>
              </w:rPr>
            </w:pPr>
          </w:p>
        </w:tc>
        <w:tc>
          <w:tcPr>
            <w:tcW w:w="479" w:type="dxa"/>
            <w:vAlign w:val="top"/>
          </w:tcPr>
          <w:p w14:paraId="757B4CEC">
            <w:pPr>
              <w:spacing w:before="243" w:line="189" w:lineRule="auto"/>
              <w:ind w:left="20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497" w:type="dxa"/>
            <w:vMerge w:val="restart"/>
            <w:tcBorders>
              <w:bottom w:val="nil"/>
            </w:tcBorders>
            <w:textDirection w:val="tbRlV"/>
            <w:vAlign w:val="top"/>
          </w:tcPr>
          <w:p w14:paraId="6C2AC8A5">
            <w:pPr>
              <w:pStyle w:val="6"/>
              <w:spacing w:before="136" w:line="209" w:lineRule="auto"/>
              <w:ind w:left="670"/>
              <w:rPr>
                <w:sz w:val="22"/>
                <w:szCs w:val="22"/>
              </w:rPr>
            </w:pPr>
            <w:r>
              <w:rPr>
                <w:sz w:val="22"/>
                <w:szCs w:val="22"/>
              </w:rPr>
              <w:t>大</w:t>
            </w:r>
            <w:r>
              <w:rPr>
                <w:spacing w:val="-29"/>
                <w:sz w:val="22"/>
                <w:szCs w:val="22"/>
              </w:rPr>
              <w:t xml:space="preserve"> </w:t>
            </w:r>
            <w:r>
              <w:rPr>
                <w:sz w:val="22"/>
                <w:szCs w:val="22"/>
              </w:rPr>
              <w:t>气</w:t>
            </w:r>
            <w:r>
              <w:rPr>
                <w:spacing w:val="-31"/>
                <w:sz w:val="22"/>
                <w:szCs w:val="22"/>
              </w:rPr>
              <w:t xml:space="preserve"> </w:t>
            </w:r>
            <w:r>
              <w:rPr>
                <w:sz w:val="22"/>
                <w:szCs w:val="22"/>
              </w:rPr>
              <w:t>环</w:t>
            </w:r>
            <w:r>
              <w:rPr>
                <w:spacing w:val="-31"/>
                <w:sz w:val="22"/>
                <w:szCs w:val="22"/>
              </w:rPr>
              <w:t xml:space="preserve"> </w:t>
            </w:r>
            <w:r>
              <w:rPr>
                <w:sz w:val="22"/>
                <w:szCs w:val="22"/>
              </w:rPr>
              <w:t>境</w:t>
            </w:r>
          </w:p>
        </w:tc>
        <w:tc>
          <w:tcPr>
            <w:tcW w:w="1809" w:type="dxa"/>
            <w:vAlign w:val="top"/>
          </w:tcPr>
          <w:p w14:paraId="6FF75C48">
            <w:pPr>
              <w:pStyle w:val="6"/>
              <w:spacing w:before="205" w:line="219" w:lineRule="auto"/>
              <w:ind w:left="470"/>
              <w:rPr>
                <w:sz w:val="22"/>
                <w:szCs w:val="22"/>
              </w:rPr>
            </w:pPr>
            <w:r>
              <w:rPr>
                <w:spacing w:val="-3"/>
                <w:sz w:val="22"/>
                <w:szCs w:val="22"/>
              </w:rPr>
              <w:t>乔鹤佳苑</w:t>
            </w:r>
          </w:p>
        </w:tc>
        <w:tc>
          <w:tcPr>
            <w:tcW w:w="656" w:type="dxa"/>
            <w:vAlign w:val="top"/>
          </w:tcPr>
          <w:p w14:paraId="1661DEE2">
            <w:pPr>
              <w:spacing w:before="246" w:line="186" w:lineRule="auto"/>
              <w:ind w:left="224"/>
              <w:rPr>
                <w:rFonts w:ascii="Times New Roman" w:hAnsi="Times New Roman" w:eastAsia="Times New Roman" w:cs="Times New Roman"/>
                <w:sz w:val="22"/>
                <w:szCs w:val="22"/>
              </w:rPr>
            </w:pPr>
            <w:r>
              <w:rPr>
                <w:rFonts w:ascii="Times New Roman" w:hAnsi="Times New Roman" w:eastAsia="Times New Roman" w:cs="Times New Roman"/>
                <w:sz w:val="22"/>
                <w:szCs w:val="22"/>
              </w:rPr>
              <w:t>W</w:t>
            </w:r>
          </w:p>
        </w:tc>
        <w:tc>
          <w:tcPr>
            <w:tcW w:w="711" w:type="dxa"/>
            <w:vAlign w:val="top"/>
          </w:tcPr>
          <w:p w14:paraId="1717BDDF">
            <w:pPr>
              <w:spacing w:before="243" w:line="189" w:lineRule="auto"/>
              <w:ind w:left="21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-40</w:t>
            </w:r>
          </w:p>
        </w:tc>
        <w:tc>
          <w:tcPr>
            <w:tcW w:w="674" w:type="dxa"/>
            <w:vAlign w:val="top"/>
          </w:tcPr>
          <w:p w14:paraId="4005FBBD">
            <w:pPr>
              <w:spacing w:before="243" w:line="189" w:lineRule="auto"/>
              <w:ind w:left="287"/>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806" w:type="dxa"/>
            <w:vAlign w:val="top"/>
          </w:tcPr>
          <w:p w14:paraId="4D070A66">
            <w:pPr>
              <w:spacing w:before="243" w:line="189" w:lineRule="auto"/>
              <w:ind w:left="29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1977" w:type="dxa"/>
            <w:vAlign w:val="top"/>
          </w:tcPr>
          <w:p w14:paraId="53B34070">
            <w:pPr>
              <w:pStyle w:val="6"/>
              <w:spacing w:before="56" w:line="225" w:lineRule="auto"/>
              <w:ind w:left="337" w:right="157" w:hanging="164"/>
              <w:rPr>
                <w:sz w:val="22"/>
                <w:szCs w:val="22"/>
              </w:rPr>
            </w:pPr>
            <w:r>
              <w:rPr>
                <w:spacing w:val="-2"/>
                <w:sz w:val="22"/>
                <w:szCs w:val="22"/>
              </w:rPr>
              <w:t>居民小区，约</w:t>
            </w:r>
            <w:r>
              <w:rPr>
                <w:rFonts w:ascii="Times New Roman" w:hAnsi="Times New Roman" w:eastAsia="Times New Roman" w:cs="Times New Roman"/>
                <w:spacing w:val="-2"/>
                <w:sz w:val="22"/>
                <w:szCs w:val="22"/>
              </w:rPr>
              <w:t>529</w:t>
            </w:r>
            <w:r>
              <w:rPr>
                <w:spacing w:val="-1"/>
                <w:sz w:val="22"/>
                <w:szCs w:val="22"/>
              </w:rPr>
              <w:t>户，约</w:t>
            </w:r>
            <w:r>
              <w:rPr>
                <w:rFonts w:ascii="Times New Roman" w:hAnsi="Times New Roman" w:eastAsia="Times New Roman" w:cs="Times New Roman"/>
                <w:spacing w:val="-1"/>
                <w:sz w:val="22"/>
                <w:szCs w:val="22"/>
              </w:rPr>
              <w:t>1587</w:t>
            </w:r>
            <w:r>
              <w:rPr>
                <w:spacing w:val="-1"/>
                <w:sz w:val="22"/>
                <w:szCs w:val="22"/>
              </w:rPr>
              <w:t>人</w:t>
            </w:r>
          </w:p>
        </w:tc>
        <w:tc>
          <w:tcPr>
            <w:tcW w:w="430" w:type="dxa"/>
            <w:vMerge w:val="restart"/>
            <w:tcBorders>
              <w:bottom w:val="nil"/>
            </w:tcBorders>
            <w:textDirection w:val="tbRlV"/>
            <w:vAlign w:val="top"/>
          </w:tcPr>
          <w:p w14:paraId="1F9B256A">
            <w:pPr>
              <w:pStyle w:val="6"/>
              <w:spacing w:before="94" w:line="209" w:lineRule="auto"/>
              <w:ind w:left="862"/>
              <w:rPr>
                <w:sz w:val="22"/>
                <w:szCs w:val="22"/>
              </w:rPr>
            </w:pPr>
            <w:r>
              <w:rPr>
                <w:spacing w:val="-26"/>
                <w:sz w:val="22"/>
                <w:szCs w:val="22"/>
              </w:rPr>
              <w:t>二</w:t>
            </w:r>
            <w:r>
              <w:rPr>
                <w:spacing w:val="7"/>
                <w:sz w:val="22"/>
                <w:szCs w:val="22"/>
              </w:rPr>
              <w:t xml:space="preserve"> </w:t>
            </w:r>
            <w:r>
              <w:rPr>
                <w:spacing w:val="-26"/>
                <w:sz w:val="22"/>
                <w:szCs w:val="22"/>
              </w:rPr>
              <w:t>类</w:t>
            </w:r>
            <w:r>
              <w:rPr>
                <w:spacing w:val="-31"/>
                <w:sz w:val="22"/>
                <w:szCs w:val="22"/>
              </w:rPr>
              <w:t xml:space="preserve"> </w:t>
            </w:r>
            <w:r>
              <w:rPr>
                <w:spacing w:val="-26"/>
                <w:sz w:val="22"/>
                <w:szCs w:val="22"/>
              </w:rPr>
              <w:t>区</w:t>
            </w:r>
          </w:p>
        </w:tc>
        <w:tc>
          <w:tcPr>
            <w:tcW w:w="118" w:type="dxa"/>
            <w:tcBorders>
              <w:top w:val="nil"/>
              <w:bottom w:val="nil"/>
            </w:tcBorders>
            <w:vAlign w:val="top"/>
          </w:tcPr>
          <w:p w14:paraId="15D0CED6">
            <w:pPr>
              <w:rPr>
                <w:rFonts w:ascii="Arial"/>
                <w:sz w:val="21"/>
              </w:rPr>
            </w:pPr>
          </w:p>
        </w:tc>
      </w:tr>
      <w:tr w14:paraId="0A3A0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795" w:type="dxa"/>
            <w:vMerge w:val="continue"/>
            <w:tcBorders>
              <w:top w:val="nil"/>
              <w:bottom w:val="nil"/>
            </w:tcBorders>
            <w:vAlign w:val="top"/>
          </w:tcPr>
          <w:p w14:paraId="6328C71A">
            <w:pPr>
              <w:rPr>
                <w:rFonts w:ascii="Arial"/>
                <w:sz w:val="21"/>
              </w:rPr>
            </w:pPr>
          </w:p>
        </w:tc>
        <w:tc>
          <w:tcPr>
            <w:tcW w:w="113" w:type="dxa"/>
            <w:tcBorders>
              <w:top w:val="nil"/>
              <w:bottom w:val="nil"/>
            </w:tcBorders>
            <w:vAlign w:val="top"/>
          </w:tcPr>
          <w:p w14:paraId="3661521C">
            <w:pPr>
              <w:rPr>
                <w:rFonts w:ascii="Arial"/>
                <w:sz w:val="21"/>
              </w:rPr>
            </w:pPr>
          </w:p>
        </w:tc>
        <w:tc>
          <w:tcPr>
            <w:tcW w:w="479" w:type="dxa"/>
            <w:vAlign w:val="top"/>
          </w:tcPr>
          <w:p w14:paraId="2602501F">
            <w:pPr>
              <w:spacing w:before="244" w:line="189" w:lineRule="auto"/>
              <w:ind w:left="183"/>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497" w:type="dxa"/>
            <w:vMerge w:val="continue"/>
            <w:tcBorders>
              <w:top w:val="nil"/>
              <w:bottom w:val="nil"/>
            </w:tcBorders>
            <w:textDirection w:val="tbRlV"/>
            <w:vAlign w:val="top"/>
          </w:tcPr>
          <w:p w14:paraId="09774863">
            <w:pPr>
              <w:rPr>
                <w:rFonts w:ascii="Arial"/>
                <w:sz w:val="21"/>
              </w:rPr>
            </w:pPr>
          </w:p>
        </w:tc>
        <w:tc>
          <w:tcPr>
            <w:tcW w:w="1809" w:type="dxa"/>
            <w:vAlign w:val="top"/>
          </w:tcPr>
          <w:p w14:paraId="5D4C770E">
            <w:pPr>
              <w:pStyle w:val="6"/>
              <w:spacing w:before="209" w:line="220" w:lineRule="auto"/>
              <w:ind w:left="379"/>
              <w:rPr>
                <w:sz w:val="22"/>
                <w:szCs w:val="22"/>
              </w:rPr>
            </w:pPr>
            <w:r>
              <w:rPr>
                <w:spacing w:val="-6"/>
                <w:sz w:val="22"/>
                <w:szCs w:val="22"/>
              </w:rPr>
              <w:t>中梁山小区</w:t>
            </w:r>
          </w:p>
        </w:tc>
        <w:tc>
          <w:tcPr>
            <w:tcW w:w="656" w:type="dxa"/>
            <w:vAlign w:val="top"/>
          </w:tcPr>
          <w:p w14:paraId="01A697DD">
            <w:pPr>
              <w:spacing w:before="247" w:line="186" w:lineRule="auto"/>
              <w:ind w:left="224"/>
              <w:rPr>
                <w:rFonts w:ascii="Times New Roman" w:hAnsi="Times New Roman" w:eastAsia="Times New Roman" w:cs="Times New Roman"/>
                <w:sz w:val="22"/>
                <w:szCs w:val="22"/>
              </w:rPr>
            </w:pPr>
            <w:r>
              <w:rPr>
                <w:rFonts w:ascii="Times New Roman" w:hAnsi="Times New Roman" w:eastAsia="Times New Roman" w:cs="Times New Roman"/>
                <w:sz w:val="22"/>
                <w:szCs w:val="22"/>
              </w:rPr>
              <w:t>W</w:t>
            </w:r>
          </w:p>
        </w:tc>
        <w:tc>
          <w:tcPr>
            <w:tcW w:w="711" w:type="dxa"/>
            <w:vAlign w:val="top"/>
          </w:tcPr>
          <w:p w14:paraId="3BFD84AF">
            <w:pPr>
              <w:spacing w:before="244" w:line="189" w:lineRule="auto"/>
              <w:ind w:left="16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c>
          <w:tcPr>
            <w:tcW w:w="674" w:type="dxa"/>
            <w:vAlign w:val="top"/>
          </w:tcPr>
          <w:p w14:paraId="0334AC4B">
            <w:pPr>
              <w:spacing w:before="244" w:line="189" w:lineRule="auto"/>
              <w:ind w:left="287"/>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806" w:type="dxa"/>
            <w:vAlign w:val="top"/>
          </w:tcPr>
          <w:p w14:paraId="11BCF7B1">
            <w:pPr>
              <w:spacing w:before="244" w:line="189" w:lineRule="auto"/>
              <w:ind w:left="24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280</w:t>
            </w:r>
          </w:p>
        </w:tc>
        <w:tc>
          <w:tcPr>
            <w:tcW w:w="1977" w:type="dxa"/>
            <w:vAlign w:val="top"/>
          </w:tcPr>
          <w:p w14:paraId="5432043E">
            <w:pPr>
              <w:pStyle w:val="6"/>
              <w:spacing w:before="57" w:line="220" w:lineRule="auto"/>
              <w:ind w:left="392" w:right="157" w:hanging="219"/>
              <w:rPr>
                <w:sz w:val="22"/>
                <w:szCs w:val="22"/>
              </w:rPr>
            </w:pPr>
            <w:r>
              <w:rPr>
                <w:spacing w:val="-2"/>
                <w:sz w:val="22"/>
                <w:szCs w:val="22"/>
              </w:rPr>
              <w:t>居民小区，约</w:t>
            </w:r>
            <w:r>
              <w:rPr>
                <w:rFonts w:ascii="Times New Roman" w:hAnsi="Times New Roman" w:eastAsia="Times New Roman" w:cs="Times New Roman"/>
                <w:spacing w:val="-2"/>
                <w:sz w:val="22"/>
                <w:szCs w:val="22"/>
              </w:rPr>
              <w:t>160</w:t>
            </w:r>
            <w:r>
              <w:rPr>
                <w:spacing w:val="-2"/>
                <w:sz w:val="22"/>
                <w:szCs w:val="22"/>
              </w:rPr>
              <w:t>户，约</w:t>
            </w:r>
            <w:r>
              <w:rPr>
                <w:rFonts w:ascii="Times New Roman" w:hAnsi="Times New Roman" w:eastAsia="Times New Roman" w:cs="Times New Roman"/>
                <w:spacing w:val="-2"/>
                <w:sz w:val="22"/>
                <w:szCs w:val="22"/>
              </w:rPr>
              <w:t>480</w:t>
            </w:r>
            <w:r>
              <w:rPr>
                <w:spacing w:val="-2"/>
                <w:sz w:val="22"/>
                <w:szCs w:val="22"/>
              </w:rPr>
              <w:t>人</w:t>
            </w:r>
          </w:p>
        </w:tc>
        <w:tc>
          <w:tcPr>
            <w:tcW w:w="430" w:type="dxa"/>
            <w:vMerge w:val="continue"/>
            <w:tcBorders>
              <w:top w:val="nil"/>
              <w:bottom w:val="nil"/>
            </w:tcBorders>
            <w:textDirection w:val="tbRlV"/>
            <w:vAlign w:val="top"/>
          </w:tcPr>
          <w:p w14:paraId="60346735">
            <w:pPr>
              <w:rPr>
                <w:rFonts w:ascii="Arial"/>
                <w:sz w:val="21"/>
              </w:rPr>
            </w:pPr>
          </w:p>
        </w:tc>
        <w:tc>
          <w:tcPr>
            <w:tcW w:w="118" w:type="dxa"/>
            <w:tcBorders>
              <w:top w:val="nil"/>
              <w:bottom w:val="nil"/>
            </w:tcBorders>
            <w:vAlign w:val="top"/>
          </w:tcPr>
          <w:p w14:paraId="2DA13DBE">
            <w:pPr>
              <w:rPr>
                <w:rFonts w:ascii="Arial"/>
                <w:sz w:val="21"/>
              </w:rPr>
            </w:pPr>
          </w:p>
        </w:tc>
      </w:tr>
      <w:tr w14:paraId="3180F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95" w:type="dxa"/>
            <w:vMerge w:val="continue"/>
            <w:tcBorders>
              <w:top w:val="nil"/>
              <w:bottom w:val="nil"/>
            </w:tcBorders>
            <w:vAlign w:val="top"/>
          </w:tcPr>
          <w:p w14:paraId="7B32C546">
            <w:pPr>
              <w:rPr>
                <w:rFonts w:ascii="Arial"/>
                <w:sz w:val="21"/>
              </w:rPr>
            </w:pPr>
          </w:p>
        </w:tc>
        <w:tc>
          <w:tcPr>
            <w:tcW w:w="113" w:type="dxa"/>
            <w:tcBorders>
              <w:top w:val="nil"/>
              <w:bottom w:val="nil"/>
            </w:tcBorders>
            <w:vAlign w:val="top"/>
          </w:tcPr>
          <w:p w14:paraId="704F730B">
            <w:pPr>
              <w:rPr>
                <w:rFonts w:ascii="Arial"/>
                <w:sz w:val="21"/>
              </w:rPr>
            </w:pPr>
          </w:p>
        </w:tc>
        <w:tc>
          <w:tcPr>
            <w:tcW w:w="479" w:type="dxa"/>
            <w:vAlign w:val="top"/>
          </w:tcPr>
          <w:p w14:paraId="0EA85478">
            <w:pPr>
              <w:spacing w:before="257" w:line="189" w:lineRule="auto"/>
              <w:ind w:left="188"/>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497" w:type="dxa"/>
            <w:vMerge w:val="continue"/>
            <w:tcBorders>
              <w:top w:val="nil"/>
              <w:bottom w:val="nil"/>
            </w:tcBorders>
            <w:textDirection w:val="tbRlV"/>
            <w:vAlign w:val="top"/>
          </w:tcPr>
          <w:p w14:paraId="6F9162D3">
            <w:pPr>
              <w:rPr>
                <w:rFonts w:ascii="Arial"/>
                <w:sz w:val="21"/>
              </w:rPr>
            </w:pPr>
          </w:p>
        </w:tc>
        <w:tc>
          <w:tcPr>
            <w:tcW w:w="1809" w:type="dxa"/>
            <w:vAlign w:val="top"/>
          </w:tcPr>
          <w:p w14:paraId="6FFA187D">
            <w:pPr>
              <w:pStyle w:val="6"/>
              <w:spacing w:before="221" w:line="222" w:lineRule="auto"/>
              <w:ind w:left="583"/>
              <w:rPr>
                <w:sz w:val="22"/>
                <w:szCs w:val="22"/>
              </w:rPr>
            </w:pPr>
            <w:r>
              <w:rPr>
                <w:spacing w:val="-4"/>
                <w:sz w:val="22"/>
                <w:szCs w:val="22"/>
              </w:rPr>
              <w:t>五丰苑</w:t>
            </w:r>
          </w:p>
        </w:tc>
        <w:tc>
          <w:tcPr>
            <w:tcW w:w="656" w:type="dxa"/>
            <w:vAlign w:val="top"/>
          </w:tcPr>
          <w:p w14:paraId="4F249EA9">
            <w:pPr>
              <w:spacing w:before="257" w:line="189" w:lineRule="auto"/>
              <w:ind w:left="172"/>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SW</w:t>
            </w:r>
          </w:p>
        </w:tc>
        <w:tc>
          <w:tcPr>
            <w:tcW w:w="711" w:type="dxa"/>
            <w:vAlign w:val="top"/>
          </w:tcPr>
          <w:p w14:paraId="55820080">
            <w:pPr>
              <w:spacing w:before="257" w:line="189" w:lineRule="auto"/>
              <w:ind w:left="16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-340</w:t>
            </w:r>
          </w:p>
        </w:tc>
        <w:tc>
          <w:tcPr>
            <w:tcW w:w="674" w:type="dxa"/>
            <w:vAlign w:val="top"/>
          </w:tcPr>
          <w:p w14:paraId="00A7E367">
            <w:pPr>
              <w:spacing w:before="257" w:line="189" w:lineRule="auto"/>
              <w:ind w:left="147"/>
              <w:rPr>
                <w:rFonts w:ascii="Times New Roman" w:hAnsi="Times New Roman" w:eastAsia="Times New Roman" w:cs="Times New Roman"/>
                <w:sz w:val="22"/>
                <w:szCs w:val="22"/>
              </w:rPr>
            </w:pPr>
            <w:r>
              <w:rPr>
                <w:rFonts w:ascii="Times New Roman" w:hAnsi="Times New Roman" w:eastAsia="Times New Roman" w:cs="Times New Roman"/>
                <w:spacing w:val="-10"/>
                <w:sz w:val="22"/>
                <w:szCs w:val="22"/>
              </w:rPr>
              <w:t>-</w:t>
            </w:r>
            <w:r>
              <w:rPr>
                <w:rFonts w:ascii="Times New Roman" w:hAnsi="Times New Roman" w:eastAsia="Times New Roman" w:cs="Times New Roman"/>
                <w:spacing w:val="-31"/>
                <w:sz w:val="22"/>
                <w:szCs w:val="22"/>
              </w:rPr>
              <w:t xml:space="preserve"> </w:t>
            </w:r>
            <w:r>
              <w:rPr>
                <w:rFonts w:ascii="Times New Roman" w:hAnsi="Times New Roman" w:eastAsia="Times New Roman" w:cs="Times New Roman"/>
                <w:spacing w:val="-10"/>
                <w:sz w:val="22"/>
                <w:szCs w:val="22"/>
              </w:rPr>
              <w:t>110</w:t>
            </w:r>
          </w:p>
        </w:tc>
        <w:tc>
          <w:tcPr>
            <w:tcW w:w="806" w:type="dxa"/>
            <w:vAlign w:val="top"/>
          </w:tcPr>
          <w:p w14:paraId="33D43EF2">
            <w:pPr>
              <w:spacing w:before="257" w:line="189" w:lineRule="auto"/>
              <w:ind w:left="24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310</w:t>
            </w:r>
          </w:p>
        </w:tc>
        <w:tc>
          <w:tcPr>
            <w:tcW w:w="1977" w:type="dxa"/>
            <w:vAlign w:val="top"/>
          </w:tcPr>
          <w:p w14:paraId="669E27EA">
            <w:pPr>
              <w:pStyle w:val="6"/>
              <w:spacing w:before="71" w:line="220" w:lineRule="auto"/>
              <w:ind w:left="671" w:right="152" w:hanging="553"/>
              <w:rPr>
                <w:sz w:val="22"/>
                <w:szCs w:val="22"/>
              </w:rPr>
            </w:pPr>
            <w:r>
              <w:rPr>
                <w:spacing w:val="-7"/>
                <w:sz w:val="22"/>
                <w:szCs w:val="22"/>
              </w:rPr>
              <w:t>居民区，约</w:t>
            </w:r>
            <w:r>
              <w:rPr>
                <w:rFonts w:ascii="Times New Roman" w:hAnsi="Times New Roman" w:eastAsia="Times New Roman" w:cs="Times New Roman"/>
                <w:spacing w:val="-7"/>
                <w:sz w:val="22"/>
                <w:szCs w:val="22"/>
              </w:rPr>
              <w:t>32</w:t>
            </w:r>
            <w:r>
              <w:rPr>
                <w:spacing w:val="-7"/>
                <w:sz w:val="22"/>
                <w:szCs w:val="22"/>
              </w:rPr>
              <w:t>户，</w:t>
            </w:r>
            <w:r>
              <w:rPr>
                <w:spacing w:val="-3"/>
                <w:sz w:val="22"/>
                <w:szCs w:val="22"/>
              </w:rPr>
              <w:t>约</w:t>
            </w:r>
            <w:r>
              <w:rPr>
                <w:rFonts w:ascii="Times New Roman" w:hAnsi="Times New Roman" w:eastAsia="Times New Roman" w:cs="Times New Roman"/>
                <w:spacing w:val="-3"/>
                <w:sz w:val="22"/>
                <w:szCs w:val="22"/>
              </w:rPr>
              <w:t>96</w:t>
            </w:r>
            <w:r>
              <w:rPr>
                <w:spacing w:val="-3"/>
                <w:sz w:val="22"/>
                <w:szCs w:val="22"/>
              </w:rPr>
              <w:t>人</w:t>
            </w:r>
          </w:p>
        </w:tc>
        <w:tc>
          <w:tcPr>
            <w:tcW w:w="430" w:type="dxa"/>
            <w:vMerge w:val="continue"/>
            <w:tcBorders>
              <w:top w:val="nil"/>
              <w:bottom w:val="nil"/>
            </w:tcBorders>
            <w:textDirection w:val="tbRlV"/>
            <w:vAlign w:val="top"/>
          </w:tcPr>
          <w:p w14:paraId="798922EF">
            <w:pPr>
              <w:rPr>
                <w:rFonts w:ascii="Arial"/>
                <w:sz w:val="21"/>
              </w:rPr>
            </w:pPr>
          </w:p>
        </w:tc>
        <w:tc>
          <w:tcPr>
            <w:tcW w:w="118" w:type="dxa"/>
            <w:tcBorders>
              <w:top w:val="nil"/>
              <w:bottom w:val="nil"/>
            </w:tcBorders>
            <w:vAlign w:val="top"/>
          </w:tcPr>
          <w:p w14:paraId="466096A1">
            <w:pPr>
              <w:rPr>
                <w:rFonts w:ascii="Arial"/>
                <w:sz w:val="21"/>
              </w:rPr>
            </w:pPr>
          </w:p>
        </w:tc>
      </w:tr>
      <w:tr w14:paraId="26BD2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795" w:type="dxa"/>
            <w:vMerge w:val="continue"/>
            <w:tcBorders>
              <w:top w:val="nil"/>
            </w:tcBorders>
            <w:vAlign w:val="top"/>
          </w:tcPr>
          <w:p w14:paraId="2ADC8BB8">
            <w:pPr>
              <w:rPr>
                <w:rFonts w:ascii="Arial"/>
                <w:sz w:val="21"/>
              </w:rPr>
            </w:pPr>
          </w:p>
        </w:tc>
        <w:tc>
          <w:tcPr>
            <w:tcW w:w="113" w:type="dxa"/>
            <w:tcBorders>
              <w:top w:val="nil"/>
            </w:tcBorders>
            <w:vAlign w:val="top"/>
          </w:tcPr>
          <w:p w14:paraId="0FA3C36D">
            <w:pPr>
              <w:rPr>
                <w:rFonts w:ascii="Arial"/>
                <w:sz w:val="21"/>
              </w:rPr>
            </w:pPr>
          </w:p>
        </w:tc>
        <w:tc>
          <w:tcPr>
            <w:tcW w:w="479" w:type="dxa"/>
            <w:vAlign w:val="top"/>
          </w:tcPr>
          <w:p w14:paraId="47EB5DFB">
            <w:pPr>
              <w:spacing w:before="256" w:line="189" w:lineRule="auto"/>
              <w:ind w:left="182"/>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497" w:type="dxa"/>
            <w:vMerge w:val="continue"/>
            <w:tcBorders>
              <w:top w:val="nil"/>
            </w:tcBorders>
            <w:textDirection w:val="tbRlV"/>
            <w:vAlign w:val="top"/>
          </w:tcPr>
          <w:p w14:paraId="2A4325F3">
            <w:pPr>
              <w:rPr>
                <w:rFonts w:ascii="Arial"/>
                <w:sz w:val="21"/>
              </w:rPr>
            </w:pPr>
          </w:p>
        </w:tc>
        <w:tc>
          <w:tcPr>
            <w:tcW w:w="1809" w:type="dxa"/>
            <w:vAlign w:val="top"/>
          </w:tcPr>
          <w:p w14:paraId="61B3296E">
            <w:pPr>
              <w:pStyle w:val="6"/>
              <w:spacing w:before="219" w:line="222" w:lineRule="auto"/>
              <w:ind w:left="496"/>
              <w:rPr>
                <w:sz w:val="22"/>
                <w:szCs w:val="22"/>
              </w:rPr>
            </w:pPr>
            <w:r>
              <w:rPr>
                <w:spacing w:val="-9"/>
                <w:sz w:val="22"/>
                <w:szCs w:val="22"/>
              </w:rPr>
              <w:t>田坝小学</w:t>
            </w:r>
          </w:p>
        </w:tc>
        <w:tc>
          <w:tcPr>
            <w:tcW w:w="656" w:type="dxa"/>
            <w:vAlign w:val="top"/>
          </w:tcPr>
          <w:p w14:paraId="38183608">
            <w:pPr>
              <w:spacing w:before="255" w:line="189" w:lineRule="auto"/>
              <w:ind w:left="172"/>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SW</w:t>
            </w:r>
          </w:p>
        </w:tc>
        <w:tc>
          <w:tcPr>
            <w:tcW w:w="711" w:type="dxa"/>
            <w:vAlign w:val="top"/>
          </w:tcPr>
          <w:p w14:paraId="32E7674B">
            <w:pPr>
              <w:spacing w:before="256" w:line="189" w:lineRule="auto"/>
              <w:ind w:left="16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-430</w:t>
            </w:r>
          </w:p>
        </w:tc>
        <w:tc>
          <w:tcPr>
            <w:tcW w:w="674" w:type="dxa"/>
            <w:vAlign w:val="top"/>
          </w:tcPr>
          <w:p w14:paraId="61F796CA">
            <w:pPr>
              <w:spacing w:before="256" w:line="189" w:lineRule="auto"/>
              <w:ind w:left="14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-200</w:t>
            </w:r>
          </w:p>
        </w:tc>
        <w:tc>
          <w:tcPr>
            <w:tcW w:w="806" w:type="dxa"/>
            <w:vAlign w:val="top"/>
          </w:tcPr>
          <w:p w14:paraId="6F2DC6BA">
            <w:pPr>
              <w:spacing w:before="256" w:line="189" w:lineRule="auto"/>
              <w:ind w:left="24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410</w:t>
            </w:r>
          </w:p>
        </w:tc>
        <w:tc>
          <w:tcPr>
            <w:tcW w:w="1977" w:type="dxa"/>
            <w:vAlign w:val="top"/>
          </w:tcPr>
          <w:p w14:paraId="072529E7">
            <w:pPr>
              <w:pStyle w:val="6"/>
              <w:spacing w:before="69" w:line="227" w:lineRule="auto"/>
              <w:ind w:left="722" w:right="102" w:hanging="601"/>
              <w:rPr>
                <w:sz w:val="22"/>
                <w:szCs w:val="22"/>
              </w:rPr>
            </w:pPr>
            <w:r>
              <w:rPr>
                <w:spacing w:val="-2"/>
                <w:sz w:val="22"/>
                <w:szCs w:val="22"/>
              </w:rPr>
              <w:t>学校，在校师生约</w:t>
            </w:r>
            <w:r>
              <w:rPr>
                <w:rFonts w:ascii="Times New Roman" w:hAnsi="Times New Roman" w:eastAsia="Times New Roman" w:cs="Times New Roman"/>
                <w:spacing w:val="-2"/>
                <w:sz w:val="22"/>
                <w:szCs w:val="22"/>
              </w:rPr>
              <w:t>600</w:t>
            </w:r>
            <w:r>
              <w:rPr>
                <w:spacing w:val="-2"/>
                <w:sz w:val="22"/>
                <w:szCs w:val="22"/>
              </w:rPr>
              <w:t>人</w:t>
            </w:r>
          </w:p>
        </w:tc>
        <w:tc>
          <w:tcPr>
            <w:tcW w:w="430" w:type="dxa"/>
            <w:vMerge w:val="continue"/>
            <w:tcBorders>
              <w:top w:val="nil"/>
            </w:tcBorders>
            <w:textDirection w:val="tbRlV"/>
            <w:vAlign w:val="top"/>
          </w:tcPr>
          <w:p w14:paraId="739136B7">
            <w:pPr>
              <w:rPr>
                <w:rFonts w:ascii="Arial"/>
                <w:sz w:val="21"/>
              </w:rPr>
            </w:pPr>
          </w:p>
        </w:tc>
        <w:tc>
          <w:tcPr>
            <w:tcW w:w="118" w:type="dxa"/>
            <w:tcBorders>
              <w:top w:val="nil"/>
            </w:tcBorders>
            <w:vAlign w:val="top"/>
          </w:tcPr>
          <w:p w14:paraId="352B2FBA">
            <w:pPr>
              <w:rPr>
                <w:rFonts w:ascii="Arial"/>
                <w:sz w:val="21"/>
              </w:rPr>
            </w:pPr>
          </w:p>
        </w:tc>
      </w:tr>
    </w:tbl>
    <w:p w14:paraId="1880FE95">
      <w:pPr>
        <w:pStyle w:val="2"/>
        <w:rPr>
          <w:sz w:val="21"/>
        </w:rPr>
      </w:pPr>
    </w:p>
    <w:p w14:paraId="33F86806">
      <w:pPr>
        <w:rPr>
          <w:sz w:val="21"/>
          <w:szCs w:val="21"/>
        </w:rPr>
        <w:sectPr>
          <w:footerReference r:id="rId65" w:type="default"/>
          <w:pgSz w:w="11907" w:h="16840"/>
          <w:pgMar w:top="400" w:right="1418" w:bottom="1008" w:left="1418" w:header="0" w:footer="770" w:gutter="0"/>
          <w:cols w:space="720" w:num="1"/>
        </w:sectPr>
      </w:pPr>
    </w:p>
    <w:p w14:paraId="4BAB6814">
      <w:pPr>
        <w:spacing w:before="19"/>
      </w:pPr>
    </w:p>
    <w:p w14:paraId="27A2F240">
      <w:pPr>
        <w:spacing w:before="19"/>
      </w:pPr>
    </w:p>
    <w:p w14:paraId="0D052A90">
      <w:pPr>
        <w:spacing w:before="19"/>
      </w:pPr>
    </w:p>
    <w:p w14:paraId="169CF416">
      <w:pPr>
        <w:spacing w:before="18"/>
      </w:pPr>
    </w:p>
    <w:p w14:paraId="2CD7A870">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5"/>
        <w:gridCol w:w="113"/>
        <w:gridCol w:w="416"/>
        <w:gridCol w:w="63"/>
        <w:gridCol w:w="497"/>
        <w:gridCol w:w="558"/>
        <w:gridCol w:w="599"/>
        <w:gridCol w:w="564"/>
        <w:gridCol w:w="86"/>
        <w:gridCol w:w="537"/>
        <w:gridCol w:w="119"/>
        <w:gridCol w:w="711"/>
        <w:gridCol w:w="385"/>
        <w:gridCol w:w="290"/>
        <w:gridCol w:w="375"/>
        <w:gridCol w:w="432"/>
        <w:gridCol w:w="450"/>
        <w:gridCol w:w="1527"/>
        <w:gridCol w:w="322"/>
        <w:gridCol w:w="108"/>
        <w:gridCol w:w="118"/>
      </w:tblGrid>
      <w:tr w14:paraId="631A3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795" w:type="dxa"/>
            <w:vMerge w:val="restart"/>
            <w:tcBorders>
              <w:bottom w:val="nil"/>
            </w:tcBorders>
            <w:vAlign w:val="top"/>
          </w:tcPr>
          <w:p w14:paraId="23A8301D">
            <w:pPr>
              <w:rPr>
                <w:rFonts w:ascii="Arial"/>
                <w:sz w:val="21"/>
              </w:rPr>
            </w:pPr>
          </w:p>
        </w:tc>
        <w:tc>
          <w:tcPr>
            <w:tcW w:w="113" w:type="dxa"/>
            <w:tcBorders>
              <w:bottom w:val="nil"/>
            </w:tcBorders>
            <w:vAlign w:val="top"/>
          </w:tcPr>
          <w:p w14:paraId="56120280">
            <w:pPr>
              <w:rPr>
                <w:rFonts w:ascii="Arial"/>
                <w:sz w:val="21"/>
              </w:rPr>
            </w:pPr>
          </w:p>
        </w:tc>
        <w:tc>
          <w:tcPr>
            <w:tcW w:w="479" w:type="dxa"/>
            <w:gridSpan w:val="2"/>
            <w:vAlign w:val="top"/>
          </w:tcPr>
          <w:p w14:paraId="23F6AE81">
            <w:pPr>
              <w:spacing w:before="255" w:line="186" w:lineRule="auto"/>
              <w:ind w:left="189"/>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497" w:type="dxa"/>
            <w:vMerge w:val="restart"/>
            <w:tcBorders>
              <w:bottom w:val="nil"/>
            </w:tcBorders>
            <w:vAlign w:val="top"/>
          </w:tcPr>
          <w:p w14:paraId="0CBA7C7B">
            <w:pPr>
              <w:rPr>
                <w:rFonts w:ascii="Arial"/>
                <w:sz w:val="21"/>
              </w:rPr>
            </w:pPr>
          </w:p>
        </w:tc>
        <w:tc>
          <w:tcPr>
            <w:tcW w:w="1807" w:type="dxa"/>
            <w:gridSpan w:val="4"/>
            <w:vAlign w:val="top"/>
          </w:tcPr>
          <w:p w14:paraId="637F69CD">
            <w:pPr>
              <w:pStyle w:val="6"/>
              <w:spacing w:before="217" w:line="221" w:lineRule="auto"/>
              <w:ind w:left="578"/>
              <w:rPr>
                <w:sz w:val="22"/>
                <w:szCs w:val="22"/>
              </w:rPr>
            </w:pPr>
            <w:r>
              <w:rPr>
                <w:spacing w:val="-2"/>
                <w:sz w:val="22"/>
                <w:szCs w:val="22"/>
              </w:rPr>
              <w:t>迪华苑</w:t>
            </w:r>
          </w:p>
        </w:tc>
        <w:tc>
          <w:tcPr>
            <w:tcW w:w="656" w:type="dxa"/>
            <w:gridSpan w:val="2"/>
            <w:vAlign w:val="top"/>
          </w:tcPr>
          <w:p w14:paraId="53328239">
            <w:pPr>
              <w:spacing w:before="252" w:line="189" w:lineRule="auto"/>
              <w:ind w:left="17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SW</w:t>
            </w:r>
          </w:p>
        </w:tc>
        <w:tc>
          <w:tcPr>
            <w:tcW w:w="711" w:type="dxa"/>
            <w:vAlign w:val="top"/>
          </w:tcPr>
          <w:p w14:paraId="4EAABE20">
            <w:pPr>
              <w:spacing w:before="252" w:line="189" w:lineRule="auto"/>
              <w:ind w:left="16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-440</w:t>
            </w:r>
          </w:p>
        </w:tc>
        <w:tc>
          <w:tcPr>
            <w:tcW w:w="675" w:type="dxa"/>
            <w:gridSpan w:val="2"/>
            <w:vAlign w:val="top"/>
          </w:tcPr>
          <w:p w14:paraId="77BE68D1">
            <w:pPr>
              <w:spacing w:before="252" w:line="189" w:lineRule="auto"/>
              <w:ind w:left="14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-330</w:t>
            </w:r>
          </w:p>
        </w:tc>
        <w:tc>
          <w:tcPr>
            <w:tcW w:w="807" w:type="dxa"/>
            <w:gridSpan w:val="2"/>
            <w:vAlign w:val="top"/>
          </w:tcPr>
          <w:p w14:paraId="7D198C9D">
            <w:pPr>
              <w:spacing w:before="252" w:line="189" w:lineRule="auto"/>
              <w:ind w:left="24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460</w:t>
            </w:r>
          </w:p>
        </w:tc>
        <w:tc>
          <w:tcPr>
            <w:tcW w:w="1977" w:type="dxa"/>
            <w:gridSpan w:val="2"/>
            <w:vAlign w:val="top"/>
          </w:tcPr>
          <w:p w14:paraId="1EA01CEC">
            <w:pPr>
              <w:pStyle w:val="6"/>
              <w:spacing w:before="64" w:line="227" w:lineRule="auto"/>
              <w:ind w:left="618" w:right="152" w:hanging="500"/>
              <w:rPr>
                <w:sz w:val="22"/>
                <w:szCs w:val="22"/>
              </w:rPr>
            </w:pPr>
            <w:r>
              <w:rPr>
                <w:spacing w:val="-7"/>
                <w:sz w:val="22"/>
                <w:szCs w:val="22"/>
              </w:rPr>
              <w:t>居民区，约</w:t>
            </w:r>
            <w:r>
              <w:rPr>
                <w:rFonts w:ascii="Times New Roman" w:hAnsi="Times New Roman" w:eastAsia="Times New Roman" w:cs="Times New Roman"/>
                <w:spacing w:val="-7"/>
                <w:sz w:val="22"/>
                <w:szCs w:val="22"/>
              </w:rPr>
              <w:t>40</w:t>
            </w:r>
            <w:r>
              <w:rPr>
                <w:spacing w:val="-7"/>
                <w:sz w:val="22"/>
                <w:szCs w:val="22"/>
              </w:rPr>
              <w:t>户，</w:t>
            </w:r>
            <w:r>
              <w:rPr>
                <w:spacing w:val="-3"/>
                <w:sz w:val="22"/>
                <w:szCs w:val="22"/>
              </w:rPr>
              <w:t>约</w:t>
            </w:r>
            <w:r>
              <w:rPr>
                <w:rFonts w:ascii="Times New Roman" w:hAnsi="Times New Roman" w:eastAsia="Times New Roman" w:cs="Times New Roman"/>
                <w:spacing w:val="-3"/>
                <w:sz w:val="22"/>
                <w:szCs w:val="22"/>
              </w:rPr>
              <w:t>120</w:t>
            </w:r>
            <w:r>
              <w:rPr>
                <w:spacing w:val="-3"/>
                <w:sz w:val="22"/>
                <w:szCs w:val="22"/>
              </w:rPr>
              <w:t>人</w:t>
            </w:r>
          </w:p>
        </w:tc>
        <w:tc>
          <w:tcPr>
            <w:tcW w:w="430" w:type="dxa"/>
            <w:gridSpan w:val="2"/>
            <w:vMerge w:val="restart"/>
            <w:tcBorders>
              <w:bottom w:val="nil"/>
            </w:tcBorders>
            <w:vAlign w:val="top"/>
          </w:tcPr>
          <w:p w14:paraId="50F510B7">
            <w:pPr>
              <w:rPr>
                <w:rFonts w:ascii="Arial"/>
                <w:sz w:val="21"/>
              </w:rPr>
            </w:pPr>
          </w:p>
        </w:tc>
        <w:tc>
          <w:tcPr>
            <w:tcW w:w="118" w:type="dxa"/>
            <w:tcBorders>
              <w:bottom w:val="nil"/>
            </w:tcBorders>
            <w:vAlign w:val="top"/>
          </w:tcPr>
          <w:p w14:paraId="4EF0C276">
            <w:pPr>
              <w:rPr>
                <w:rFonts w:ascii="Arial"/>
                <w:sz w:val="21"/>
              </w:rPr>
            </w:pPr>
          </w:p>
        </w:tc>
      </w:tr>
      <w:tr w14:paraId="38876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795" w:type="dxa"/>
            <w:vMerge w:val="continue"/>
            <w:tcBorders>
              <w:top w:val="nil"/>
              <w:bottom w:val="nil"/>
            </w:tcBorders>
            <w:vAlign w:val="top"/>
          </w:tcPr>
          <w:p w14:paraId="2CD767B0">
            <w:pPr>
              <w:rPr>
                <w:rFonts w:ascii="Arial"/>
                <w:sz w:val="21"/>
              </w:rPr>
            </w:pPr>
          </w:p>
        </w:tc>
        <w:tc>
          <w:tcPr>
            <w:tcW w:w="113" w:type="dxa"/>
            <w:tcBorders>
              <w:top w:val="nil"/>
              <w:bottom w:val="nil"/>
            </w:tcBorders>
            <w:vAlign w:val="top"/>
          </w:tcPr>
          <w:p w14:paraId="38A8A282">
            <w:pPr>
              <w:rPr>
                <w:rFonts w:ascii="Arial"/>
                <w:sz w:val="21"/>
              </w:rPr>
            </w:pPr>
          </w:p>
        </w:tc>
        <w:tc>
          <w:tcPr>
            <w:tcW w:w="479" w:type="dxa"/>
            <w:gridSpan w:val="2"/>
            <w:vAlign w:val="top"/>
          </w:tcPr>
          <w:p w14:paraId="5D6F686A">
            <w:pPr>
              <w:spacing w:before="241" w:line="189" w:lineRule="auto"/>
              <w:ind w:left="188"/>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497" w:type="dxa"/>
            <w:vMerge w:val="continue"/>
            <w:tcBorders>
              <w:top w:val="nil"/>
              <w:bottom w:val="nil"/>
            </w:tcBorders>
            <w:vAlign w:val="top"/>
          </w:tcPr>
          <w:p w14:paraId="6C299B14">
            <w:pPr>
              <w:rPr>
                <w:rFonts w:ascii="Arial"/>
                <w:sz w:val="21"/>
              </w:rPr>
            </w:pPr>
          </w:p>
        </w:tc>
        <w:tc>
          <w:tcPr>
            <w:tcW w:w="1807" w:type="dxa"/>
            <w:gridSpan w:val="4"/>
            <w:vAlign w:val="top"/>
          </w:tcPr>
          <w:p w14:paraId="7A3F1564">
            <w:pPr>
              <w:pStyle w:val="6"/>
              <w:spacing w:before="55" w:line="225" w:lineRule="auto"/>
              <w:ind w:left="700" w:right="131" w:hanging="557"/>
              <w:rPr>
                <w:sz w:val="22"/>
                <w:szCs w:val="22"/>
              </w:rPr>
            </w:pPr>
            <w:r>
              <w:rPr>
                <w:spacing w:val="-2"/>
                <w:sz w:val="22"/>
                <w:szCs w:val="22"/>
              </w:rPr>
              <w:t>九龙坡第二人民</w:t>
            </w:r>
            <w:r>
              <w:rPr>
                <w:spacing w:val="-9"/>
                <w:sz w:val="22"/>
                <w:szCs w:val="22"/>
              </w:rPr>
              <w:t>医院</w:t>
            </w:r>
          </w:p>
        </w:tc>
        <w:tc>
          <w:tcPr>
            <w:tcW w:w="656" w:type="dxa"/>
            <w:gridSpan w:val="2"/>
            <w:vAlign w:val="top"/>
          </w:tcPr>
          <w:p w14:paraId="04162DA5">
            <w:pPr>
              <w:spacing w:before="241" w:line="189" w:lineRule="auto"/>
              <w:ind w:left="17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SW</w:t>
            </w:r>
          </w:p>
        </w:tc>
        <w:tc>
          <w:tcPr>
            <w:tcW w:w="711" w:type="dxa"/>
            <w:vAlign w:val="top"/>
          </w:tcPr>
          <w:p w14:paraId="1FDB9A42">
            <w:pPr>
              <w:spacing w:before="241" w:line="189" w:lineRule="auto"/>
              <w:ind w:left="16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-260</w:t>
            </w:r>
          </w:p>
        </w:tc>
        <w:tc>
          <w:tcPr>
            <w:tcW w:w="675" w:type="dxa"/>
            <w:gridSpan w:val="2"/>
            <w:vAlign w:val="top"/>
          </w:tcPr>
          <w:p w14:paraId="4D0C6B35">
            <w:pPr>
              <w:spacing w:before="241" w:line="189" w:lineRule="auto"/>
              <w:ind w:left="14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-280</w:t>
            </w:r>
          </w:p>
        </w:tc>
        <w:tc>
          <w:tcPr>
            <w:tcW w:w="807" w:type="dxa"/>
            <w:gridSpan w:val="2"/>
            <w:vAlign w:val="top"/>
          </w:tcPr>
          <w:p w14:paraId="4E69E8D9">
            <w:pPr>
              <w:spacing w:before="241" w:line="189" w:lineRule="auto"/>
              <w:ind w:left="24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350</w:t>
            </w:r>
          </w:p>
        </w:tc>
        <w:tc>
          <w:tcPr>
            <w:tcW w:w="1977" w:type="dxa"/>
            <w:gridSpan w:val="2"/>
            <w:vAlign w:val="top"/>
          </w:tcPr>
          <w:p w14:paraId="76311085">
            <w:pPr>
              <w:pStyle w:val="6"/>
              <w:spacing w:before="205" w:line="221" w:lineRule="auto"/>
              <w:ind w:left="786"/>
              <w:rPr>
                <w:sz w:val="22"/>
                <w:szCs w:val="22"/>
              </w:rPr>
            </w:pPr>
            <w:r>
              <w:rPr>
                <w:spacing w:val="-9"/>
                <w:sz w:val="22"/>
                <w:szCs w:val="22"/>
              </w:rPr>
              <w:t>医院</w:t>
            </w:r>
          </w:p>
        </w:tc>
        <w:tc>
          <w:tcPr>
            <w:tcW w:w="430" w:type="dxa"/>
            <w:gridSpan w:val="2"/>
            <w:vMerge w:val="continue"/>
            <w:tcBorders>
              <w:top w:val="nil"/>
              <w:bottom w:val="nil"/>
            </w:tcBorders>
            <w:vAlign w:val="top"/>
          </w:tcPr>
          <w:p w14:paraId="30DA078D">
            <w:pPr>
              <w:rPr>
                <w:rFonts w:ascii="Arial"/>
                <w:sz w:val="21"/>
              </w:rPr>
            </w:pPr>
          </w:p>
        </w:tc>
        <w:tc>
          <w:tcPr>
            <w:tcW w:w="118" w:type="dxa"/>
            <w:tcBorders>
              <w:top w:val="nil"/>
              <w:bottom w:val="nil"/>
            </w:tcBorders>
            <w:vAlign w:val="top"/>
          </w:tcPr>
          <w:p w14:paraId="279E2FDB">
            <w:pPr>
              <w:rPr>
                <w:rFonts w:ascii="Arial"/>
                <w:sz w:val="21"/>
              </w:rPr>
            </w:pPr>
          </w:p>
        </w:tc>
      </w:tr>
      <w:tr w14:paraId="3EB5C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95" w:type="dxa"/>
            <w:vMerge w:val="continue"/>
            <w:tcBorders>
              <w:top w:val="nil"/>
              <w:bottom w:val="nil"/>
            </w:tcBorders>
            <w:vAlign w:val="top"/>
          </w:tcPr>
          <w:p w14:paraId="004A8C61">
            <w:pPr>
              <w:rPr>
                <w:rFonts w:ascii="Arial"/>
                <w:sz w:val="21"/>
              </w:rPr>
            </w:pPr>
          </w:p>
        </w:tc>
        <w:tc>
          <w:tcPr>
            <w:tcW w:w="113" w:type="dxa"/>
            <w:tcBorders>
              <w:top w:val="nil"/>
              <w:bottom w:val="nil"/>
            </w:tcBorders>
            <w:vAlign w:val="top"/>
          </w:tcPr>
          <w:p w14:paraId="169E3B99">
            <w:pPr>
              <w:rPr>
                <w:rFonts w:ascii="Arial"/>
                <w:sz w:val="21"/>
              </w:rPr>
            </w:pPr>
          </w:p>
        </w:tc>
        <w:tc>
          <w:tcPr>
            <w:tcW w:w="479" w:type="dxa"/>
            <w:gridSpan w:val="2"/>
            <w:vAlign w:val="top"/>
          </w:tcPr>
          <w:p w14:paraId="47F9C785">
            <w:pPr>
              <w:spacing w:before="247" w:line="186" w:lineRule="auto"/>
              <w:ind w:left="187"/>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497" w:type="dxa"/>
            <w:vMerge w:val="continue"/>
            <w:tcBorders>
              <w:top w:val="nil"/>
              <w:bottom w:val="nil"/>
            </w:tcBorders>
            <w:vAlign w:val="top"/>
          </w:tcPr>
          <w:p w14:paraId="1DB0190B">
            <w:pPr>
              <w:rPr>
                <w:rFonts w:ascii="Arial"/>
                <w:sz w:val="21"/>
              </w:rPr>
            </w:pPr>
          </w:p>
        </w:tc>
        <w:tc>
          <w:tcPr>
            <w:tcW w:w="1807" w:type="dxa"/>
            <w:gridSpan w:val="4"/>
            <w:vAlign w:val="top"/>
          </w:tcPr>
          <w:p w14:paraId="01E000C1">
            <w:pPr>
              <w:pStyle w:val="6"/>
              <w:spacing w:before="208" w:line="220" w:lineRule="auto"/>
              <w:ind w:left="275"/>
              <w:rPr>
                <w:sz w:val="22"/>
                <w:szCs w:val="22"/>
              </w:rPr>
            </w:pPr>
            <w:r>
              <w:rPr>
                <w:spacing w:val="-6"/>
                <w:sz w:val="22"/>
                <w:szCs w:val="22"/>
              </w:rPr>
              <w:t>田坝正街街道</w:t>
            </w:r>
          </w:p>
        </w:tc>
        <w:tc>
          <w:tcPr>
            <w:tcW w:w="656" w:type="dxa"/>
            <w:gridSpan w:val="2"/>
            <w:vAlign w:val="top"/>
          </w:tcPr>
          <w:p w14:paraId="1014C29F">
            <w:pPr>
              <w:spacing w:before="243" w:line="189" w:lineRule="auto"/>
              <w:ind w:left="280"/>
              <w:rPr>
                <w:rFonts w:ascii="Times New Roman" w:hAnsi="Times New Roman" w:eastAsia="Times New Roman" w:cs="Times New Roman"/>
                <w:sz w:val="22"/>
                <w:szCs w:val="22"/>
              </w:rPr>
            </w:pPr>
            <w:r>
              <w:rPr>
                <w:rFonts w:ascii="Times New Roman" w:hAnsi="Times New Roman" w:eastAsia="Times New Roman" w:cs="Times New Roman"/>
                <w:sz w:val="22"/>
                <w:szCs w:val="22"/>
              </w:rPr>
              <w:t>S</w:t>
            </w:r>
          </w:p>
        </w:tc>
        <w:tc>
          <w:tcPr>
            <w:tcW w:w="711" w:type="dxa"/>
            <w:vAlign w:val="top"/>
          </w:tcPr>
          <w:p w14:paraId="69CD91E8">
            <w:pPr>
              <w:spacing w:before="244" w:line="189" w:lineRule="auto"/>
              <w:ind w:left="162"/>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w:t>
            </w:r>
            <w:r>
              <w:rPr>
                <w:rFonts w:ascii="Times New Roman" w:hAnsi="Times New Roman" w:eastAsia="Times New Roman" w:cs="Times New Roman"/>
                <w:spacing w:val="-30"/>
                <w:sz w:val="22"/>
                <w:szCs w:val="22"/>
              </w:rPr>
              <w:t xml:space="preserve"> </w:t>
            </w:r>
            <w:r>
              <w:rPr>
                <w:rFonts w:ascii="Times New Roman" w:hAnsi="Times New Roman" w:eastAsia="Times New Roman" w:cs="Times New Roman"/>
                <w:spacing w:val="-9"/>
                <w:sz w:val="22"/>
                <w:szCs w:val="22"/>
              </w:rPr>
              <w:t>120</w:t>
            </w:r>
          </w:p>
        </w:tc>
        <w:tc>
          <w:tcPr>
            <w:tcW w:w="675" w:type="dxa"/>
            <w:gridSpan w:val="2"/>
            <w:vAlign w:val="top"/>
          </w:tcPr>
          <w:p w14:paraId="64DDC0B2">
            <w:pPr>
              <w:spacing w:before="244" w:line="189" w:lineRule="auto"/>
              <w:ind w:left="14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-270</w:t>
            </w:r>
          </w:p>
        </w:tc>
        <w:tc>
          <w:tcPr>
            <w:tcW w:w="807" w:type="dxa"/>
            <w:gridSpan w:val="2"/>
            <w:vAlign w:val="top"/>
          </w:tcPr>
          <w:p w14:paraId="6D29B668">
            <w:pPr>
              <w:spacing w:before="244" w:line="189" w:lineRule="auto"/>
              <w:ind w:left="24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250</w:t>
            </w:r>
          </w:p>
        </w:tc>
        <w:tc>
          <w:tcPr>
            <w:tcW w:w="1977" w:type="dxa"/>
            <w:gridSpan w:val="2"/>
            <w:vAlign w:val="top"/>
          </w:tcPr>
          <w:p w14:paraId="51218D37">
            <w:pPr>
              <w:pStyle w:val="6"/>
              <w:spacing w:before="57" w:line="227" w:lineRule="auto"/>
              <w:ind w:left="618" w:right="43" w:hanging="500"/>
              <w:rPr>
                <w:sz w:val="22"/>
                <w:szCs w:val="22"/>
              </w:rPr>
            </w:pPr>
            <w:r>
              <w:rPr>
                <w:spacing w:val="-7"/>
                <w:sz w:val="22"/>
                <w:szCs w:val="22"/>
              </w:rPr>
              <w:t>居民区，约</w:t>
            </w:r>
            <w:r>
              <w:rPr>
                <w:rFonts w:ascii="Times New Roman" w:hAnsi="Times New Roman" w:eastAsia="Times New Roman" w:cs="Times New Roman"/>
                <w:spacing w:val="-7"/>
                <w:sz w:val="22"/>
                <w:szCs w:val="22"/>
              </w:rPr>
              <w:t>300</w:t>
            </w:r>
            <w:r>
              <w:rPr>
                <w:spacing w:val="-7"/>
                <w:sz w:val="22"/>
                <w:szCs w:val="22"/>
              </w:rPr>
              <w:t>户，</w:t>
            </w:r>
            <w:r>
              <w:rPr>
                <w:spacing w:val="-3"/>
                <w:sz w:val="22"/>
                <w:szCs w:val="22"/>
              </w:rPr>
              <w:t>约</w:t>
            </w:r>
            <w:r>
              <w:rPr>
                <w:rFonts w:ascii="Times New Roman" w:hAnsi="Times New Roman" w:eastAsia="Times New Roman" w:cs="Times New Roman"/>
                <w:spacing w:val="-3"/>
                <w:sz w:val="22"/>
                <w:szCs w:val="22"/>
              </w:rPr>
              <w:t>900</w:t>
            </w:r>
            <w:r>
              <w:rPr>
                <w:spacing w:val="-3"/>
                <w:sz w:val="22"/>
                <w:szCs w:val="22"/>
              </w:rPr>
              <w:t>人</w:t>
            </w:r>
          </w:p>
        </w:tc>
        <w:tc>
          <w:tcPr>
            <w:tcW w:w="430" w:type="dxa"/>
            <w:gridSpan w:val="2"/>
            <w:vMerge w:val="continue"/>
            <w:tcBorders>
              <w:top w:val="nil"/>
              <w:bottom w:val="nil"/>
            </w:tcBorders>
            <w:vAlign w:val="top"/>
          </w:tcPr>
          <w:p w14:paraId="1E655E11">
            <w:pPr>
              <w:rPr>
                <w:rFonts w:ascii="Arial"/>
                <w:sz w:val="21"/>
              </w:rPr>
            </w:pPr>
          </w:p>
        </w:tc>
        <w:tc>
          <w:tcPr>
            <w:tcW w:w="118" w:type="dxa"/>
            <w:tcBorders>
              <w:top w:val="nil"/>
              <w:bottom w:val="nil"/>
            </w:tcBorders>
            <w:vAlign w:val="top"/>
          </w:tcPr>
          <w:p w14:paraId="209C54B4">
            <w:pPr>
              <w:rPr>
                <w:rFonts w:ascii="Arial"/>
                <w:sz w:val="21"/>
              </w:rPr>
            </w:pPr>
          </w:p>
        </w:tc>
      </w:tr>
      <w:tr w14:paraId="21DBF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795" w:type="dxa"/>
            <w:vMerge w:val="continue"/>
            <w:tcBorders>
              <w:top w:val="nil"/>
              <w:bottom w:val="nil"/>
            </w:tcBorders>
            <w:vAlign w:val="top"/>
          </w:tcPr>
          <w:p w14:paraId="6D2278FD">
            <w:pPr>
              <w:rPr>
                <w:rFonts w:ascii="Arial"/>
                <w:sz w:val="21"/>
              </w:rPr>
            </w:pPr>
          </w:p>
        </w:tc>
        <w:tc>
          <w:tcPr>
            <w:tcW w:w="113" w:type="dxa"/>
            <w:tcBorders>
              <w:top w:val="nil"/>
              <w:bottom w:val="nil"/>
            </w:tcBorders>
            <w:vAlign w:val="top"/>
          </w:tcPr>
          <w:p w14:paraId="4140AC72">
            <w:pPr>
              <w:rPr>
                <w:rFonts w:ascii="Arial"/>
                <w:sz w:val="21"/>
              </w:rPr>
            </w:pPr>
          </w:p>
        </w:tc>
        <w:tc>
          <w:tcPr>
            <w:tcW w:w="479" w:type="dxa"/>
            <w:gridSpan w:val="2"/>
            <w:vAlign w:val="top"/>
          </w:tcPr>
          <w:p w14:paraId="405D23C7">
            <w:pPr>
              <w:spacing w:before="242" w:line="189" w:lineRule="auto"/>
              <w:ind w:left="192"/>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497" w:type="dxa"/>
            <w:vMerge w:val="continue"/>
            <w:tcBorders>
              <w:top w:val="nil"/>
              <w:bottom w:val="nil"/>
            </w:tcBorders>
            <w:vAlign w:val="top"/>
          </w:tcPr>
          <w:p w14:paraId="4FCAC93A">
            <w:pPr>
              <w:rPr>
                <w:rFonts w:ascii="Arial"/>
                <w:sz w:val="21"/>
              </w:rPr>
            </w:pPr>
          </w:p>
        </w:tc>
        <w:tc>
          <w:tcPr>
            <w:tcW w:w="1807" w:type="dxa"/>
            <w:gridSpan w:val="4"/>
            <w:vAlign w:val="top"/>
          </w:tcPr>
          <w:p w14:paraId="6B67B462">
            <w:pPr>
              <w:pStyle w:val="6"/>
              <w:spacing w:before="204" w:line="220" w:lineRule="auto"/>
              <w:ind w:left="363"/>
              <w:rPr>
                <w:sz w:val="22"/>
                <w:szCs w:val="22"/>
              </w:rPr>
            </w:pPr>
            <w:r>
              <w:rPr>
                <w:spacing w:val="-3"/>
                <w:sz w:val="22"/>
                <w:szCs w:val="22"/>
              </w:rPr>
              <w:t>学樘金茂悦</w:t>
            </w:r>
          </w:p>
        </w:tc>
        <w:tc>
          <w:tcPr>
            <w:tcW w:w="656" w:type="dxa"/>
            <w:gridSpan w:val="2"/>
            <w:vAlign w:val="top"/>
          </w:tcPr>
          <w:p w14:paraId="31080DF2">
            <w:pPr>
              <w:spacing w:before="241" w:line="189" w:lineRule="auto"/>
              <w:ind w:left="210"/>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SE</w:t>
            </w:r>
          </w:p>
        </w:tc>
        <w:tc>
          <w:tcPr>
            <w:tcW w:w="711" w:type="dxa"/>
            <w:vAlign w:val="top"/>
          </w:tcPr>
          <w:p w14:paraId="79FF41FE">
            <w:pPr>
              <w:spacing w:before="242" w:line="189" w:lineRule="auto"/>
              <w:ind w:left="253"/>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675" w:type="dxa"/>
            <w:gridSpan w:val="2"/>
            <w:vAlign w:val="top"/>
          </w:tcPr>
          <w:p w14:paraId="2FAEB40F">
            <w:pPr>
              <w:spacing w:before="242" w:line="189" w:lineRule="auto"/>
              <w:ind w:left="14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c>
          <w:tcPr>
            <w:tcW w:w="807" w:type="dxa"/>
            <w:gridSpan w:val="2"/>
            <w:vAlign w:val="top"/>
          </w:tcPr>
          <w:p w14:paraId="2CB217AC">
            <w:pPr>
              <w:spacing w:before="242" w:line="189" w:lineRule="auto"/>
              <w:ind w:left="24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260</w:t>
            </w:r>
          </w:p>
        </w:tc>
        <w:tc>
          <w:tcPr>
            <w:tcW w:w="1977" w:type="dxa"/>
            <w:gridSpan w:val="2"/>
            <w:vAlign w:val="top"/>
          </w:tcPr>
          <w:p w14:paraId="01189A0B">
            <w:pPr>
              <w:pStyle w:val="6"/>
              <w:spacing w:before="55" w:line="225" w:lineRule="auto"/>
              <w:ind w:left="309" w:right="102" w:hanging="191"/>
              <w:rPr>
                <w:sz w:val="22"/>
                <w:szCs w:val="22"/>
              </w:rPr>
            </w:pPr>
            <w:r>
              <w:rPr>
                <w:spacing w:val="-1"/>
                <w:sz w:val="22"/>
                <w:szCs w:val="22"/>
              </w:rPr>
              <w:t>居民小区，约</w:t>
            </w:r>
            <w:r>
              <w:rPr>
                <w:rFonts w:ascii="Times New Roman" w:hAnsi="Times New Roman" w:eastAsia="Times New Roman" w:cs="Times New Roman"/>
                <w:spacing w:val="-1"/>
                <w:sz w:val="22"/>
                <w:szCs w:val="22"/>
              </w:rPr>
              <w:t>2342</w:t>
            </w:r>
            <w:r>
              <w:rPr>
                <w:spacing w:val="-1"/>
                <w:sz w:val="22"/>
                <w:szCs w:val="22"/>
              </w:rPr>
              <w:t>户，约</w:t>
            </w:r>
            <w:r>
              <w:rPr>
                <w:rFonts w:ascii="Times New Roman" w:hAnsi="Times New Roman" w:eastAsia="Times New Roman" w:cs="Times New Roman"/>
                <w:spacing w:val="-1"/>
                <w:sz w:val="22"/>
                <w:szCs w:val="22"/>
              </w:rPr>
              <w:t>7,026</w:t>
            </w:r>
            <w:r>
              <w:rPr>
                <w:spacing w:val="-1"/>
                <w:sz w:val="22"/>
                <w:szCs w:val="22"/>
              </w:rPr>
              <w:t>人</w:t>
            </w:r>
          </w:p>
        </w:tc>
        <w:tc>
          <w:tcPr>
            <w:tcW w:w="430" w:type="dxa"/>
            <w:gridSpan w:val="2"/>
            <w:vMerge w:val="continue"/>
            <w:tcBorders>
              <w:top w:val="nil"/>
              <w:bottom w:val="nil"/>
            </w:tcBorders>
            <w:vAlign w:val="top"/>
          </w:tcPr>
          <w:p w14:paraId="70A69AF7">
            <w:pPr>
              <w:rPr>
                <w:rFonts w:ascii="Arial"/>
                <w:sz w:val="21"/>
              </w:rPr>
            </w:pPr>
          </w:p>
        </w:tc>
        <w:tc>
          <w:tcPr>
            <w:tcW w:w="118" w:type="dxa"/>
            <w:tcBorders>
              <w:top w:val="nil"/>
              <w:bottom w:val="nil"/>
            </w:tcBorders>
            <w:vAlign w:val="top"/>
          </w:tcPr>
          <w:p w14:paraId="653795EB">
            <w:pPr>
              <w:rPr>
                <w:rFonts w:ascii="Arial"/>
                <w:sz w:val="21"/>
              </w:rPr>
            </w:pPr>
          </w:p>
        </w:tc>
      </w:tr>
      <w:tr w14:paraId="5F5E5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795" w:type="dxa"/>
            <w:vMerge w:val="continue"/>
            <w:tcBorders>
              <w:top w:val="nil"/>
              <w:bottom w:val="nil"/>
            </w:tcBorders>
            <w:vAlign w:val="top"/>
          </w:tcPr>
          <w:p w14:paraId="388E82BA">
            <w:pPr>
              <w:rPr>
                <w:rFonts w:ascii="Arial"/>
                <w:sz w:val="21"/>
              </w:rPr>
            </w:pPr>
          </w:p>
        </w:tc>
        <w:tc>
          <w:tcPr>
            <w:tcW w:w="113" w:type="dxa"/>
            <w:tcBorders>
              <w:top w:val="nil"/>
              <w:bottom w:val="nil"/>
            </w:tcBorders>
            <w:vAlign w:val="top"/>
          </w:tcPr>
          <w:p w14:paraId="434BDBC6">
            <w:pPr>
              <w:rPr>
                <w:rFonts w:ascii="Arial"/>
                <w:sz w:val="21"/>
              </w:rPr>
            </w:pPr>
          </w:p>
        </w:tc>
        <w:tc>
          <w:tcPr>
            <w:tcW w:w="479" w:type="dxa"/>
            <w:gridSpan w:val="2"/>
            <w:vAlign w:val="top"/>
          </w:tcPr>
          <w:p w14:paraId="232CF45A">
            <w:pPr>
              <w:spacing w:before="127" w:line="189" w:lineRule="auto"/>
              <w:ind w:left="188"/>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497" w:type="dxa"/>
            <w:vMerge w:val="continue"/>
            <w:tcBorders>
              <w:top w:val="nil"/>
              <w:bottom w:val="nil"/>
            </w:tcBorders>
            <w:vAlign w:val="top"/>
          </w:tcPr>
          <w:p w14:paraId="24E0B534">
            <w:pPr>
              <w:rPr>
                <w:rFonts w:ascii="Arial"/>
                <w:sz w:val="21"/>
              </w:rPr>
            </w:pPr>
          </w:p>
        </w:tc>
        <w:tc>
          <w:tcPr>
            <w:tcW w:w="1807" w:type="dxa"/>
            <w:gridSpan w:val="4"/>
            <w:vAlign w:val="top"/>
          </w:tcPr>
          <w:p w14:paraId="5E4B25D1">
            <w:pPr>
              <w:pStyle w:val="6"/>
              <w:spacing w:before="91" w:line="220" w:lineRule="auto"/>
              <w:ind w:left="471"/>
              <w:rPr>
                <w:sz w:val="22"/>
                <w:szCs w:val="22"/>
              </w:rPr>
            </w:pPr>
            <w:r>
              <w:rPr>
                <w:spacing w:val="-3"/>
                <w:sz w:val="22"/>
                <w:szCs w:val="22"/>
              </w:rPr>
              <w:t>金茂晓棠</w:t>
            </w:r>
          </w:p>
        </w:tc>
        <w:tc>
          <w:tcPr>
            <w:tcW w:w="656" w:type="dxa"/>
            <w:gridSpan w:val="2"/>
            <w:vAlign w:val="top"/>
          </w:tcPr>
          <w:p w14:paraId="64915933">
            <w:pPr>
              <w:spacing w:before="130" w:line="186" w:lineRule="auto"/>
              <w:ind w:left="264"/>
              <w:rPr>
                <w:rFonts w:ascii="Times New Roman" w:hAnsi="Times New Roman" w:eastAsia="Times New Roman" w:cs="Times New Roman"/>
                <w:sz w:val="22"/>
                <w:szCs w:val="22"/>
              </w:rPr>
            </w:pPr>
            <w:r>
              <w:rPr>
                <w:rFonts w:ascii="Times New Roman" w:hAnsi="Times New Roman" w:eastAsia="Times New Roman" w:cs="Times New Roman"/>
                <w:sz w:val="22"/>
                <w:szCs w:val="22"/>
              </w:rPr>
              <w:t>E</w:t>
            </w:r>
          </w:p>
        </w:tc>
        <w:tc>
          <w:tcPr>
            <w:tcW w:w="711" w:type="dxa"/>
            <w:vAlign w:val="top"/>
          </w:tcPr>
          <w:p w14:paraId="6033657F">
            <w:pPr>
              <w:spacing w:before="127" w:line="189" w:lineRule="auto"/>
              <w:ind w:left="25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70</w:t>
            </w:r>
          </w:p>
        </w:tc>
        <w:tc>
          <w:tcPr>
            <w:tcW w:w="675" w:type="dxa"/>
            <w:gridSpan w:val="2"/>
            <w:vAlign w:val="top"/>
          </w:tcPr>
          <w:p w14:paraId="3AE04F7E">
            <w:pPr>
              <w:spacing w:before="127" w:line="189" w:lineRule="auto"/>
              <w:ind w:left="289"/>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807" w:type="dxa"/>
            <w:gridSpan w:val="2"/>
            <w:vAlign w:val="top"/>
          </w:tcPr>
          <w:p w14:paraId="1E4DD8B0">
            <w:pPr>
              <w:spacing w:before="127" w:line="189" w:lineRule="auto"/>
              <w:ind w:left="29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45</w:t>
            </w:r>
          </w:p>
        </w:tc>
        <w:tc>
          <w:tcPr>
            <w:tcW w:w="1977" w:type="dxa"/>
            <w:gridSpan w:val="2"/>
            <w:vAlign w:val="top"/>
          </w:tcPr>
          <w:p w14:paraId="7B0314F5">
            <w:pPr>
              <w:pStyle w:val="6"/>
              <w:spacing w:before="91" w:line="221" w:lineRule="auto"/>
              <w:ind w:left="228"/>
              <w:rPr>
                <w:sz w:val="22"/>
                <w:szCs w:val="22"/>
              </w:rPr>
            </w:pPr>
            <w:r>
              <w:rPr>
                <w:spacing w:val="-2"/>
                <w:sz w:val="22"/>
                <w:szCs w:val="22"/>
              </w:rPr>
              <w:t>居民小区，在建</w:t>
            </w:r>
          </w:p>
        </w:tc>
        <w:tc>
          <w:tcPr>
            <w:tcW w:w="430" w:type="dxa"/>
            <w:gridSpan w:val="2"/>
            <w:vMerge w:val="continue"/>
            <w:tcBorders>
              <w:top w:val="nil"/>
              <w:bottom w:val="nil"/>
            </w:tcBorders>
            <w:vAlign w:val="top"/>
          </w:tcPr>
          <w:p w14:paraId="1F157A0B">
            <w:pPr>
              <w:rPr>
                <w:rFonts w:ascii="Arial"/>
                <w:sz w:val="21"/>
              </w:rPr>
            </w:pPr>
          </w:p>
        </w:tc>
        <w:tc>
          <w:tcPr>
            <w:tcW w:w="118" w:type="dxa"/>
            <w:tcBorders>
              <w:top w:val="nil"/>
              <w:bottom w:val="nil"/>
            </w:tcBorders>
            <w:vAlign w:val="top"/>
          </w:tcPr>
          <w:p w14:paraId="579CC9A6">
            <w:pPr>
              <w:rPr>
                <w:rFonts w:ascii="Arial"/>
                <w:sz w:val="21"/>
              </w:rPr>
            </w:pPr>
          </w:p>
        </w:tc>
      </w:tr>
      <w:tr w14:paraId="2755B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95" w:type="dxa"/>
            <w:vMerge w:val="continue"/>
            <w:tcBorders>
              <w:top w:val="nil"/>
              <w:bottom w:val="nil"/>
            </w:tcBorders>
            <w:vAlign w:val="top"/>
          </w:tcPr>
          <w:p w14:paraId="31760A87">
            <w:pPr>
              <w:rPr>
                <w:rFonts w:ascii="Arial"/>
                <w:sz w:val="21"/>
              </w:rPr>
            </w:pPr>
          </w:p>
        </w:tc>
        <w:tc>
          <w:tcPr>
            <w:tcW w:w="113" w:type="dxa"/>
            <w:tcBorders>
              <w:top w:val="nil"/>
              <w:bottom w:val="nil"/>
            </w:tcBorders>
            <w:vAlign w:val="top"/>
          </w:tcPr>
          <w:p w14:paraId="7492BF8E">
            <w:pPr>
              <w:rPr>
                <w:rFonts w:ascii="Arial"/>
                <w:sz w:val="21"/>
              </w:rPr>
            </w:pPr>
          </w:p>
        </w:tc>
        <w:tc>
          <w:tcPr>
            <w:tcW w:w="479" w:type="dxa"/>
            <w:gridSpan w:val="2"/>
            <w:vAlign w:val="top"/>
          </w:tcPr>
          <w:p w14:paraId="00346A36">
            <w:pPr>
              <w:spacing w:before="246" w:line="189" w:lineRule="auto"/>
              <w:ind w:left="149"/>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497" w:type="dxa"/>
            <w:vMerge w:val="continue"/>
            <w:tcBorders>
              <w:top w:val="nil"/>
              <w:bottom w:val="nil"/>
            </w:tcBorders>
            <w:vAlign w:val="top"/>
          </w:tcPr>
          <w:p w14:paraId="50412CAE">
            <w:pPr>
              <w:rPr>
                <w:rFonts w:ascii="Arial"/>
                <w:sz w:val="21"/>
              </w:rPr>
            </w:pPr>
          </w:p>
        </w:tc>
        <w:tc>
          <w:tcPr>
            <w:tcW w:w="1807" w:type="dxa"/>
            <w:gridSpan w:val="4"/>
            <w:vAlign w:val="top"/>
          </w:tcPr>
          <w:p w14:paraId="52EF9ED9">
            <w:pPr>
              <w:pStyle w:val="6"/>
              <w:spacing w:before="60" w:line="226" w:lineRule="auto"/>
              <w:ind w:left="490" w:right="131" w:hanging="347"/>
              <w:rPr>
                <w:sz w:val="22"/>
                <w:szCs w:val="22"/>
              </w:rPr>
            </w:pPr>
            <w:r>
              <w:rPr>
                <w:spacing w:val="-2"/>
                <w:sz w:val="22"/>
                <w:szCs w:val="22"/>
              </w:rPr>
              <w:t>九龙坡区实验外</w:t>
            </w:r>
            <w:r>
              <w:rPr>
                <w:spacing w:val="-8"/>
                <w:sz w:val="22"/>
                <w:szCs w:val="22"/>
              </w:rPr>
              <w:t>国语学校</w:t>
            </w:r>
          </w:p>
        </w:tc>
        <w:tc>
          <w:tcPr>
            <w:tcW w:w="656" w:type="dxa"/>
            <w:gridSpan w:val="2"/>
            <w:vAlign w:val="top"/>
          </w:tcPr>
          <w:p w14:paraId="2A6A9AA0">
            <w:pPr>
              <w:spacing w:before="246" w:line="189" w:lineRule="auto"/>
              <w:ind w:left="210"/>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SE</w:t>
            </w:r>
          </w:p>
        </w:tc>
        <w:tc>
          <w:tcPr>
            <w:tcW w:w="711" w:type="dxa"/>
            <w:vAlign w:val="top"/>
          </w:tcPr>
          <w:p w14:paraId="15918800">
            <w:pPr>
              <w:spacing w:before="246"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290</w:t>
            </w:r>
          </w:p>
        </w:tc>
        <w:tc>
          <w:tcPr>
            <w:tcW w:w="675" w:type="dxa"/>
            <w:gridSpan w:val="2"/>
            <w:vAlign w:val="top"/>
          </w:tcPr>
          <w:p w14:paraId="46C63D06">
            <w:pPr>
              <w:spacing w:before="246" w:line="189" w:lineRule="auto"/>
              <w:ind w:left="14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-400</w:t>
            </w:r>
          </w:p>
        </w:tc>
        <w:tc>
          <w:tcPr>
            <w:tcW w:w="807" w:type="dxa"/>
            <w:gridSpan w:val="2"/>
            <w:vAlign w:val="top"/>
          </w:tcPr>
          <w:p w14:paraId="4852F3F3">
            <w:pPr>
              <w:spacing w:before="246" w:line="189" w:lineRule="auto"/>
              <w:ind w:left="24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420</w:t>
            </w:r>
          </w:p>
        </w:tc>
        <w:tc>
          <w:tcPr>
            <w:tcW w:w="1977" w:type="dxa"/>
            <w:gridSpan w:val="2"/>
            <w:vAlign w:val="top"/>
          </w:tcPr>
          <w:p w14:paraId="1F3AC58A">
            <w:pPr>
              <w:pStyle w:val="6"/>
              <w:spacing w:before="60" w:line="226" w:lineRule="auto"/>
              <w:ind w:left="661" w:right="102" w:hanging="540"/>
              <w:rPr>
                <w:sz w:val="22"/>
                <w:szCs w:val="22"/>
              </w:rPr>
            </w:pPr>
            <w:r>
              <w:rPr>
                <w:spacing w:val="-2"/>
                <w:sz w:val="22"/>
                <w:szCs w:val="22"/>
              </w:rPr>
              <w:t>学校，在校师生约</w:t>
            </w:r>
            <w:r>
              <w:rPr>
                <w:rFonts w:ascii="Times New Roman" w:hAnsi="Times New Roman" w:eastAsia="Times New Roman" w:cs="Times New Roman"/>
                <w:spacing w:val="-1"/>
                <w:sz w:val="22"/>
                <w:szCs w:val="22"/>
              </w:rPr>
              <w:t>4500</w:t>
            </w:r>
            <w:r>
              <w:rPr>
                <w:spacing w:val="-1"/>
                <w:sz w:val="22"/>
                <w:szCs w:val="22"/>
              </w:rPr>
              <w:t>人</w:t>
            </w:r>
          </w:p>
        </w:tc>
        <w:tc>
          <w:tcPr>
            <w:tcW w:w="430" w:type="dxa"/>
            <w:gridSpan w:val="2"/>
            <w:vMerge w:val="continue"/>
            <w:tcBorders>
              <w:top w:val="nil"/>
              <w:bottom w:val="nil"/>
            </w:tcBorders>
            <w:vAlign w:val="top"/>
          </w:tcPr>
          <w:p w14:paraId="7AE0D17D">
            <w:pPr>
              <w:rPr>
                <w:rFonts w:ascii="Arial"/>
                <w:sz w:val="21"/>
              </w:rPr>
            </w:pPr>
          </w:p>
        </w:tc>
        <w:tc>
          <w:tcPr>
            <w:tcW w:w="118" w:type="dxa"/>
            <w:tcBorders>
              <w:top w:val="nil"/>
              <w:bottom w:val="nil"/>
            </w:tcBorders>
            <w:vAlign w:val="top"/>
          </w:tcPr>
          <w:p w14:paraId="1FA2F9D4">
            <w:pPr>
              <w:rPr>
                <w:rFonts w:ascii="Arial"/>
                <w:sz w:val="21"/>
              </w:rPr>
            </w:pPr>
          </w:p>
        </w:tc>
      </w:tr>
      <w:tr w14:paraId="75028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795" w:type="dxa"/>
            <w:vMerge w:val="continue"/>
            <w:tcBorders>
              <w:top w:val="nil"/>
              <w:bottom w:val="nil"/>
            </w:tcBorders>
            <w:vAlign w:val="top"/>
          </w:tcPr>
          <w:p w14:paraId="11AD3490">
            <w:pPr>
              <w:rPr>
                <w:rFonts w:ascii="Arial"/>
                <w:sz w:val="21"/>
              </w:rPr>
            </w:pPr>
          </w:p>
        </w:tc>
        <w:tc>
          <w:tcPr>
            <w:tcW w:w="113" w:type="dxa"/>
            <w:tcBorders>
              <w:top w:val="nil"/>
              <w:bottom w:val="nil"/>
            </w:tcBorders>
            <w:vAlign w:val="top"/>
          </w:tcPr>
          <w:p w14:paraId="30F6F3AF">
            <w:pPr>
              <w:rPr>
                <w:rFonts w:ascii="Arial"/>
                <w:sz w:val="21"/>
              </w:rPr>
            </w:pPr>
          </w:p>
        </w:tc>
        <w:tc>
          <w:tcPr>
            <w:tcW w:w="479" w:type="dxa"/>
            <w:gridSpan w:val="2"/>
            <w:vAlign w:val="top"/>
          </w:tcPr>
          <w:p w14:paraId="691757E7">
            <w:pPr>
              <w:spacing w:before="242" w:line="189" w:lineRule="auto"/>
              <w:ind w:left="149"/>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11</w:t>
            </w:r>
          </w:p>
        </w:tc>
        <w:tc>
          <w:tcPr>
            <w:tcW w:w="497" w:type="dxa"/>
            <w:vMerge w:val="continue"/>
            <w:tcBorders>
              <w:top w:val="nil"/>
              <w:bottom w:val="nil"/>
            </w:tcBorders>
            <w:vAlign w:val="top"/>
          </w:tcPr>
          <w:p w14:paraId="300AD3E1">
            <w:pPr>
              <w:rPr>
                <w:rFonts w:ascii="Arial"/>
                <w:sz w:val="21"/>
              </w:rPr>
            </w:pPr>
          </w:p>
        </w:tc>
        <w:tc>
          <w:tcPr>
            <w:tcW w:w="1807" w:type="dxa"/>
            <w:gridSpan w:val="4"/>
            <w:vAlign w:val="top"/>
          </w:tcPr>
          <w:p w14:paraId="34DB6331">
            <w:pPr>
              <w:pStyle w:val="6"/>
              <w:spacing w:before="204" w:line="219" w:lineRule="auto"/>
              <w:ind w:left="359"/>
              <w:rPr>
                <w:sz w:val="22"/>
                <w:szCs w:val="22"/>
              </w:rPr>
            </w:pPr>
            <w:r>
              <w:rPr>
                <w:spacing w:val="-2"/>
                <w:sz w:val="22"/>
                <w:szCs w:val="22"/>
              </w:rPr>
              <w:t>盾安九龙城</w:t>
            </w:r>
          </w:p>
        </w:tc>
        <w:tc>
          <w:tcPr>
            <w:tcW w:w="656" w:type="dxa"/>
            <w:gridSpan w:val="2"/>
            <w:vAlign w:val="top"/>
          </w:tcPr>
          <w:p w14:paraId="60C2ACC5">
            <w:pPr>
              <w:spacing w:before="245" w:line="186" w:lineRule="auto"/>
              <w:ind w:left="264"/>
              <w:rPr>
                <w:rFonts w:ascii="Times New Roman" w:hAnsi="Times New Roman" w:eastAsia="Times New Roman" w:cs="Times New Roman"/>
                <w:sz w:val="22"/>
                <w:szCs w:val="22"/>
              </w:rPr>
            </w:pPr>
            <w:r>
              <w:rPr>
                <w:rFonts w:ascii="Times New Roman" w:hAnsi="Times New Roman" w:eastAsia="Times New Roman" w:cs="Times New Roman"/>
                <w:sz w:val="22"/>
                <w:szCs w:val="22"/>
              </w:rPr>
              <w:t>E</w:t>
            </w:r>
          </w:p>
        </w:tc>
        <w:tc>
          <w:tcPr>
            <w:tcW w:w="711" w:type="dxa"/>
            <w:vAlign w:val="top"/>
          </w:tcPr>
          <w:p w14:paraId="349021E2">
            <w:pPr>
              <w:spacing w:before="242" w:line="189" w:lineRule="auto"/>
              <w:ind w:left="257"/>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80</w:t>
            </w:r>
          </w:p>
        </w:tc>
        <w:tc>
          <w:tcPr>
            <w:tcW w:w="675" w:type="dxa"/>
            <w:gridSpan w:val="2"/>
            <w:vAlign w:val="top"/>
          </w:tcPr>
          <w:p w14:paraId="38A7CD76">
            <w:pPr>
              <w:spacing w:before="242" w:line="189" w:lineRule="auto"/>
              <w:ind w:left="23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807" w:type="dxa"/>
            <w:gridSpan w:val="2"/>
            <w:vAlign w:val="top"/>
          </w:tcPr>
          <w:p w14:paraId="3968D9E8">
            <w:pPr>
              <w:spacing w:before="242" w:line="189" w:lineRule="auto"/>
              <w:ind w:left="30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70</w:t>
            </w:r>
          </w:p>
        </w:tc>
        <w:tc>
          <w:tcPr>
            <w:tcW w:w="1977" w:type="dxa"/>
            <w:gridSpan w:val="2"/>
            <w:vAlign w:val="top"/>
          </w:tcPr>
          <w:p w14:paraId="43345DA0">
            <w:pPr>
              <w:pStyle w:val="6"/>
              <w:spacing w:before="55" w:line="225" w:lineRule="auto"/>
              <w:ind w:left="253" w:right="102" w:hanging="135"/>
              <w:rPr>
                <w:sz w:val="22"/>
                <w:szCs w:val="22"/>
              </w:rPr>
            </w:pPr>
            <w:r>
              <w:rPr>
                <w:spacing w:val="-1"/>
                <w:sz w:val="22"/>
                <w:szCs w:val="22"/>
              </w:rPr>
              <w:t>居民小区，约</w:t>
            </w:r>
            <w:r>
              <w:rPr>
                <w:rFonts w:ascii="Times New Roman" w:hAnsi="Times New Roman" w:eastAsia="Times New Roman" w:cs="Times New Roman"/>
                <w:spacing w:val="-1"/>
                <w:sz w:val="22"/>
                <w:szCs w:val="22"/>
              </w:rPr>
              <w:t>3383</w:t>
            </w:r>
            <w:r>
              <w:rPr>
                <w:spacing w:val="-4"/>
                <w:sz w:val="22"/>
                <w:szCs w:val="22"/>
              </w:rPr>
              <w:t>户，约</w:t>
            </w:r>
            <w:r>
              <w:rPr>
                <w:rFonts w:ascii="Times New Roman" w:hAnsi="Times New Roman" w:eastAsia="Times New Roman" w:cs="Times New Roman"/>
                <w:spacing w:val="-4"/>
                <w:sz w:val="22"/>
                <w:szCs w:val="22"/>
              </w:rPr>
              <w:t>10,</w:t>
            </w:r>
            <w:r>
              <w:rPr>
                <w:rFonts w:ascii="Times New Roman" w:hAnsi="Times New Roman" w:eastAsia="Times New Roman" w:cs="Times New Roman"/>
                <w:spacing w:val="-24"/>
                <w:sz w:val="22"/>
                <w:szCs w:val="22"/>
              </w:rPr>
              <w:t xml:space="preserve"> </w:t>
            </w:r>
            <w:r>
              <w:rPr>
                <w:rFonts w:ascii="Times New Roman" w:hAnsi="Times New Roman" w:eastAsia="Times New Roman" w:cs="Times New Roman"/>
                <w:spacing w:val="-4"/>
                <w:sz w:val="22"/>
                <w:szCs w:val="22"/>
              </w:rPr>
              <w:t>149</w:t>
            </w:r>
            <w:r>
              <w:rPr>
                <w:spacing w:val="-4"/>
                <w:sz w:val="22"/>
                <w:szCs w:val="22"/>
              </w:rPr>
              <w:t>人</w:t>
            </w:r>
          </w:p>
        </w:tc>
        <w:tc>
          <w:tcPr>
            <w:tcW w:w="430" w:type="dxa"/>
            <w:gridSpan w:val="2"/>
            <w:vMerge w:val="continue"/>
            <w:tcBorders>
              <w:top w:val="nil"/>
              <w:bottom w:val="nil"/>
            </w:tcBorders>
            <w:vAlign w:val="top"/>
          </w:tcPr>
          <w:p w14:paraId="59E10FD0">
            <w:pPr>
              <w:rPr>
                <w:rFonts w:ascii="Arial"/>
                <w:sz w:val="21"/>
              </w:rPr>
            </w:pPr>
          </w:p>
        </w:tc>
        <w:tc>
          <w:tcPr>
            <w:tcW w:w="118" w:type="dxa"/>
            <w:tcBorders>
              <w:top w:val="nil"/>
              <w:bottom w:val="nil"/>
            </w:tcBorders>
            <w:vAlign w:val="top"/>
          </w:tcPr>
          <w:p w14:paraId="16682E0B">
            <w:pPr>
              <w:rPr>
                <w:rFonts w:ascii="Arial"/>
                <w:sz w:val="21"/>
              </w:rPr>
            </w:pPr>
          </w:p>
        </w:tc>
      </w:tr>
      <w:tr w14:paraId="4F66F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795" w:type="dxa"/>
            <w:vMerge w:val="continue"/>
            <w:tcBorders>
              <w:top w:val="nil"/>
              <w:bottom w:val="nil"/>
            </w:tcBorders>
            <w:vAlign w:val="top"/>
          </w:tcPr>
          <w:p w14:paraId="6B6CD560">
            <w:pPr>
              <w:rPr>
                <w:rFonts w:ascii="Arial"/>
                <w:sz w:val="21"/>
              </w:rPr>
            </w:pPr>
          </w:p>
        </w:tc>
        <w:tc>
          <w:tcPr>
            <w:tcW w:w="113" w:type="dxa"/>
            <w:tcBorders>
              <w:top w:val="nil"/>
              <w:bottom w:val="nil"/>
            </w:tcBorders>
            <w:vAlign w:val="top"/>
          </w:tcPr>
          <w:p w14:paraId="1E96D5D4">
            <w:pPr>
              <w:rPr>
                <w:rFonts w:ascii="Arial"/>
                <w:sz w:val="21"/>
              </w:rPr>
            </w:pPr>
          </w:p>
        </w:tc>
        <w:tc>
          <w:tcPr>
            <w:tcW w:w="479" w:type="dxa"/>
            <w:gridSpan w:val="2"/>
            <w:vAlign w:val="top"/>
          </w:tcPr>
          <w:p w14:paraId="5C9E60EF">
            <w:pPr>
              <w:spacing w:before="129" w:line="189" w:lineRule="auto"/>
              <w:ind w:left="149"/>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12</w:t>
            </w:r>
          </w:p>
        </w:tc>
        <w:tc>
          <w:tcPr>
            <w:tcW w:w="497" w:type="dxa"/>
            <w:vMerge w:val="continue"/>
            <w:tcBorders>
              <w:top w:val="nil"/>
              <w:bottom w:val="nil"/>
            </w:tcBorders>
            <w:vAlign w:val="top"/>
          </w:tcPr>
          <w:p w14:paraId="20722CE3">
            <w:pPr>
              <w:rPr>
                <w:rFonts w:ascii="Arial"/>
                <w:sz w:val="21"/>
              </w:rPr>
            </w:pPr>
          </w:p>
        </w:tc>
        <w:tc>
          <w:tcPr>
            <w:tcW w:w="1807" w:type="dxa"/>
            <w:gridSpan w:val="4"/>
            <w:vAlign w:val="top"/>
          </w:tcPr>
          <w:p w14:paraId="7205E241">
            <w:pPr>
              <w:pStyle w:val="6"/>
              <w:spacing w:before="91" w:line="220" w:lineRule="auto"/>
              <w:ind w:left="139"/>
              <w:rPr>
                <w:sz w:val="22"/>
                <w:szCs w:val="22"/>
              </w:rPr>
            </w:pPr>
            <w:r>
              <w:rPr>
                <w:spacing w:val="-2"/>
                <w:sz w:val="22"/>
                <w:szCs w:val="22"/>
              </w:rPr>
              <w:t>幸福西山壹号院</w:t>
            </w:r>
          </w:p>
        </w:tc>
        <w:tc>
          <w:tcPr>
            <w:tcW w:w="656" w:type="dxa"/>
            <w:gridSpan w:val="2"/>
            <w:vAlign w:val="top"/>
          </w:tcPr>
          <w:p w14:paraId="046C8908">
            <w:pPr>
              <w:spacing w:before="132" w:line="186" w:lineRule="auto"/>
              <w:ind w:left="13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NW</w:t>
            </w:r>
          </w:p>
        </w:tc>
        <w:tc>
          <w:tcPr>
            <w:tcW w:w="711" w:type="dxa"/>
            <w:vAlign w:val="top"/>
          </w:tcPr>
          <w:p w14:paraId="754C38E7">
            <w:pPr>
              <w:spacing w:before="129" w:line="189" w:lineRule="auto"/>
              <w:ind w:left="21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-25</w:t>
            </w:r>
          </w:p>
        </w:tc>
        <w:tc>
          <w:tcPr>
            <w:tcW w:w="675" w:type="dxa"/>
            <w:gridSpan w:val="2"/>
            <w:vAlign w:val="top"/>
          </w:tcPr>
          <w:p w14:paraId="1F356139">
            <w:pPr>
              <w:spacing w:before="129" w:line="189" w:lineRule="auto"/>
              <w:ind w:left="23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807" w:type="dxa"/>
            <w:gridSpan w:val="2"/>
            <w:vAlign w:val="top"/>
          </w:tcPr>
          <w:p w14:paraId="4FB3836C">
            <w:pPr>
              <w:spacing w:before="129" w:line="189" w:lineRule="auto"/>
              <w:ind w:left="29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25</w:t>
            </w:r>
          </w:p>
        </w:tc>
        <w:tc>
          <w:tcPr>
            <w:tcW w:w="1977" w:type="dxa"/>
            <w:gridSpan w:val="2"/>
            <w:vAlign w:val="top"/>
          </w:tcPr>
          <w:p w14:paraId="189BDE2A">
            <w:pPr>
              <w:pStyle w:val="6"/>
              <w:spacing w:before="91" w:line="221" w:lineRule="auto"/>
              <w:ind w:left="228"/>
              <w:rPr>
                <w:sz w:val="22"/>
                <w:szCs w:val="22"/>
              </w:rPr>
            </w:pPr>
            <w:r>
              <w:rPr>
                <w:spacing w:val="-2"/>
                <w:sz w:val="22"/>
                <w:szCs w:val="22"/>
              </w:rPr>
              <w:t>居民小区，在建</w:t>
            </w:r>
          </w:p>
        </w:tc>
        <w:tc>
          <w:tcPr>
            <w:tcW w:w="430" w:type="dxa"/>
            <w:gridSpan w:val="2"/>
            <w:vMerge w:val="continue"/>
            <w:tcBorders>
              <w:top w:val="nil"/>
              <w:bottom w:val="nil"/>
            </w:tcBorders>
            <w:vAlign w:val="top"/>
          </w:tcPr>
          <w:p w14:paraId="51CD0310">
            <w:pPr>
              <w:rPr>
                <w:rFonts w:ascii="Arial"/>
                <w:sz w:val="21"/>
              </w:rPr>
            </w:pPr>
          </w:p>
        </w:tc>
        <w:tc>
          <w:tcPr>
            <w:tcW w:w="118" w:type="dxa"/>
            <w:tcBorders>
              <w:top w:val="nil"/>
              <w:bottom w:val="nil"/>
            </w:tcBorders>
            <w:vAlign w:val="top"/>
          </w:tcPr>
          <w:p w14:paraId="73EB4D2D">
            <w:pPr>
              <w:rPr>
                <w:rFonts w:ascii="Arial"/>
                <w:sz w:val="21"/>
              </w:rPr>
            </w:pPr>
          </w:p>
        </w:tc>
      </w:tr>
      <w:tr w14:paraId="1BB3E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95" w:type="dxa"/>
            <w:vMerge w:val="continue"/>
            <w:tcBorders>
              <w:top w:val="nil"/>
              <w:bottom w:val="nil"/>
            </w:tcBorders>
            <w:vAlign w:val="top"/>
          </w:tcPr>
          <w:p w14:paraId="311B69D0">
            <w:pPr>
              <w:rPr>
                <w:rFonts w:ascii="Arial"/>
                <w:sz w:val="21"/>
              </w:rPr>
            </w:pPr>
          </w:p>
        </w:tc>
        <w:tc>
          <w:tcPr>
            <w:tcW w:w="113" w:type="dxa"/>
            <w:tcBorders>
              <w:top w:val="nil"/>
              <w:bottom w:val="nil"/>
            </w:tcBorders>
            <w:vAlign w:val="top"/>
          </w:tcPr>
          <w:p w14:paraId="2CA64AEC">
            <w:pPr>
              <w:rPr>
                <w:rFonts w:ascii="Arial"/>
                <w:sz w:val="21"/>
              </w:rPr>
            </w:pPr>
          </w:p>
        </w:tc>
        <w:tc>
          <w:tcPr>
            <w:tcW w:w="479" w:type="dxa"/>
            <w:gridSpan w:val="2"/>
            <w:vAlign w:val="top"/>
          </w:tcPr>
          <w:p w14:paraId="798F3392">
            <w:pPr>
              <w:spacing w:before="247" w:line="189" w:lineRule="auto"/>
              <w:ind w:left="149"/>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13</w:t>
            </w:r>
          </w:p>
        </w:tc>
        <w:tc>
          <w:tcPr>
            <w:tcW w:w="497" w:type="dxa"/>
            <w:vMerge w:val="continue"/>
            <w:tcBorders>
              <w:top w:val="nil"/>
              <w:bottom w:val="nil"/>
            </w:tcBorders>
            <w:vAlign w:val="top"/>
          </w:tcPr>
          <w:p w14:paraId="15D93771">
            <w:pPr>
              <w:rPr>
                <w:rFonts w:ascii="Arial"/>
                <w:sz w:val="21"/>
              </w:rPr>
            </w:pPr>
          </w:p>
        </w:tc>
        <w:tc>
          <w:tcPr>
            <w:tcW w:w="1807" w:type="dxa"/>
            <w:gridSpan w:val="4"/>
            <w:vAlign w:val="top"/>
          </w:tcPr>
          <w:p w14:paraId="658D03D0">
            <w:pPr>
              <w:pStyle w:val="6"/>
              <w:spacing w:before="209" w:line="219" w:lineRule="auto"/>
              <w:ind w:left="359"/>
              <w:rPr>
                <w:sz w:val="22"/>
                <w:szCs w:val="22"/>
              </w:rPr>
            </w:pPr>
            <w:r>
              <w:rPr>
                <w:spacing w:val="-2"/>
                <w:sz w:val="22"/>
                <w:szCs w:val="22"/>
              </w:rPr>
              <w:t>协兴村小区</w:t>
            </w:r>
          </w:p>
        </w:tc>
        <w:tc>
          <w:tcPr>
            <w:tcW w:w="656" w:type="dxa"/>
            <w:gridSpan w:val="2"/>
            <w:vAlign w:val="top"/>
          </w:tcPr>
          <w:p w14:paraId="3D6A6DA1">
            <w:pPr>
              <w:spacing w:before="250" w:line="186" w:lineRule="auto"/>
              <w:ind w:left="24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N</w:t>
            </w:r>
          </w:p>
        </w:tc>
        <w:tc>
          <w:tcPr>
            <w:tcW w:w="711" w:type="dxa"/>
            <w:vAlign w:val="top"/>
          </w:tcPr>
          <w:p w14:paraId="2CD7C527">
            <w:pPr>
              <w:spacing w:before="247" w:line="189" w:lineRule="auto"/>
              <w:ind w:left="307"/>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675" w:type="dxa"/>
            <w:gridSpan w:val="2"/>
            <w:vAlign w:val="top"/>
          </w:tcPr>
          <w:p w14:paraId="6B74F3A6">
            <w:pPr>
              <w:spacing w:before="247" w:line="189" w:lineRule="auto"/>
              <w:ind w:left="18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c>
          <w:tcPr>
            <w:tcW w:w="807" w:type="dxa"/>
            <w:gridSpan w:val="2"/>
            <w:vAlign w:val="top"/>
          </w:tcPr>
          <w:p w14:paraId="58CAAC37">
            <w:pPr>
              <w:spacing w:before="247" w:line="189" w:lineRule="auto"/>
              <w:ind w:left="24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290</w:t>
            </w:r>
          </w:p>
        </w:tc>
        <w:tc>
          <w:tcPr>
            <w:tcW w:w="1977" w:type="dxa"/>
            <w:gridSpan w:val="2"/>
            <w:vAlign w:val="top"/>
          </w:tcPr>
          <w:p w14:paraId="4E9E1DF7">
            <w:pPr>
              <w:pStyle w:val="6"/>
              <w:spacing w:before="60" w:line="226" w:lineRule="auto"/>
              <w:ind w:left="309" w:right="102" w:hanging="191"/>
              <w:rPr>
                <w:sz w:val="22"/>
                <w:szCs w:val="22"/>
              </w:rPr>
            </w:pPr>
            <w:r>
              <w:rPr>
                <w:spacing w:val="-1"/>
                <w:sz w:val="22"/>
                <w:szCs w:val="22"/>
              </w:rPr>
              <w:t>居民小区，约</w:t>
            </w:r>
            <w:r>
              <w:rPr>
                <w:rFonts w:ascii="Times New Roman" w:hAnsi="Times New Roman" w:eastAsia="Times New Roman" w:cs="Times New Roman"/>
                <w:spacing w:val="-1"/>
                <w:sz w:val="22"/>
                <w:szCs w:val="22"/>
              </w:rPr>
              <w:t>1634</w:t>
            </w:r>
            <w:r>
              <w:rPr>
                <w:spacing w:val="-1"/>
                <w:sz w:val="22"/>
                <w:szCs w:val="22"/>
              </w:rPr>
              <w:t>户，约</w:t>
            </w:r>
            <w:r>
              <w:rPr>
                <w:rFonts w:ascii="Times New Roman" w:hAnsi="Times New Roman" w:eastAsia="Times New Roman" w:cs="Times New Roman"/>
                <w:spacing w:val="-1"/>
                <w:sz w:val="22"/>
                <w:szCs w:val="22"/>
              </w:rPr>
              <w:t>4,902</w:t>
            </w:r>
            <w:r>
              <w:rPr>
                <w:spacing w:val="-1"/>
                <w:sz w:val="22"/>
                <w:szCs w:val="22"/>
              </w:rPr>
              <w:t>人</w:t>
            </w:r>
          </w:p>
        </w:tc>
        <w:tc>
          <w:tcPr>
            <w:tcW w:w="430" w:type="dxa"/>
            <w:gridSpan w:val="2"/>
            <w:vMerge w:val="continue"/>
            <w:tcBorders>
              <w:top w:val="nil"/>
              <w:bottom w:val="nil"/>
            </w:tcBorders>
            <w:vAlign w:val="top"/>
          </w:tcPr>
          <w:p w14:paraId="17766F62">
            <w:pPr>
              <w:rPr>
                <w:rFonts w:ascii="Arial"/>
                <w:sz w:val="21"/>
              </w:rPr>
            </w:pPr>
          </w:p>
        </w:tc>
        <w:tc>
          <w:tcPr>
            <w:tcW w:w="118" w:type="dxa"/>
            <w:tcBorders>
              <w:top w:val="nil"/>
              <w:bottom w:val="nil"/>
            </w:tcBorders>
            <w:vAlign w:val="top"/>
          </w:tcPr>
          <w:p w14:paraId="25DFC8DE">
            <w:pPr>
              <w:rPr>
                <w:rFonts w:ascii="Arial"/>
                <w:sz w:val="21"/>
              </w:rPr>
            </w:pPr>
          </w:p>
        </w:tc>
      </w:tr>
      <w:tr w14:paraId="64D84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95" w:type="dxa"/>
            <w:vMerge w:val="continue"/>
            <w:tcBorders>
              <w:top w:val="nil"/>
              <w:bottom w:val="nil"/>
            </w:tcBorders>
            <w:vAlign w:val="top"/>
          </w:tcPr>
          <w:p w14:paraId="2DFF76DE">
            <w:pPr>
              <w:rPr>
                <w:rFonts w:ascii="Arial"/>
                <w:sz w:val="21"/>
              </w:rPr>
            </w:pPr>
          </w:p>
        </w:tc>
        <w:tc>
          <w:tcPr>
            <w:tcW w:w="113" w:type="dxa"/>
            <w:tcBorders>
              <w:top w:val="nil"/>
              <w:bottom w:val="nil"/>
            </w:tcBorders>
            <w:vAlign w:val="top"/>
          </w:tcPr>
          <w:p w14:paraId="72D64DBF">
            <w:pPr>
              <w:rPr>
                <w:rFonts w:ascii="Arial"/>
                <w:sz w:val="21"/>
              </w:rPr>
            </w:pPr>
          </w:p>
        </w:tc>
        <w:tc>
          <w:tcPr>
            <w:tcW w:w="479" w:type="dxa"/>
            <w:gridSpan w:val="2"/>
            <w:vAlign w:val="top"/>
          </w:tcPr>
          <w:p w14:paraId="05E9DAE7">
            <w:pPr>
              <w:spacing w:before="242" w:line="189" w:lineRule="auto"/>
              <w:ind w:left="149"/>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14</w:t>
            </w:r>
          </w:p>
        </w:tc>
        <w:tc>
          <w:tcPr>
            <w:tcW w:w="497" w:type="dxa"/>
            <w:vMerge w:val="continue"/>
            <w:tcBorders>
              <w:top w:val="nil"/>
            </w:tcBorders>
            <w:vAlign w:val="top"/>
          </w:tcPr>
          <w:p w14:paraId="69DB166E">
            <w:pPr>
              <w:rPr>
                <w:rFonts w:ascii="Arial"/>
                <w:sz w:val="21"/>
              </w:rPr>
            </w:pPr>
          </w:p>
        </w:tc>
        <w:tc>
          <w:tcPr>
            <w:tcW w:w="1807" w:type="dxa"/>
            <w:gridSpan w:val="4"/>
            <w:vAlign w:val="top"/>
          </w:tcPr>
          <w:p w14:paraId="2ECD4D53">
            <w:pPr>
              <w:pStyle w:val="6"/>
              <w:spacing w:before="207" w:line="221" w:lineRule="auto"/>
              <w:ind w:left="200"/>
              <w:rPr>
                <w:sz w:val="22"/>
                <w:szCs w:val="22"/>
              </w:rPr>
            </w:pPr>
            <w:r>
              <w:rPr>
                <w:spacing w:val="-5"/>
                <w:sz w:val="22"/>
                <w:szCs w:val="22"/>
              </w:rPr>
              <w:t>田家炳中学</w:t>
            </w:r>
            <w:r>
              <w:rPr>
                <w:rFonts w:ascii="Times New Roman" w:hAnsi="Times New Roman" w:eastAsia="Times New Roman" w:cs="Times New Roman"/>
                <w:spacing w:val="-5"/>
                <w:sz w:val="22"/>
                <w:szCs w:val="22"/>
              </w:rPr>
              <w:t>B</w:t>
            </w:r>
            <w:r>
              <w:rPr>
                <w:spacing w:val="-5"/>
                <w:sz w:val="22"/>
                <w:szCs w:val="22"/>
              </w:rPr>
              <w:t>区</w:t>
            </w:r>
          </w:p>
        </w:tc>
        <w:tc>
          <w:tcPr>
            <w:tcW w:w="656" w:type="dxa"/>
            <w:gridSpan w:val="2"/>
            <w:vAlign w:val="top"/>
          </w:tcPr>
          <w:p w14:paraId="10311FA7">
            <w:pPr>
              <w:spacing w:before="245" w:line="186" w:lineRule="auto"/>
              <w:ind w:left="13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NW</w:t>
            </w:r>
          </w:p>
        </w:tc>
        <w:tc>
          <w:tcPr>
            <w:tcW w:w="711" w:type="dxa"/>
            <w:vAlign w:val="top"/>
          </w:tcPr>
          <w:p w14:paraId="1F695C51">
            <w:pPr>
              <w:spacing w:before="242" w:line="189" w:lineRule="auto"/>
              <w:ind w:left="16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-320</w:t>
            </w:r>
          </w:p>
        </w:tc>
        <w:tc>
          <w:tcPr>
            <w:tcW w:w="675" w:type="dxa"/>
            <w:gridSpan w:val="2"/>
            <w:vAlign w:val="top"/>
          </w:tcPr>
          <w:p w14:paraId="47521211">
            <w:pPr>
              <w:spacing w:before="242" w:line="189" w:lineRule="auto"/>
              <w:ind w:left="17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280</w:t>
            </w:r>
          </w:p>
        </w:tc>
        <w:tc>
          <w:tcPr>
            <w:tcW w:w="807" w:type="dxa"/>
            <w:gridSpan w:val="2"/>
            <w:vAlign w:val="top"/>
          </w:tcPr>
          <w:p w14:paraId="05631768">
            <w:pPr>
              <w:spacing w:before="242" w:line="189" w:lineRule="auto"/>
              <w:ind w:left="24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360</w:t>
            </w:r>
          </w:p>
        </w:tc>
        <w:tc>
          <w:tcPr>
            <w:tcW w:w="1977" w:type="dxa"/>
            <w:gridSpan w:val="2"/>
            <w:vAlign w:val="top"/>
          </w:tcPr>
          <w:p w14:paraId="6FD716DF">
            <w:pPr>
              <w:pStyle w:val="6"/>
              <w:spacing w:before="55" w:line="227" w:lineRule="auto"/>
              <w:ind w:left="662" w:right="102" w:hanging="541"/>
              <w:rPr>
                <w:sz w:val="22"/>
                <w:szCs w:val="22"/>
              </w:rPr>
            </w:pPr>
            <w:r>
              <w:rPr>
                <w:spacing w:val="-2"/>
                <w:sz w:val="22"/>
                <w:szCs w:val="22"/>
              </w:rPr>
              <w:t>学校，在校师生约</w:t>
            </w:r>
            <w:r>
              <w:rPr>
                <w:rFonts w:ascii="Times New Roman" w:hAnsi="Times New Roman" w:eastAsia="Times New Roman" w:cs="Times New Roman"/>
                <w:spacing w:val="-1"/>
                <w:sz w:val="22"/>
                <w:szCs w:val="22"/>
              </w:rPr>
              <w:t>2800</w:t>
            </w:r>
            <w:r>
              <w:rPr>
                <w:spacing w:val="-1"/>
                <w:sz w:val="22"/>
                <w:szCs w:val="22"/>
              </w:rPr>
              <w:t>人</w:t>
            </w:r>
          </w:p>
        </w:tc>
        <w:tc>
          <w:tcPr>
            <w:tcW w:w="430" w:type="dxa"/>
            <w:gridSpan w:val="2"/>
            <w:vMerge w:val="continue"/>
            <w:tcBorders>
              <w:top w:val="nil"/>
            </w:tcBorders>
            <w:vAlign w:val="top"/>
          </w:tcPr>
          <w:p w14:paraId="3D3F84EA">
            <w:pPr>
              <w:rPr>
                <w:rFonts w:ascii="Arial"/>
                <w:sz w:val="21"/>
              </w:rPr>
            </w:pPr>
          </w:p>
        </w:tc>
        <w:tc>
          <w:tcPr>
            <w:tcW w:w="118" w:type="dxa"/>
            <w:tcBorders>
              <w:top w:val="nil"/>
              <w:bottom w:val="nil"/>
            </w:tcBorders>
            <w:vAlign w:val="top"/>
          </w:tcPr>
          <w:p w14:paraId="4F19A4D0">
            <w:pPr>
              <w:rPr>
                <w:rFonts w:ascii="Arial"/>
                <w:sz w:val="21"/>
              </w:rPr>
            </w:pPr>
          </w:p>
        </w:tc>
      </w:tr>
      <w:tr w14:paraId="6A449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9" w:hRule="atLeast"/>
        </w:trPr>
        <w:tc>
          <w:tcPr>
            <w:tcW w:w="795" w:type="dxa"/>
            <w:vMerge w:val="continue"/>
            <w:tcBorders>
              <w:top w:val="nil"/>
              <w:bottom w:val="nil"/>
            </w:tcBorders>
            <w:vAlign w:val="top"/>
          </w:tcPr>
          <w:p w14:paraId="4BAD4793">
            <w:pPr>
              <w:rPr>
                <w:rFonts w:ascii="Arial"/>
                <w:sz w:val="21"/>
              </w:rPr>
            </w:pPr>
          </w:p>
        </w:tc>
        <w:tc>
          <w:tcPr>
            <w:tcW w:w="8270" w:type="dxa"/>
            <w:gridSpan w:val="20"/>
            <w:vAlign w:val="top"/>
          </w:tcPr>
          <w:p w14:paraId="65F8F0F9">
            <w:pPr>
              <w:pStyle w:val="6"/>
              <w:spacing w:before="34" w:line="219" w:lineRule="auto"/>
              <w:ind w:left="111"/>
              <w:rPr>
                <w:sz w:val="22"/>
                <w:szCs w:val="22"/>
              </w:rPr>
            </w:pPr>
            <w:r>
              <w:rPr>
                <w:sz w:val="22"/>
                <w:szCs w:val="22"/>
              </w:rPr>
              <w:t>注：坐标原点为厂区中心位置，东西为</w:t>
            </w:r>
            <w:r>
              <w:rPr>
                <w:spacing w:val="-54"/>
                <w:sz w:val="22"/>
                <w:szCs w:val="22"/>
              </w:rPr>
              <w:t xml:space="preserve"> </w:t>
            </w:r>
            <w:r>
              <w:rPr>
                <w:rFonts w:ascii="Times New Roman" w:hAnsi="Times New Roman" w:eastAsia="Times New Roman" w:cs="Times New Roman"/>
                <w:sz w:val="22"/>
                <w:szCs w:val="22"/>
              </w:rPr>
              <w:t xml:space="preserve">X </w:t>
            </w:r>
            <w:r>
              <w:rPr>
                <w:sz w:val="22"/>
                <w:szCs w:val="22"/>
              </w:rPr>
              <w:t>轴，南北为</w:t>
            </w:r>
            <w:r>
              <w:rPr>
                <w:spacing w:val="-53"/>
                <w:sz w:val="22"/>
                <w:szCs w:val="22"/>
              </w:rPr>
              <w:t xml:space="preserve"> </w:t>
            </w:r>
            <w:r>
              <w:rPr>
                <w:rFonts w:ascii="Times New Roman" w:hAnsi="Times New Roman" w:eastAsia="Times New Roman" w:cs="Times New Roman"/>
                <w:sz w:val="22"/>
                <w:szCs w:val="22"/>
              </w:rPr>
              <w:t xml:space="preserve">Y </w:t>
            </w:r>
            <w:r>
              <w:rPr>
                <w:spacing w:val="-1"/>
                <w:sz w:val="22"/>
                <w:szCs w:val="22"/>
              </w:rPr>
              <w:t>轴，垂直方向为</w:t>
            </w:r>
            <w:r>
              <w:rPr>
                <w:spacing w:val="-54"/>
                <w:sz w:val="22"/>
                <w:szCs w:val="22"/>
              </w:rPr>
              <w:t xml:space="preserve"> </w:t>
            </w:r>
            <w:r>
              <w:rPr>
                <w:rFonts w:ascii="Times New Roman" w:hAnsi="Times New Roman" w:eastAsia="Times New Roman" w:cs="Times New Roman"/>
                <w:spacing w:val="-1"/>
                <w:sz w:val="22"/>
                <w:szCs w:val="22"/>
              </w:rPr>
              <w:t xml:space="preserve">Z </w:t>
            </w:r>
            <w:r>
              <w:rPr>
                <w:spacing w:val="-1"/>
                <w:sz w:val="22"/>
                <w:szCs w:val="22"/>
              </w:rPr>
              <w:t>轴。</w:t>
            </w:r>
          </w:p>
          <w:p w14:paraId="12F7A19B">
            <w:pPr>
              <w:pStyle w:val="6"/>
              <w:spacing w:before="137" w:line="227" w:lineRule="auto"/>
              <w:ind w:left="106"/>
            </w:pPr>
            <w:r>
              <w:rPr>
                <w:rFonts w:ascii="Times New Roman" w:hAnsi="Times New Roman" w:eastAsia="Times New Roman" w:cs="Times New Roman"/>
                <w:b/>
                <w:bCs/>
                <w:spacing w:val="2"/>
              </w:rPr>
              <w:t>3.2.3</w:t>
            </w:r>
            <w:r>
              <w:rPr>
                <w:rFonts w:ascii="Times New Roman" w:hAnsi="Times New Roman" w:eastAsia="Times New Roman" w:cs="Times New Roman"/>
                <w:b/>
                <w:bCs/>
                <w:spacing w:val="26"/>
              </w:rPr>
              <w:t xml:space="preserve"> </w:t>
            </w:r>
            <w:r>
              <w:rPr>
                <w:b/>
                <w:bCs/>
                <w:spacing w:val="2"/>
              </w:rPr>
              <w:t>声环境</w:t>
            </w:r>
          </w:p>
          <w:p w14:paraId="301013E0">
            <w:pPr>
              <w:pStyle w:val="6"/>
              <w:spacing w:before="152" w:line="340" w:lineRule="auto"/>
              <w:ind w:left="113" w:right="108" w:firstLine="519"/>
              <w:jc w:val="both"/>
            </w:pPr>
            <w:r>
              <w:rPr>
                <w:spacing w:val="7"/>
              </w:rPr>
              <w:t>根据现场调查，本项目声环境评价范围为</w:t>
            </w:r>
            <w:r>
              <w:rPr>
                <w:spacing w:val="-42"/>
              </w:rPr>
              <w:t xml:space="preserve"> </w:t>
            </w:r>
            <w:r>
              <w:rPr>
                <w:rFonts w:ascii="Times New Roman" w:hAnsi="Times New Roman" w:eastAsia="Times New Roman" w:cs="Times New Roman"/>
                <w:spacing w:val="7"/>
              </w:rPr>
              <w:t>50m</w:t>
            </w:r>
            <w:r>
              <w:rPr>
                <w:rFonts w:ascii="Times New Roman" w:hAnsi="Times New Roman" w:eastAsia="Times New Roman" w:cs="Times New Roman"/>
                <w:spacing w:val="-28"/>
              </w:rPr>
              <w:t xml:space="preserve"> </w:t>
            </w:r>
            <w:r>
              <w:rPr>
                <w:spacing w:val="7"/>
              </w:rPr>
              <w:t>，该评价范围内声环</w:t>
            </w:r>
            <w:r>
              <w:rPr>
                <w:spacing w:val="9"/>
              </w:rPr>
              <w:t>境保护目标为乔鹤佳苑（</w:t>
            </w:r>
            <w:r>
              <w:rPr>
                <w:rFonts w:ascii="Times New Roman" w:hAnsi="Times New Roman" w:eastAsia="Times New Roman" w:cs="Times New Roman"/>
                <w:spacing w:val="9"/>
              </w:rPr>
              <w:t xml:space="preserve">5 </w:t>
            </w:r>
            <w:r>
              <w:rPr>
                <w:spacing w:val="9"/>
              </w:rPr>
              <w:t>栋、</w:t>
            </w:r>
            <w:r>
              <w:rPr>
                <w:rFonts w:ascii="Times New Roman" w:hAnsi="Times New Roman" w:eastAsia="Times New Roman" w:cs="Times New Roman"/>
                <w:spacing w:val="9"/>
              </w:rPr>
              <w:t xml:space="preserve">6 </w:t>
            </w:r>
            <w:r>
              <w:rPr>
                <w:spacing w:val="9"/>
              </w:rPr>
              <w:t>栋）、金茂晓棠（在建）</w:t>
            </w:r>
            <w:r>
              <w:rPr>
                <w:spacing w:val="8"/>
              </w:rPr>
              <w:t>及幸福西山</w:t>
            </w:r>
            <w:r>
              <w:rPr>
                <w:spacing w:val="7"/>
              </w:rPr>
              <w:t>（在建</w:t>
            </w:r>
            <w:r>
              <w:rPr>
                <w:spacing w:val="19"/>
              </w:rPr>
              <w:t>），</w:t>
            </w:r>
            <w:r>
              <w:rPr>
                <w:spacing w:val="7"/>
              </w:rPr>
              <w:t>声环境保护目标见下表。</w:t>
            </w:r>
          </w:p>
          <w:p w14:paraId="02DDB735">
            <w:pPr>
              <w:pStyle w:val="6"/>
              <w:spacing w:before="1" w:line="224" w:lineRule="auto"/>
              <w:ind w:left="2276"/>
            </w:pPr>
            <w:r>
              <w:rPr>
                <w:spacing w:val="5"/>
              </w:rPr>
              <w:t>表</w:t>
            </w:r>
            <w:r>
              <w:rPr>
                <w:spacing w:val="-32"/>
              </w:rPr>
              <w:t xml:space="preserve"> </w:t>
            </w:r>
            <w:r>
              <w:rPr>
                <w:rFonts w:ascii="Times New Roman" w:hAnsi="Times New Roman" w:eastAsia="Times New Roman" w:cs="Times New Roman"/>
                <w:spacing w:val="5"/>
              </w:rPr>
              <w:t xml:space="preserve">3.2-3    </w:t>
            </w:r>
            <w:r>
              <w:rPr>
                <w:spacing w:val="5"/>
              </w:rPr>
              <w:t>声环境保护目标一览表</w:t>
            </w:r>
          </w:p>
        </w:tc>
      </w:tr>
      <w:tr w14:paraId="00435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795" w:type="dxa"/>
            <w:vMerge w:val="continue"/>
            <w:tcBorders>
              <w:top w:val="nil"/>
              <w:bottom w:val="nil"/>
            </w:tcBorders>
            <w:vAlign w:val="top"/>
          </w:tcPr>
          <w:p w14:paraId="2A8B9287">
            <w:pPr>
              <w:rPr>
                <w:rFonts w:ascii="Arial"/>
                <w:sz w:val="21"/>
              </w:rPr>
            </w:pPr>
          </w:p>
        </w:tc>
        <w:tc>
          <w:tcPr>
            <w:tcW w:w="113" w:type="dxa"/>
            <w:tcBorders>
              <w:top w:val="nil"/>
              <w:bottom w:val="nil"/>
            </w:tcBorders>
            <w:vAlign w:val="top"/>
          </w:tcPr>
          <w:p w14:paraId="6AEE5835">
            <w:pPr>
              <w:rPr>
                <w:rFonts w:ascii="Arial"/>
                <w:sz w:val="21"/>
              </w:rPr>
            </w:pPr>
          </w:p>
        </w:tc>
        <w:tc>
          <w:tcPr>
            <w:tcW w:w="416" w:type="dxa"/>
            <w:vMerge w:val="restart"/>
            <w:tcBorders>
              <w:bottom w:val="nil"/>
            </w:tcBorders>
            <w:textDirection w:val="tbRlV"/>
            <w:vAlign w:val="top"/>
          </w:tcPr>
          <w:p w14:paraId="05EDC5C6">
            <w:pPr>
              <w:pStyle w:val="6"/>
              <w:spacing w:before="84" w:line="211" w:lineRule="auto"/>
              <w:ind w:left="61"/>
              <w:rPr>
                <w:sz w:val="22"/>
                <w:szCs w:val="22"/>
              </w:rPr>
            </w:pPr>
            <w:r>
              <w:rPr>
                <w:sz w:val="22"/>
                <w:szCs w:val="22"/>
              </w:rPr>
              <w:t>序</w:t>
            </w:r>
            <w:r>
              <w:rPr>
                <w:spacing w:val="-31"/>
                <w:sz w:val="22"/>
                <w:szCs w:val="22"/>
              </w:rPr>
              <w:t xml:space="preserve"> </w:t>
            </w:r>
            <w:r>
              <w:rPr>
                <w:sz w:val="22"/>
                <w:szCs w:val="22"/>
              </w:rPr>
              <w:t>号</w:t>
            </w:r>
          </w:p>
        </w:tc>
        <w:tc>
          <w:tcPr>
            <w:tcW w:w="1118" w:type="dxa"/>
            <w:gridSpan w:val="3"/>
            <w:vMerge w:val="restart"/>
            <w:tcBorders>
              <w:bottom w:val="nil"/>
            </w:tcBorders>
            <w:vAlign w:val="top"/>
          </w:tcPr>
          <w:p w14:paraId="63A53530">
            <w:pPr>
              <w:pStyle w:val="6"/>
              <w:spacing w:before="210" w:line="222" w:lineRule="auto"/>
              <w:ind w:left="345"/>
              <w:rPr>
                <w:sz w:val="22"/>
                <w:szCs w:val="22"/>
              </w:rPr>
            </w:pPr>
            <w:r>
              <w:rPr>
                <w:spacing w:val="-5"/>
                <w:sz w:val="22"/>
                <w:szCs w:val="22"/>
              </w:rPr>
              <w:t>名称</w:t>
            </w:r>
          </w:p>
        </w:tc>
        <w:tc>
          <w:tcPr>
            <w:tcW w:w="1786" w:type="dxa"/>
            <w:gridSpan w:val="4"/>
            <w:vAlign w:val="top"/>
          </w:tcPr>
          <w:p w14:paraId="558A1659">
            <w:pPr>
              <w:pStyle w:val="6"/>
              <w:spacing w:before="53" w:line="196" w:lineRule="auto"/>
              <w:ind w:left="129"/>
              <w:rPr>
                <w:rFonts w:ascii="Times New Roman" w:hAnsi="Times New Roman" w:eastAsia="Times New Roman" w:cs="Times New Roman"/>
                <w:sz w:val="22"/>
                <w:szCs w:val="22"/>
              </w:rPr>
            </w:pPr>
            <w:r>
              <w:rPr>
                <w:spacing w:val="-2"/>
                <w:sz w:val="22"/>
                <w:szCs w:val="22"/>
              </w:rPr>
              <w:t>空间相对位置</w:t>
            </w:r>
            <w:r>
              <w:rPr>
                <w:rFonts w:ascii="Times New Roman" w:hAnsi="Times New Roman" w:eastAsia="Times New Roman" w:cs="Times New Roman"/>
                <w:spacing w:val="-2"/>
                <w:sz w:val="22"/>
                <w:szCs w:val="22"/>
              </w:rPr>
              <w:t>/m</w:t>
            </w:r>
          </w:p>
        </w:tc>
        <w:tc>
          <w:tcPr>
            <w:tcW w:w="1215" w:type="dxa"/>
            <w:gridSpan w:val="3"/>
            <w:vMerge w:val="restart"/>
            <w:tcBorders>
              <w:bottom w:val="nil"/>
            </w:tcBorders>
            <w:vAlign w:val="top"/>
          </w:tcPr>
          <w:p w14:paraId="765F5B4E">
            <w:pPr>
              <w:pStyle w:val="6"/>
              <w:spacing w:before="61" w:line="228" w:lineRule="auto"/>
              <w:ind w:left="169" w:right="154" w:firstLine="4"/>
              <w:rPr>
                <w:rFonts w:ascii="Times New Roman" w:hAnsi="Times New Roman" w:eastAsia="Times New Roman" w:cs="Times New Roman"/>
                <w:sz w:val="22"/>
                <w:szCs w:val="22"/>
              </w:rPr>
            </w:pPr>
            <w:r>
              <w:rPr>
                <w:spacing w:val="-2"/>
                <w:sz w:val="22"/>
                <w:szCs w:val="22"/>
              </w:rPr>
              <w:t>距厂界最近距离</w:t>
            </w:r>
            <w:r>
              <w:rPr>
                <w:rFonts w:ascii="Times New Roman" w:hAnsi="Times New Roman" w:eastAsia="Times New Roman" w:cs="Times New Roman"/>
                <w:spacing w:val="-2"/>
                <w:sz w:val="22"/>
                <w:szCs w:val="22"/>
              </w:rPr>
              <w:t>/m</w:t>
            </w:r>
          </w:p>
        </w:tc>
        <w:tc>
          <w:tcPr>
            <w:tcW w:w="665" w:type="dxa"/>
            <w:gridSpan w:val="2"/>
            <w:vMerge w:val="restart"/>
            <w:tcBorders>
              <w:bottom w:val="nil"/>
            </w:tcBorders>
            <w:vAlign w:val="top"/>
          </w:tcPr>
          <w:p w14:paraId="59E3F732">
            <w:pPr>
              <w:pStyle w:val="6"/>
              <w:spacing w:before="209" w:line="222" w:lineRule="auto"/>
              <w:ind w:left="120"/>
              <w:rPr>
                <w:sz w:val="22"/>
                <w:szCs w:val="22"/>
              </w:rPr>
            </w:pPr>
            <w:r>
              <w:rPr>
                <w:spacing w:val="-4"/>
                <w:sz w:val="22"/>
                <w:szCs w:val="22"/>
              </w:rPr>
              <w:t>方位</w:t>
            </w:r>
          </w:p>
        </w:tc>
        <w:tc>
          <w:tcPr>
            <w:tcW w:w="882" w:type="dxa"/>
            <w:gridSpan w:val="2"/>
            <w:vMerge w:val="restart"/>
            <w:tcBorders>
              <w:bottom w:val="nil"/>
            </w:tcBorders>
            <w:vAlign w:val="top"/>
          </w:tcPr>
          <w:p w14:paraId="6B4EBFB4">
            <w:pPr>
              <w:pStyle w:val="6"/>
              <w:spacing w:before="61" w:line="228" w:lineRule="auto"/>
              <w:ind w:left="228" w:right="106" w:hanging="106"/>
              <w:rPr>
                <w:sz w:val="22"/>
                <w:szCs w:val="22"/>
              </w:rPr>
            </w:pPr>
            <w:r>
              <w:rPr>
                <w:spacing w:val="-4"/>
                <w:sz w:val="22"/>
                <w:szCs w:val="22"/>
              </w:rPr>
              <w:t>功能区类别</w:t>
            </w:r>
          </w:p>
        </w:tc>
        <w:tc>
          <w:tcPr>
            <w:tcW w:w="1849" w:type="dxa"/>
            <w:gridSpan w:val="2"/>
            <w:vMerge w:val="restart"/>
            <w:tcBorders>
              <w:bottom w:val="nil"/>
            </w:tcBorders>
            <w:vAlign w:val="top"/>
          </w:tcPr>
          <w:p w14:paraId="74E25AD6">
            <w:pPr>
              <w:pStyle w:val="6"/>
              <w:spacing w:before="210" w:line="220" w:lineRule="auto"/>
              <w:ind w:left="493"/>
              <w:rPr>
                <w:sz w:val="22"/>
                <w:szCs w:val="22"/>
              </w:rPr>
            </w:pPr>
            <w:r>
              <w:rPr>
                <w:spacing w:val="-3"/>
                <w:sz w:val="22"/>
                <w:szCs w:val="22"/>
              </w:rPr>
              <w:t>情况说明</w:t>
            </w:r>
          </w:p>
        </w:tc>
        <w:tc>
          <w:tcPr>
            <w:tcW w:w="226" w:type="dxa"/>
            <w:gridSpan w:val="2"/>
            <w:vMerge w:val="restart"/>
            <w:tcBorders>
              <w:top w:val="nil"/>
              <w:bottom w:val="nil"/>
            </w:tcBorders>
            <w:vAlign w:val="top"/>
          </w:tcPr>
          <w:p w14:paraId="08F936C3">
            <w:pPr>
              <w:rPr>
                <w:rFonts w:ascii="Arial"/>
                <w:sz w:val="21"/>
              </w:rPr>
            </w:pPr>
          </w:p>
        </w:tc>
      </w:tr>
      <w:tr w14:paraId="49CF2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795" w:type="dxa"/>
            <w:vMerge w:val="continue"/>
            <w:tcBorders>
              <w:top w:val="nil"/>
              <w:bottom w:val="nil"/>
            </w:tcBorders>
            <w:vAlign w:val="top"/>
          </w:tcPr>
          <w:p w14:paraId="759C7969">
            <w:pPr>
              <w:rPr>
                <w:rFonts w:ascii="Arial"/>
                <w:sz w:val="21"/>
              </w:rPr>
            </w:pPr>
          </w:p>
        </w:tc>
        <w:tc>
          <w:tcPr>
            <w:tcW w:w="113" w:type="dxa"/>
            <w:tcBorders>
              <w:top w:val="nil"/>
              <w:bottom w:val="nil"/>
            </w:tcBorders>
            <w:vAlign w:val="top"/>
          </w:tcPr>
          <w:p w14:paraId="47399BE0">
            <w:pPr>
              <w:rPr>
                <w:rFonts w:ascii="Arial"/>
                <w:sz w:val="21"/>
              </w:rPr>
            </w:pPr>
          </w:p>
        </w:tc>
        <w:tc>
          <w:tcPr>
            <w:tcW w:w="416" w:type="dxa"/>
            <w:vMerge w:val="continue"/>
            <w:tcBorders>
              <w:top w:val="nil"/>
            </w:tcBorders>
            <w:textDirection w:val="tbRlV"/>
            <w:vAlign w:val="top"/>
          </w:tcPr>
          <w:p w14:paraId="49A418E6">
            <w:pPr>
              <w:rPr>
                <w:rFonts w:ascii="Arial"/>
                <w:sz w:val="21"/>
              </w:rPr>
            </w:pPr>
          </w:p>
        </w:tc>
        <w:tc>
          <w:tcPr>
            <w:tcW w:w="1118" w:type="dxa"/>
            <w:gridSpan w:val="3"/>
            <w:vMerge w:val="continue"/>
            <w:tcBorders>
              <w:top w:val="nil"/>
            </w:tcBorders>
            <w:vAlign w:val="top"/>
          </w:tcPr>
          <w:p w14:paraId="41D2F9B0">
            <w:pPr>
              <w:rPr>
                <w:rFonts w:ascii="Arial"/>
                <w:sz w:val="21"/>
              </w:rPr>
            </w:pPr>
          </w:p>
        </w:tc>
        <w:tc>
          <w:tcPr>
            <w:tcW w:w="599" w:type="dxa"/>
            <w:vAlign w:val="top"/>
          </w:tcPr>
          <w:p w14:paraId="68E5BA06">
            <w:pPr>
              <w:spacing w:before="102" w:line="186" w:lineRule="auto"/>
              <w:ind w:left="218"/>
              <w:rPr>
                <w:rFonts w:ascii="Times New Roman" w:hAnsi="Times New Roman" w:eastAsia="Times New Roman" w:cs="Times New Roman"/>
                <w:sz w:val="22"/>
                <w:szCs w:val="22"/>
              </w:rPr>
            </w:pPr>
            <w:r>
              <w:rPr>
                <w:rFonts w:ascii="Times New Roman" w:hAnsi="Times New Roman" w:eastAsia="Times New Roman" w:cs="Times New Roman"/>
                <w:sz w:val="22"/>
                <w:szCs w:val="22"/>
              </w:rPr>
              <w:t>X</w:t>
            </w:r>
          </w:p>
        </w:tc>
        <w:tc>
          <w:tcPr>
            <w:tcW w:w="564" w:type="dxa"/>
            <w:vAlign w:val="top"/>
          </w:tcPr>
          <w:p w14:paraId="0068243F">
            <w:pPr>
              <w:spacing w:before="102" w:line="186" w:lineRule="auto"/>
              <w:ind w:left="203"/>
              <w:rPr>
                <w:rFonts w:ascii="Times New Roman" w:hAnsi="Times New Roman" w:eastAsia="Times New Roman" w:cs="Times New Roman"/>
                <w:sz w:val="22"/>
                <w:szCs w:val="22"/>
              </w:rPr>
            </w:pPr>
            <w:r>
              <w:rPr>
                <w:rFonts w:ascii="Times New Roman" w:hAnsi="Times New Roman" w:eastAsia="Times New Roman" w:cs="Times New Roman"/>
                <w:sz w:val="22"/>
                <w:szCs w:val="22"/>
              </w:rPr>
              <w:t>Y</w:t>
            </w:r>
          </w:p>
        </w:tc>
        <w:tc>
          <w:tcPr>
            <w:tcW w:w="623" w:type="dxa"/>
            <w:gridSpan w:val="2"/>
            <w:vAlign w:val="top"/>
          </w:tcPr>
          <w:p w14:paraId="00B62C8F">
            <w:pPr>
              <w:spacing w:before="102" w:line="186" w:lineRule="auto"/>
              <w:ind w:left="245"/>
              <w:rPr>
                <w:rFonts w:ascii="Times New Roman" w:hAnsi="Times New Roman" w:eastAsia="Times New Roman" w:cs="Times New Roman"/>
                <w:sz w:val="22"/>
                <w:szCs w:val="22"/>
              </w:rPr>
            </w:pPr>
            <w:r>
              <w:rPr>
                <w:rFonts w:ascii="Times New Roman" w:hAnsi="Times New Roman" w:eastAsia="Times New Roman" w:cs="Times New Roman"/>
                <w:sz w:val="22"/>
                <w:szCs w:val="22"/>
              </w:rPr>
              <w:t>Z</w:t>
            </w:r>
          </w:p>
        </w:tc>
        <w:tc>
          <w:tcPr>
            <w:tcW w:w="1215" w:type="dxa"/>
            <w:gridSpan w:val="3"/>
            <w:vMerge w:val="continue"/>
            <w:tcBorders>
              <w:top w:val="nil"/>
            </w:tcBorders>
            <w:vAlign w:val="top"/>
          </w:tcPr>
          <w:p w14:paraId="5C03B3E5">
            <w:pPr>
              <w:rPr>
                <w:rFonts w:ascii="Arial"/>
                <w:sz w:val="21"/>
              </w:rPr>
            </w:pPr>
          </w:p>
        </w:tc>
        <w:tc>
          <w:tcPr>
            <w:tcW w:w="665" w:type="dxa"/>
            <w:gridSpan w:val="2"/>
            <w:vMerge w:val="continue"/>
            <w:tcBorders>
              <w:top w:val="nil"/>
            </w:tcBorders>
            <w:vAlign w:val="top"/>
          </w:tcPr>
          <w:p w14:paraId="6B3761EE">
            <w:pPr>
              <w:rPr>
                <w:rFonts w:ascii="Arial"/>
                <w:sz w:val="21"/>
              </w:rPr>
            </w:pPr>
          </w:p>
        </w:tc>
        <w:tc>
          <w:tcPr>
            <w:tcW w:w="882" w:type="dxa"/>
            <w:gridSpan w:val="2"/>
            <w:vMerge w:val="continue"/>
            <w:tcBorders>
              <w:top w:val="nil"/>
            </w:tcBorders>
            <w:vAlign w:val="top"/>
          </w:tcPr>
          <w:p w14:paraId="5253ACB2">
            <w:pPr>
              <w:rPr>
                <w:rFonts w:ascii="Arial"/>
                <w:sz w:val="21"/>
              </w:rPr>
            </w:pPr>
          </w:p>
        </w:tc>
        <w:tc>
          <w:tcPr>
            <w:tcW w:w="1849" w:type="dxa"/>
            <w:gridSpan w:val="2"/>
            <w:vMerge w:val="continue"/>
            <w:tcBorders>
              <w:top w:val="nil"/>
            </w:tcBorders>
            <w:vAlign w:val="top"/>
          </w:tcPr>
          <w:p w14:paraId="1AD46B30">
            <w:pPr>
              <w:rPr>
                <w:rFonts w:ascii="Arial"/>
                <w:sz w:val="21"/>
              </w:rPr>
            </w:pPr>
          </w:p>
        </w:tc>
        <w:tc>
          <w:tcPr>
            <w:tcW w:w="226" w:type="dxa"/>
            <w:gridSpan w:val="2"/>
            <w:vMerge w:val="continue"/>
            <w:tcBorders>
              <w:top w:val="nil"/>
              <w:bottom w:val="nil"/>
            </w:tcBorders>
            <w:vAlign w:val="top"/>
          </w:tcPr>
          <w:p w14:paraId="4F40B5F8">
            <w:pPr>
              <w:rPr>
                <w:rFonts w:ascii="Arial"/>
                <w:sz w:val="21"/>
              </w:rPr>
            </w:pPr>
          </w:p>
        </w:tc>
      </w:tr>
      <w:tr w14:paraId="1AACC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795" w:type="dxa"/>
            <w:vMerge w:val="continue"/>
            <w:tcBorders>
              <w:top w:val="nil"/>
              <w:bottom w:val="nil"/>
            </w:tcBorders>
            <w:vAlign w:val="top"/>
          </w:tcPr>
          <w:p w14:paraId="3E05EE7B">
            <w:pPr>
              <w:rPr>
                <w:rFonts w:ascii="Arial"/>
                <w:sz w:val="21"/>
              </w:rPr>
            </w:pPr>
          </w:p>
        </w:tc>
        <w:tc>
          <w:tcPr>
            <w:tcW w:w="113" w:type="dxa"/>
            <w:tcBorders>
              <w:top w:val="nil"/>
              <w:bottom w:val="nil"/>
            </w:tcBorders>
            <w:vAlign w:val="top"/>
          </w:tcPr>
          <w:p w14:paraId="13337646">
            <w:pPr>
              <w:rPr>
                <w:rFonts w:ascii="Arial"/>
                <w:sz w:val="21"/>
              </w:rPr>
            </w:pPr>
          </w:p>
        </w:tc>
        <w:tc>
          <w:tcPr>
            <w:tcW w:w="416" w:type="dxa"/>
            <w:vAlign w:val="top"/>
          </w:tcPr>
          <w:p w14:paraId="7C4B431E">
            <w:pPr>
              <w:spacing w:line="258" w:lineRule="auto"/>
              <w:rPr>
                <w:rFonts w:ascii="Arial"/>
                <w:sz w:val="21"/>
              </w:rPr>
            </w:pPr>
          </w:p>
          <w:p w14:paraId="553E1774">
            <w:pPr>
              <w:spacing w:line="258" w:lineRule="auto"/>
              <w:rPr>
                <w:rFonts w:ascii="Arial"/>
                <w:sz w:val="21"/>
              </w:rPr>
            </w:pPr>
          </w:p>
          <w:p w14:paraId="02BD75BA">
            <w:pPr>
              <w:spacing w:line="258" w:lineRule="auto"/>
              <w:rPr>
                <w:rFonts w:ascii="Arial"/>
                <w:sz w:val="21"/>
              </w:rPr>
            </w:pPr>
          </w:p>
          <w:p w14:paraId="1A55A7B9">
            <w:pPr>
              <w:spacing w:before="63" w:line="189" w:lineRule="auto"/>
              <w:ind w:left="173"/>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118" w:type="dxa"/>
            <w:gridSpan w:val="3"/>
            <w:vAlign w:val="top"/>
          </w:tcPr>
          <w:p w14:paraId="2F79ED5F">
            <w:pPr>
              <w:spacing w:line="242" w:lineRule="auto"/>
              <w:rPr>
                <w:rFonts w:ascii="Arial"/>
                <w:sz w:val="21"/>
              </w:rPr>
            </w:pPr>
          </w:p>
          <w:p w14:paraId="17B2CBA0">
            <w:pPr>
              <w:spacing w:line="243" w:lineRule="auto"/>
              <w:rPr>
                <w:rFonts w:ascii="Arial"/>
                <w:sz w:val="21"/>
              </w:rPr>
            </w:pPr>
          </w:p>
          <w:p w14:paraId="21A51543">
            <w:pPr>
              <w:spacing w:line="243" w:lineRule="auto"/>
              <w:rPr>
                <w:rFonts w:ascii="Arial"/>
                <w:sz w:val="21"/>
              </w:rPr>
            </w:pPr>
          </w:p>
          <w:p w14:paraId="1DCA4899">
            <w:pPr>
              <w:pStyle w:val="6"/>
              <w:spacing w:before="72" w:line="219" w:lineRule="auto"/>
              <w:ind w:left="123"/>
              <w:rPr>
                <w:sz w:val="22"/>
                <w:szCs w:val="22"/>
              </w:rPr>
            </w:pPr>
            <w:r>
              <w:rPr>
                <w:spacing w:val="-3"/>
                <w:sz w:val="22"/>
                <w:szCs w:val="22"/>
              </w:rPr>
              <w:t>乔鹤佳苑</w:t>
            </w:r>
          </w:p>
        </w:tc>
        <w:tc>
          <w:tcPr>
            <w:tcW w:w="599" w:type="dxa"/>
            <w:vAlign w:val="top"/>
          </w:tcPr>
          <w:p w14:paraId="52551001">
            <w:pPr>
              <w:spacing w:line="258" w:lineRule="auto"/>
              <w:rPr>
                <w:rFonts w:ascii="Arial"/>
                <w:sz w:val="21"/>
              </w:rPr>
            </w:pPr>
          </w:p>
          <w:p w14:paraId="562B69D8">
            <w:pPr>
              <w:spacing w:line="258" w:lineRule="auto"/>
              <w:rPr>
                <w:rFonts w:ascii="Arial"/>
                <w:sz w:val="21"/>
              </w:rPr>
            </w:pPr>
          </w:p>
          <w:p w14:paraId="7AE1796F">
            <w:pPr>
              <w:spacing w:line="258" w:lineRule="auto"/>
              <w:rPr>
                <w:rFonts w:ascii="Arial"/>
                <w:sz w:val="21"/>
              </w:rPr>
            </w:pPr>
          </w:p>
          <w:p w14:paraId="2A5491DC">
            <w:pPr>
              <w:spacing w:before="63" w:line="189" w:lineRule="auto"/>
              <w:ind w:left="159"/>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-40</w:t>
            </w:r>
          </w:p>
        </w:tc>
        <w:tc>
          <w:tcPr>
            <w:tcW w:w="564" w:type="dxa"/>
            <w:vAlign w:val="top"/>
          </w:tcPr>
          <w:p w14:paraId="3CBC9213">
            <w:pPr>
              <w:spacing w:line="258" w:lineRule="auto"/>
              <w:rPr>
                <w:rFonts w:ascii="Arial"/>
                <w:sz w:val="21"/>
              </w:rPr>
            </w:pPr>
          </w:p>
          <w:p w14:paraId="5A36793A">
            <w:pPr>
              <w:spacing w:line="258" w:lineRule="auto"/>
              <w:rPr>
                <w:rFonts w:ascii="Arial"/>
                <w:sz w:val="21"/>
              </w:rPr>
            </w:pPr>
          </w:p>
          <w:p w14:paraId="629E744A">
            <w:pPr>
              <w:spacing w:line="258" w:lineRule="auto"/>
              <w:rPr>
                <w:rFonts w:ascii="Arial"/>
                <w:sz w:val="21"/>
              </w:rPr>
            </w:pPr>
          </w:p>
          <w:p w14:paraId="518D2280">
            <w:pPr>
              <w:spacing w:before="63" w:line="189" w:lineRule="auto"/>
              <w:ind w:left="233"/>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623" w:type="dxa"/>
            <w:gridSpan w:val="2"/>
            <w:vAlign w:val="top"/>
          </w:tcPr>
          <w:p w14:paraId="38F35C51">
            <w:pPr>
              <w:spacing w:line="258" w:lineRule="auto"/>
              <w:rPr>
                <w:rFonts w:ascii="Arial"/>
                <w:sz w:val="21"/>
              </w:rPr>
            </w:pPr>
          </w:p>
          <w:p w14:paraId="2BD08261">
            <w:pPr>
              <w:spacing w:line="258" w:lineRule="auto"/>
              <w:rPr>
                <w:rFonts w:ascii="Arial"/>
                <w:sz w:val="21"/>
              </w:rPr>
            </w:pPr>
          </w:p>
          <w:p w14:paraId="27E0D1E9">
            <w:pPr>
              <w:spacing w:line="258" w:lineRule="auto"/>
              <w:rPr>
                <w:rFonts w:ascii="Arial"/>
                <w:sz w:val="21"/>
              </w:rPr>
            </w:pPr>
          </w:p>
          <w:p w14:paraId="4EF56715">
            <w:pPr>
              <w:spacing w:before="63" w:line="189" w:lineRule="auto"/>
              <w:ind w:left="262"/>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215" w:type="dxa"/>
            <w:gridSpan w:val="3"/>
            <w:vAlign w:val="top"/>
          </w:tcPr>
          <w:p w14:paraId="1FED52E4">
            <w:pPr>
              <w:spacing w:line="258" w:lineRule="auto"/>
              <w:rPr>
                <w:rFonts w:ascii="Arial"/>
                <w:sz w:val="21"/>
              </w:rPr>
            </w:pPr>
          </w:p>
          <w:p w14:paraId="34909E6F">
            <w:pPr>
              <w:spacing w:line="258" w:lineRule="auto"/>
              <w:rPr>
                <w:rFonts w:ascii="Arial"/>
                <w:sz w:val="21"/>
              </w:rPr>
            </w:pPr>
          </w:p>
          <w:p w14:paraId="0E7BE228">
            <w:pPr>
              <w:spacing w:line="258" w:lineRule="auto"/>
              <w:rPr>
                <w:rFonts w:ascii="Arial"/>
                <w:sz w:val="21"/>
              </w:rPr>
            </w:pPr>
          </w:p>
          <w:p w14:paraId="3D9DBFD6">
            <w:pPr>
              <w:spacing w:before="63" w:line="189" w:lineRule="auto"/>
              <w:ind w:left="5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665" w:type="dxa"/>
            <w:gridSpan w:val="2"/>
            <w:vAlign w:val="top"/>
          </w:tcPr>
          <w:p w14:paraId="3372C1CE">
            <w:pPr>
              <w:spacing w:line="259" w:lineRule="auto"/>
              <w:rPr>
                <w:rFonts w:ascii="Arial"/>
                <w:sz w:val="21"/>
              </w:rPr>
            </w:pPr>
          </w:p>
          <w:p w14:paraId="27F4BF96">
            <w:pPr>
              <w:spacing w:line="259" w:lineRule="auto"/>
              <w:rPr>
                <w:rFonts w:ascii="Arial"/>
                <w:sz w:val="21"/>
              </w:rPr>
            </w:pPr>
          </w:p>
          <w:p w14:paraId="4FD05BD4">
            <w:pPr>
              <w:spacing w:line="259" w:lineRule="auto"/>
              <w:rPr>
                <w:rFonts w:ascii="Arial"/>
                <w:sz w:val="21"/>
              </w:rPr>
            </w:pPr>
          </w:p>
          <w:p w14:paraId="2F91E4A3">
            <w:pPr>
              <w:spacing w:before="63" w:line="186" w:lineRule="auto"/>
              <w:ind w:left="231"/>
              <w:rPr>
                <w:rFonts w:ascii="Times New Roman" w:hAnsi="Times New Roman" w:eastAsia="Times New Roman" w:cs="Times New Roman"/>
                <w:sz w:val="22"/>
                <w:szCs w:val="22"/>
              </w:rPr>
            </w:pPr>
            <w:r>
              <w:rPr>
                <w:rFonts w:ascii="Times New Roman" w:hAnsi="Times New Roman" w:eastAsia="Times New Roman" w:cs="Times New Roman"/>
                <w:sz w:val="22"/>
                <w:szCs w:val="22"/>
              </w:rPr>
              <w:t>W</w:t>
            </w:r>
          </w:p>
        </w:tc>
        <w:tc>
          <w:tcPr>
            <w:tcW w:w="882" w:type="dxa"/>
            <w:gridSpan w:val="2"/>
            <w:vAlign w:val="top"/>
          </w:tcPr>
          <w:p w14:paraId="62E19C0E">
            <w:pPr>
              <w:spacing w:line="289" w:lineRule="auto"/>
              <w:rPr>
                <w:rFonts w:ascii="Arial"/>
                <w:sz w:val="21"/>
              </w:rPr>
            </w:pPr>
          </w:p>
          <w:p w14:paraId="22DA7FC1">
            <w:pPr>
              <w:spacing w:line="290" w:lineRule="auto"/>
              <w:rPr>
                <w:rFonts w:ascii="Arial"/>
                <w:sz w:val="21"/>
              </w:rPr>
            </w:pPr>
          </w:p>
          <w:p w14:paraId="4B537A21">
            <w:pPr>
              <w:pStyle w:val="6"/>
              <w:spacing w:before="72" w:line="254" w:lineRule="auto"/>
              <w:ind w:left="228" w:right="159" w:hanging="58"/>
              <w:rPr>
                <w:sz w:val="22"/>
                <w:szCs w:val="22"/>
              </w:rPr>
            </w:pPr>
            <w:r>
              <w:rPr>
                <w:rFonts w:ascii="Times New Roman" w:hAnsi="Times New Roman" w:eastAsia="Times New Roman" w:cs="Times New Roman"/>
                <w:spacing w:val="-1"/>
                <w:sz w:val="22"/>
                <w:szCs w:val="22"/>
              </w:rPr>
              <w:t>2</w:t>
            </w:r>
            <w:r>
              <w:rPr>
                <w:spacing w:val="-1"/>
                <w:sz w:val="22"/>
                <w:szCs w:val="22"/>
              </w:rPr>
              <w:t>类及</w:t>
            </w:r>
            <w:r>
              <w:rPr>
                <w:rFonts w:ascii="Times New Roman" w:hAnsi="Times New Roman" w:eastAsia="Times New Roman" w:cs="Times New Roman"/>
                <w:spacing w:val="-1"/>
                <w:sz w:val="22"/>
                <w:szCs w:val="22"/>
              </w:rPr>
              <w:t>4a</w:t>
            </w:r>
            <w:r>
              <w:rPr>
                <w:spacing w:val="-1"/>
                <w:sz w:val="22"/>
                <w:szCs w:val="22"/>
              </w:rPr>
              <w:t>类</w:t>
            </w:r>
          </w:p>
        </w:tc>
        <w:tc>
          <w:tcPr>
            <w:tcW w:w="1849" w:type="dxa"/>
            <w:gridSpan w:val="2"/>
            <w:vAlign w:val="top"/>
          </w:tcPr>
          <w:p w14:paraId="7CA4397A">
            <w:pPr>
              <w:pStyle w:val="6"/>
              <w:spacing w:before="56" w:line="219" w:lineRule="auto"/>
              <w:ind w:left="220"/>
              <w:rPr>
                <w:sz w:val="22"/>
                <w:szCs w:val="22"/>
              </w:rPr>
            </w:pPr>
            <w:r>
              <w:rPr>
                <w:rFonts w:ascii="Times New Roman" w:hAnsi="Times New Roman" w:eastAsia="Times New Roman" w:cs="Times New Roman"/>
                <w:spacing w:val="-2"/>
                <w:sz w:val="22"/>
                <w:szCs w:val="22"/>
              </w:rPr>
              <w:t>5</w:t>
            </w:r>
            <w:r>
              <w:rPr>
                <w:spacing w:val="-2"/>
                <w:sz w:val="22"/>
                <w:szCs w:val="22"/>
              </w:rPr>
              <w:t>栋位于本项目</w:t>
            </w:r>
          </w:p>
          <w:p w14:paraId="52F720F1">
            <w:pPr>
              <w:pStyle w:val="6"/>
              <w:spacing w:before="38" w:line="220" w:lineRule="auto"/>
              <w:ind w:left="120"/>
              <w:rPr>
                <w:sz w:val="22"/>
                <w:szCs w:val="22"/>
              </w:rPr>
            </w:pPr>
            <w:r>
              <w:rPr>
                <w:spacing w:val="-10"/>
                <w:sz w:val="22"/>
                <w:szCs w:val="22"/>
              </w:rPr>
              <w:t>西侧约</w:t>
            </w:r>
            <w:r>
              <w:rPr>
                <w:rFonts w:ascii="Times New Roman" w:hAnsi="Times New Roman" w:eastAsia="Times New Roman" w:cs="Times New Roman"/>
                <w:spacing w:val="-10"/>
                <w:sz w:val="22"/>
                <w:szCs w:val="22"/>
              </w:rPr>
              <w:t>20m</w:t>
            </w:r>
            <w:r>
              <w:rPr>
                <w:spacing w:val="-10"/>
                <w:sz w:val="22"/>
                <w:szCs w:val="22"/>
              </w:rPr>
              <w:t>，临近</w:t>
            </w:r>
          </w:p>
          <w:p w14:paraId="1B9A0E9A">
            <w:pPr>
              <w:pStyle w:val="6"/>
              <w:spacing w:before="37" w:line="220" w:lineRule="auto"/>
              <w:ind w:left="194"/>
              <w:rPr>
                <w:rFonts w:ascii="Times New Roman" w:hAnsi="Times New Roman" w:eastAsia="Times New Roman" w:cs="Times New Roman"/>
                <w:sz w:val="22"/>
                <w:szCs w:val="22"/>
              </w:rPr>
            </w:pPr>
            <w:r>
              <w:rPr>
                <w:spacing w:val="-5"/>
                <w:sz w:val="22"/>
                <w:szCs w:val="22"/>
              </w:rPr>
              <w:t>田福路，执行</w:t>
            </w:r>
            <w:r>
              <w:rPr>
                <w:rFonts w:ascii="Times New Roman" w:hAnsi="Times New Roman" w:eastAsia="Times New Roman" w:cs="Times New Roman"/>
                <w:spacing w:val="-5"/>
                <w:sz w:val="22"/>
                <w:szCs w:val="22"/>
              </w:rPr>
              <w:t>4a</w:t>
            </w:r>
          </w:p>
          <w:p w14:paraId="78B40849">
            <w:pPr>
              <w:pStyle w:val="6"/>
              <w:spacing w:before="38" w:line="219" w:lineRule="auto"/>
              <w:ind w:left="115"/>
              <w:rPr>
                <w:sz w:val="22"/>
                <w:szCs w:val="22"/>
              </w:rPr>
            </w:pPr>
            <w:r>
              <w:rPr>
                <w:spacing w:val="-3"/>
                <w:sz w:val="22"/>
                <w:szCs w:val="22"/>
              </w:rPr>
              <w:t>类；</w:t>
            </w:r>
            <w:r>
              <w:rPr>
                <w:rFonts w:ascii="Times New Roman" w:hAnsi="Times New Roman" w:eastAsia="Times New Roman" w:cs="Times New Roman"/>
                <w:spacing w:val="-3"/>
                <w:sz w:val="22"/>
                <w:szCs w:val="22"/>
              </w:rPr>
              <w:t>6</w:t>
            </w:r>
            <w:r>
              <w:rPr>
                <w:spacing w:val="-3"/>
                <w:sz w:val="22"/>
                <w:szCs w:val="22"/>
              </w:rPr>
              <w:t>栋位于本项</w:t>
            </w:r>
          </w:p>
          <w:p w14:paraId="6FE2D255">
            <w:pPr>
              <w:pStyle w:val="6"/>
              <w:spacing w:before="38" w:line="220" w:lineRule="auto"/>
              <w:ind w:left="157"/>
              <w:rPr>
                <w:sz w:val="22"/>
                <w:szCs w:val="22"/>
              </w:rPr>
            </w:pPr>
            <w:r>
              <w:rPr>
                <w:spacing w:val="-14"/>
                <w:sz w:val="22"/>
                <w:szCs w:val="22"/>
              </w:rPr>
              <w:t>目南侧约</w:t>
            </w:r>
            <w:r>
              <w:rPr>
                <w:rFonts w:ascii="Times New Roman" w:hAnsi="Times New Roman" w:eastAsia="Times New Roman" w:cs="Times New Roman"/>
                <w:spacing w:val="-14"/>
                <w:sz w:val="22"/>
                <w:szCs w:val="22"/>
              </w:rPr>
              <w:t>20m</w:t>
            </w:r>
            <w:r>
              <w:rPr>
                <w:spacing w:val="-14"/>
                <w:sz w:val="22"/>
                <w:szCs w:val="22"/>
              </w:rPr>
              <w:t>，执</w:t>
            </w:r>
          </w:p>
          <w:p w14:paraId="737AD282">
            <w:pPr>
              <w:pStyle w:val="6"/>
              <w:spacing w:before="38" w:line="200" w:lineRule="auto"/>
              <w:ind w:left="606"/>
              <w:rPr>
                <w:sz w:val="22"/>
                <w:szCs w:val="22"/>
              </w:rPr>
            </w:pPr>
            <w:r>
              <w:rPr>
                <w:spacing w:val="-5"/>
                <w:sz w:val="22"/>
                <w:szCs w:val="22"/>
              </w:rPr>
              <w:t>行</w:t>
            </w:r>
            <w:r>
              <w:rPr>
                <w:spacing w:val="4"/>
                <w:sz w:val="22"/>
                <w:szCs w:val="22"/>
              </w:rPr>
              <w:t xml:space="preserve"> </w:t>
            </w:r>
            <w:r>
              <w:rPr>
                <w:rFonts w:ascii="Times New Roman" w:hAnsi="Times New Roman" w:eastAsia="Times New Roman" w:cs="Times New Roman"/>
                <w:spacing w:val="-5"/>
                <w:sz w:val="22"/>
                <w:szCs w:val="22"/>
              </w:rPr>
              <w:t>2</w:t>
            </w:r>
            <w:r>
              <w:rPr>
                <w:spacing w:val="-5"/>
                <w:sz w:val="22"/>
                <w:szCs w:val="22"/>
              </w:rPr>
              <w:t>类</w:t>
            </w:r>
          </w:p>
        </w:tc>
        <w:tc>
          <w:tcPr>
            <w:tcW w:w="226" w:type="dxa"/>
            <w:gridSpan w:val="2"/>
            <w:vMerge w:val="continue"/>
            <w:tcBorders>
              <w:top w:val="nil"/>
              <w:bottom w:val="nil"/>
            </w:tcBorders>
            <w:vAlign w:val="top"/>
          </w:tcPr>
          <w:p w14:paraId="33820B6E">
            <w:pPr>
              <w:rPr>
                <w:rFonts w:ascii="Arial"/>
                <w:sz w:val="21"/>
              </w:rPr>
            </w:pPr>
          </w:p>
        </w:tc>
      </w:tr>
      <w:tr w14:paraId="64692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795" w:type="dxa"/>
            <w:vMerge w:val="continue"/>
            <w:tcBorders>
              <w:top w:val="nil"/>
              <w:bottom w:val="nil"/>
            </w:tcBorders>
            <w:vAlign w:val="top"/>
          </w:tcPr>
          <w:p w14:paraId="41F3624F">
            <w:pPr>
              <w:rPr>
                <w:rFonts w:ascii="Arial"/>
                <w:sz w:val="21"/>
              </w:rPr>
            </w:pPr>
          </w:p>
        </w:tc>
        <w:tc>
          <w:tcPr>
            <w:tcW w:w="113" w:type="dxa"/>
            <w:tcBorders>
              <w:top w:val="nil"/>
              <w:bottom w:val="nil"/>
            </w:tcBorders>
            <w:vAlign w:val="top"/>
          </w:tcPr>
          <w:p w14:paraId="6E6EEBCB">
            <w:pPr>
              <w:rPr>
                <w:rFonts w:ascii="Arial"/>
                <w:sz w:val="21"/>
              </w:rPr>
            </w:pPr>
          </w:p>
        </w:tc>
        <w:tc>
          <w:tcPr>
            <w:tcW w:w="416" w:type="dxa"/>
            <w:vAlign w:val="top"/>
          </w:tcPr>
          <w:p w14:paraId="3E523598">
            <w:pPr>
              <w:spacing w:before="94" w:line="189" w:lineRule="auto"/>
              <w:ind w:left="152"/>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118" w:type="dxa"/>
            <w:gridSpan w:val="3"/>
            <w:vAlign w:val="top"/>
          </w:tcPr>
          <w:p w14:paraId="449AABE1">
            <w:pPr>
              <w:pStyle w:val="6"/>
              <w:spacing w:before="56" w:line="200" w:lineRule="auto"/>
              <w:ind w:left="123"/>
              <w:rPr>
                <w:sz w:val="22"/>
                <w:szCs w:val="22"/>
              </w:rPr>
            </w:pPr>
            <w:r>
              <w:rPr>
                <w:spacing w:val="-3"/>
                <w:sz w:val="22"/>
                <w:szCs w:val="22"/>
              </w:rPr>
              <w:t>金茂晓棠</w:t>
            </w:r>
          </w:p>
        </w:tc>
        <w:tc>
          <w:tcPr>
            <w:tcW w:w="599" w:type="dxa"/>
            <w:vAlign w:val="top"/>
          </w:tcPr>
          <w:p w14:paraId="0100B5BC">
            <w:pPr>
              <w:spacing w:before="94" w:line="189" w:lineRule="auto"/>
              <w:ind w:left="19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70</w:t>
            </w:r>
          </w:p>
        </w:tc>
        <w:tc>
          <w:tcPr>
            <w:tcW w:w="564" w:type="dxa"/>
            <w:vAlign w:val="top"/>
          </w:tcPr>
          <w:p w14:paraId="4BF7B8E5">
            <w:pPr>
              <w:spacing w:before="94" w:line="189" w:lineRule="auto"/>
              <w:ind w:left="233"/>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623" w:type="dxa"/>
            <w:gridSpan w:val="2"/>
            <w:vAlign w:val="top"/>
          </w:tcPr>
          <w:p w14:paraId="670B1472">
            <w:pPr>
              <w:spacing w:before="94" w:line="189" w:lineRule="auto"/>
              <w:ind w:left="262"/>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215" w:type="dxa"/>
            <w:gridSpan w:val="3"/>
            <w:vAlign w:val="top"/>
          </w:tcPr>
          <w:p w14:paraId="771B81C7">
            <w:pPr>
              <w:spacing w:before="94" w:line="189" w:lineRule="auto"/>
              <w:ind w:left="50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45</w:t>
            </w:r>
          </w:p>
        </w:tc>
        <w:tc>
          <w:tcPr>
            <w:tcW w:w="665" w:type="dxa"/>
            <w:gridSpan w:val="2"/>
            <w:vAlign w:val="top"/>
          </w:tcPr>
          <w:p w14:paraId="08C7E322">
            <w:pPr>
              <w:spacing w:before="97" w:line="186" w:lineRule="auto"/>
              <w:ind w:left="268"/>
              <w:rPr>
                <w:rFonts w:ascii="Times New Roman" w:hAnsi="Times New Roman" w:eastAsia="Times New Roman" w:cs="Times New Roman"/>
                <w:sz w:val="22"/>
                <w:szCs w:val="22"/>
              </w:rPr>
            </w:pPr>
            <w:r>
              <w:rPr>
                <w:rFonts w:ascii="Times New Roman" w:hAnsi="Times New Roman" w:eastAsia="Times New Roman" w:cs="Times New Roman"/>
                <w:sz w:val="22"/>
                <w:szCs w:val="22"/>
              </w:rPr>
              <w:t>E</w:t>
            </w:r>
          </w:p>
        </w:tc>
        <w:tc>
          <w:tcPr>
            <w:tcW w:w="882" w:type="dxa"/>
            <w:gridSpan w:val="2"/>
            <w:vMerge w:val="restart"/>
            <w:tcBorders>
              <w:bottom w:val="nil"/>
            </w:tcBorders>
            <w:vAlign w:val="top"/>
          </w:tcPr>
          <w:p w14:paraId="188BE774">
            <w:pPr>
              <w:pStyle w:val="6"/>
              <w:spacing w:before="211" w:line="254" w:lineRule="auto"/>
              <w:ind w:left="228" w:right="159" w:hanging="58"/>
              <w:rPr>
                <w:sz w:val="22"/>
                <w:szCs w:val="22"/>
              </w:rPr>
            </w:pPr>
            <w:r>
              <w:rPr>
                <w:rFonts w:ascii="Times New Roman" w:hAnsi="Times New Roman" w:eastAsia="Times New Roman" w:cs="Times New Roman"/>
                <w:spacing w:val="-1"/>
                <w:sz w:val="22"/>
                <w:szCs w:val="22"/>
              </w:rPr>
              <w:t>2</w:t>
            </w:r>
            <w:r>
              <w:rPr>
                <w:spacing w:val="-1"/>
                <w:sz w:val="22"/>
                <w:szCs w:val="22"/>
              </w:rPr>
              <w:t>类及</w:t>
            </w:r>
            <w:r>
              <w:rPr>
                <w:rFonts w:ascii="Times New Roman" w:hAnsi="Times New Roman" w:eastAsia="Times New Roman" w:cs="Times New Roman"/>
                <w:spacing w:val="-1"/>
                <w:sz w:val="22"/>
                <w:szCs w:val="22"/>
              </w:rPr>
              <w:t>4a</w:t>
            </w:r>
            <w:r>
              <w:rPr>
                <w:spacing w:val="-1"/>
                <w:sz w:val="22"/>
                <w:szCs w:val="22"/>
              </w:rPr>
              <w:t>类</w:t>
            </w:r>
          </w:p>
        </w:tc>
        <w:tc>
          <w:tcPr>
            <w:tcW w:w="1849" w:type="dxa"/>
            <w:gridSpan w:val="2"/>
            <w:vMerge w:val="restart"/>
            <w:tcBorders>
              <w:bottom w:val="nil"/>
            </w:tcBorders>
            <w:vAlign w:val="top"/>
          </w:tcPr>
          <w:p w14:paraId="19FA03C1">
            <w:pPr>
              <w:spacing w:line="287" w:lineRule="auto"/>
              <w:rPr>
                <w:rFonts w:ascii="Arial"/>
                <w:sz w:val="21"/>
              </w:rPr>
            </w:pPr>
          </w:p>
          <w:p w14:paraId="592FB3D4">
            <w:pPr>
              <w:pStyle w:val="6"/>
              <w:spacing w:before="72" w:line="221" w:lineRule="auto"/>
              <w:ind w:left="165"/>
              <w:rPr>
                <w:sz w:val="22"/>
                <w:szCs w:val="22"/>
              </w:rPr>
            </w:pPr>
            <w:r>
              <w:rPr>
                <w:spacing w:val="-2"/>
                <w:sz w:val="22"/>
                <w:szCs w:val="22"/>
              </w:rPr>
              <w:t>居民小区，在建</w:t>
            </w:r>
          </w:p>
        </w:tc>
        <w:tc>
          <w:tcPr>
            <w:tcW w:w="226" w:type="dxa"/>
            <w:gridSpan w:val="2"/>
            <w:vMerge w:val="continue"/>
            <w:tcBorders>
              <w:top w:val="nil"/>
              <w:bottom w:val="nil"/>
            </w:tcBorders>
            <w:vAlign w:val="top"/>
          </w:tcPr>
          <w:p w14:paraId="2CAB7A2A">
            <w:pPr>
              <w:rPr>
                <w:rFonts w:ascii="Arial"/>
                <w:sz w:val="21"/>
              </w:rPr>
            </w:pPr>
          </w:p>
        </w:tc>
      </w:tr>
      <w:tr w14:paraId="539A8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95" w:type="dxa"/>
            <w:vMerge w:val="continue"/>
            <w:tcBorders>
              <w:top w:val="nil"/>
              <w:bottom w:val="nil"/>
            </w:tcBorders>
            <w:vAlign w:val="top"/>
          </w:tcPr>
          <w:p w14:paraId="10327093">
            <w:pPr>
              <w:rPr>
                <w:rFonts w:ascii="Arial"/>
                <w:sz w:val="21"/>
              </w:rPr>
            </w:pPr>
          </w:p>
        </w:tc>
        <w:tc>
          <w:tcPr>
            <w:tcW w:w="113" w:type="dxa"/>
            <w:tcBorders>
              <w:top w:val="nil"/>
              <w:bottom w:val="nil"/>
            </w:tcBorders>
            <w:vAlign w:val="top"/>
          </w:tcPr>
          <w:p w14:paraId="44D0FB5D">
            <w:pPr>
              <w:rPr>
                <w:rFonts w:ascii="Arial"/>
                <w:sz w:val="21"/>
              </w:rPr>
            </w:pPr>
          </w:p>
        </w:tc>
        <w:tc>
          <w:tcPr>
            <w:tcW w:w="416" w:type="dxa"/>
            <w:vAlign w:val="top"/>
          </w:tcPr>
          <w:p w14:paraId="33D45FB0">
            <w:pPr>
              <w:spacing w:before="242" w:line="189" w:lineRule="auto"/>
              <w:ind w:left="157"/>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118" w:type="dxa"/>
            <w:gridSpan w:val="3"/>
            <w:vAlign w:val="top"/>
          </w:tcPr>
          <w:p w14:paraId="2F138BCD">
            <w:pPr>
              <w:pStyle w:val="6"/>
              <w:spacing w:before="56" w:line="226" w:lineRule="auto"/>
              <w:ind w:left="235" w:right="118" w:hanging="112"/>
              <w:rPr>
                <w:sz w:val="22"/>
                <w:szCs w:val="22"/>
              </w:rPr>
            </w:pPr>
            <w:r>
              <w:rPr>
                <w:spacing w:val="-3"/>
                <w:sz w:val="22"/>
                <w:szCs w:val="22"/>
              </w:rPr>
              <w:t>幸福西山</w:t>
            </w:r>
            <w:r>
              <w:rPr>
                <w:spacing w:val="-4"/>
                <w:sz w:val="22"/>
                <w:szCs w:val="22"/>
              </w:rPr>
              <w:t>壹号院</w:t>
            </w:r>
          </w:p>
        </w:tc>
        <w:tc>
          <w:tcPr>
            <w:tcW w:w="599" w:type="dxa"/>
            <w:vAlign w:val="top"/>
          </w:tcPr>
          <w:p w14:paraId="1A92F6FA">
            <w:pPr>
              <w:spacing w:before="242" w:line="189" w:lineRule="auto"/>
              <w:ind w:left="159"/>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-25</w:t>
            </w:r>
          </w:p>
        </w:tc>
        <w:tc>
          <w:tcPr>
            <w:tcW w:w="564" w:type="dxa"/>
            <w:vAlign w:val="top"/>
          </w:tcPr>
          <w:p w14:paraId="15894483">
            <w:pPr>
              <w:spacing w:before="242" w:line="189" w:lineRule="auto"/>
              <w:ind w:left="17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623" w:type="dxa"/>
            <w:gridSpan w:val="2"/>
            <w:vAlign w:val="top"/>
          </w:tcPr>
          <w:p w14:paraId="38205436">
            <w:pPr>
              <w:spacing w:before="242" w:line="189" w:lineRule="auto"/>
              <w:ind w:left="262"/>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215" w:type="dxa"/>
            <w:gridSpan w:val="3"/>
            <w:vAlign w:val="top"/>
          </w:tcPr>
          <w:p w14:paraId="0187BFCB">
            <w:pPr>
              <w:spacing w:before="242" w:line="189" w:lineRule="auto"/>
              <w:ind w:left="5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25</w:t>
            </w:r>
          </w:p>
        </w:tc>
        <w:tc>
          <w:tcPr>
            <w:tcW w:w="665" w:type="dxa"/>
            <w:gridSpan w:val="2"/>
            <w:vAlign w:val="top"/>
          </w:tcPr>
          <w:p w14:paraId="13B52AD9">
            <w:pPr>
              <w:spacing w:before="245" w:line="186" w:lineRule="auto"/>
              <w:ind w:left="14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NW</w:t>
            </w:r>
          </w:p>
        </w:tc>
        <w:tc>
          <w:tcPr>
            <w:tcW w:w="882" w:type="dxa"/>
            <w:gridSpan w:val="2"/>
            <w:vMerge w:val="continue"/>
            <w:tcBorders>
              <w:top w:val="nil"/>
            </w:tcBorders>
            <w:vAlign w:val="top"/>
          </w:tcPr>
          <w:p w14:paraId="44FE78EF">
            <w:pPr>
              <w:rPr>
                <w:rFonts w:ascii="Arial"/>
                <w:sz w:val="21"/>
              </w:rPr>
            </w:pPr>
          </w:p>
        </w:tc>
        <w:tc>
          <w:tcPr>
            <w:tcW w:w="1849" w:type="dxa"/>
            <w:gridSpan w:val="2"/>
            <w:vMerge w:val="continue"/>
            <w:tcBorders>
              <w:top w:val="nil"/>
            </w:tcBorders>
            <w:vAlign w:val="top"/>
          </w:tcPr>
          <w:p w14:paraId="0511EB92">
            <w:pPr>
              <w:rPr>
                <w:rFonts w:ascii="Arial"/>
                <w:sz w:val="21"/>
              </w:rPr>
            </w:pPr>
          </w:p>
        </w:tc>
        <w:tc>
          <w:tcPr>
            <w:tcW w:w="226" w:type="dxa"/>
            <w:gridSpan w:val="2"/>
            <w:vMerge w:val="continue"/>
            <w:tcBorders>
              <w:top w:val="nil"/>
              <w:bottom w:val="nil"/>
            </w:tcBorders>
            <w:vAlign w:val="top"/>
          </w:tcPr>
          <w:p w14:paraId="0AB08FCB">
            <w:pPr>
              <w:rPr>
                <w:rFonts w:ascii="Arial"/>
                <w:sz w:val="21"/>
              </w:rPr>
            </w:pPr>
          </w:p>
        </w:tc>
      </w:tr>
      <w:tr w14:paraId="6A264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7" w:hRule="atLeast"/>
        </w:trPr>
        <w:tc>
          <w:tcPr>
            <w:tcW w:w="795" w:type="dxa"/>
            <w:vMerge w:val="continue"/>
            <w:tcBorders>
              <w:top w:val="nil"/>
            </w:tcBorders>
            <w:vAlign w:val="top"/>
          </w:tcPr>
          <w:p w14:paraId="59CA5AA5">
            <w:pPr>
              <w:rPr>
                <w:rFonts w:ascii="Arial"/>
                <w:sz w:val="21"/>
              </w:rPr>
            </w:pPr>
          </w:p>
        </w:tc>
        <w:tc>
          <w:tcPr>
            <w:tcW w:w="8270" w:type="dxa"/>
            <w:gridSpan w:val="20"/>
            <w:vAlign w:val="top"/>
          </w:tcPr>
          <w:p w14:paraId="3A11E364">
            <w:pPr>
              <w:pStyle w:val="6"/>
              <w:spacing w:before="149" w:line="226" w:lineRule="auto"/>
              <w:ind w:left="106"/>
            </w:pPr>
            <w:r>
              <w:rPr>
                <w:rFonts w:ascii="Times New Roman" w:hAnsi="Times New Roman" w:eastAsia="Times New Roman" w:cs="Times New Roman"/>
                <w:b/>
                <w:bCs/>
                <w:spacing w:val="5"/>
              </w:rPr>
              <w:t xml:space="preserve">3.2.4 </w:t>
            </w:r>
            <w:r>
              <w:rPr>
                <w:b/>
                <w:bCs/>
                <w:spacing w:val="5"/>
              </w:rPr>
              <w:t>地下水环境</w:t>
            </w:r>
          </w:p>
          <w:p w14:paraId="6FE37DA6">
            <w:pPr>
              <w:pStyle w:val="6"/>
              <w:spacing w:before="154" w:line="283" w:lineRule="auto"/>
              <w:ind w:left="115" w:right="108" w:firstLine="522"/>
            </w:pPr>
            <w:r>
              <w:rPr>
                <w:spacing w:val="19"/>
              </w:rPr>
              <w:t>项目位于重庆市九龙坡区石堰村八社</w:t>
            </w:r>
            <w:r>
              <w:rPr>
                <w:rFonts w:ascii="Times New Roman" w:hAnsi="Times New Roman" w:eastAsia="Times New Roman" w:cs="Times New Roman"/>
                <w:spacing w:val="19"/>
              </w:rPr>
              <w:t>(</w:t>
            </w:r>
            <w:r>
              <w:rPr>
                <w:spacing w:val="19"/>
              </w:rPr>
              <w:t>乔鹤佳苑小区旁</w:t>
            </w:r>
            <w:r>
              <w:rPr>
                <w:rFonts w:ascii="Times New Roman" w:hAnsi="Times New Roman" w:eastAsia="Times New Roman" w:cs="Times New Roman"/>
                <w:spacing w:val="19"/>
              </w:rPr>
              <w:t>)</w:t>
            </w:r>
            <w:r>
              <w:rPr>
                <w:rFonts w:ascii="Times New Roman" w:hAnsi="Times New Roman" w:eastAsia="Times New Roman" w:cs="Times New Roman"/>
                <w:spacing w:val="-12"/>
              </w:rPr>
              <w:t xml:space="preserve"> </w:t>
            </w:r>
            <w:r>
              <w:rPr>
                <w:spacing w:val="19"/>
              </w:rPr>
              <w:t>，厂界外</w:t>
            </w:r>
            <w:r>
              <w:rPr>
                <w:rFonts w:ascii="Times New Roman" w:hAnsi="Times New Roman" w:eastAsia="Times New Roman" w:cs="Times New Roman"/>
                <w:spacing w:val="12"/>
              </w:rPr>
              <w:t>500m</w:t>
            </w:r>
            <w:r>
              <w:rPr>
                <w:rFonts w:ascii="Times New Roman" w:hAnsi="Times New Roman" w:eastAsia="Times New Roman" w:cs="Times New Roman"/>
                <w:spacing w:val="24"/>
                <w:w w:val="101"/>
              </w:rPr>
              <w:t xml:space="preserve"> </w:t>
            </w:r>
            <w:r>
              <w:rPr>
                <w:spacing w:val="12"/>
              </w:rPr>
              <w:t>范围内无地下水集中式饮用水水源和热水、矿泉水、温泉等特殊</w:t>
            </w:r>
          </w:p>
        </w:tc>
      </w:tr>
    </w:tbl>
    <w:p w14:paraId="4ECC0F11">
      <w:pPr>
        <w:pStyle w:val="2"/>
        <w:rPr>
          <w:sz w:val="21"/>
        </w:rPr>
      </w:pPr>
    </w:p>
    <w:p w14:paraId="7F5A1590">
      <w:pPr>
        <w:rPr>
          <w:sz w:val="21"/>
          <w:szCs w:val="21"/>
        </w:rPr>
        <w:sectPr>
          <w:footerReference r:id="rId66" w:type="default"/>
          <w:pgSz w:w="11907" w:h="16840"/>
          <w:pgMar w:top="400" w:right="1418" w:bottom="1008" w:left="1418" w:header="0" w:footer="770" w:gutter="0"/>
          <w:cols w:space="720" w:num="1"/>
        </w:sectPr>
      </w:pPr>
    </w:p>
    <w:p w14:paraId="5FD42FA9">
      <w:pPr>
        <w:spacing w:before="19"/>
      </w:pPr>
    </w:p>
    <w:p w14:paraId="398E7392">
      <w:pPr>
        <w:spacing w:before="19"/>
      </w:pPr>
    </w:p>
    <w:p w14:paraId="203C30A6">
      <w:pPr>
        <w:spacing w:before="19"/>
      </w:pPr>
    </w:p>
    <w:p w14:paraId="48CD3EA8">
      <w:pPr>
        <w:spacing w:before="18"/>
      </w:pPr>
    </w:p>
    <w:p w14:paraId="16F6417D">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5"/>
        <w:gridCol w:w="8270"/>
      </w:tblGrid>
      <w:tr w14:paraId="612D5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8" w:hRule="atLeast"/>
        </w:trPr>
        <w:tc>
          <w:tcPr>
            <w:tcW w:w="795" w:type="dxa"/>
            <w:vAlign w:val="top"/>
          </w:tcPr>
          <w:p w14:paraId="1CEF540D">
            <w:pPr>
              <w:rPr>
                <w:rFonts w:ascii="Arial"/>
                <w:sz w:val="21"/>
              </w:rPr>
            </w:pPr>
          </w:p>
        </w:tc>
        <w:tc>
          <w:tcPr>
            <w:tcW w:w="8270" w:type="dxa"/>
            <w:vAlign w:val="top"/>
          </w:tcPr>
          <w:p w14:paraId="215DAF74">
            <w:pPr>
              <w:pStyle w:val="6"/>
              <w:spacing w:before="150" w:line="226" w:lineRule="auto"/>
              <w:ind w:left="112"/>
            </w:pPr>
            <w:r>
              <w:rPr>
                <w:spacing w:val="6"/>
              </w:rPr>
              <w:t>地下水资源。</w:t>
            </w:r>
          </w:p>
          <w:p w14:paraId="05558EA3">
            <w:pPr>
              <w:pStyle w:val="6"/>
              <w:spacing w:before="151" w:line="227" w:lineRule="auto"/>
              <w:ind w:left="106"/>
            </w:pPr>
            <w:r>
              <w:rPr>
                <w:rFonts w:ascii="Times New Roman" w:hAnsi="Times New Roman" w:eastAsia="Times New Roman" w:cs="Times New Roman"/>
                <w:b/>
                <w:bCs/>
                <w:spacing w:val="3"/>
              </w:rPr>
              <w:t>3.2.5</w:t>
            </w:r>
            <w:r>
              <w:rPr>
                <w:rFonts w:ascii="Times New Roman" w:hAnsi="Times New Roman" w:eastAsia="Times New Roman" w:cs="Times New Roman"/>
                <w:b/>
                <w:bCs/>
                <w:spacing w:val="24"/>
              </w:rPr>
              <w:t xml:space="preserve"> </w:t>
            </w:r>
            <w:r>
              <w:rPr>
                <w:b/>
                <w:bCs/>
                <w:spacing w:val="3"/>
              </w:rPr>
              <w:t>生态环境</w:t>
            </w:r>
          </w:p>
          <w:p w14:paraId="2071CA2E">
            <w:pPr>
              <w:pStyle w:val="6"/>
              <w:spacing w:before="154" w:line="225" w:lineRule="auto"/>
              <w:ind w:left="634"/>
              <w:outlineLvl w:val="0"/>
            </w:pPr>
            <w:r>
              <w:rPr>
                <w:spacing w:val="9"/>
              </w:rPr>
              <w:t>本项目为加油站改扩建项目，在原项目占地范围内进行油罐更换，</w:t>
            </w:r>
          </w:p>
          <w:p w14:paraId="7735CFA2">
            <w:pPr>
              <w:pStyle w:val="6"/>
              <w:spacing w:before="158" w:line="311" w:lineRule="auto"/>
              <w:ind w:left="112" w:right="108" w:firstLine="4"/>
              <w:jc w:val="both"/>
            </w:pPr>
            <w:r>
              <w:rPr>
                <w:spacing w:val="9"/>
              </w:rPr>
              <w:t>未新增用地。根据现场调查，项目所在地为城市生态系统，周边植被单一，生态结构较简单、植被稀疏、多为人工植被、未发现珍稀濒危保护</w:t>
            </w:r>
            <w:r>
              <w:rPr>
                <w:spacing w:val="7"/>
              </w:rPr>
              <w:t>物种，用地范围内不涉及国家公园、</w:t>
            </w:r>
            <w:r>
              <w:rPr>
                <w:spacing w:val="-49"/>
              </w:rPr>
              <w:t xml:space="preserve"> </w:t>
            </w:r>
            <w:r>
              <w:rPr>
                <w:spacing w:val="7"/>
              </w:rPr>
              <w:t>自然保护区、世界自然遗产、风景</w:t>
            </w:r>
            <w:r>
              <w:rPr>
                <w:spacing w:val="8"/>
              </w:rPr>
              <w:t>名胜区、重要生境等生态环境保护目标。</w:t>
            </w:r>
          </w:p>
        </w:tc>
      </w:tr>
      <w:tr w14:paraId="65208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0" w:hRule="atLeast"/>
        </w:trPr>
        <w:tc>
          <w:tcPr>
            <w:tcW w:w="795" w:type="dxa"/>
            <w:vAlign w:val="top"/>
          </w:tcPr>
          <w:p w14:paraId="4C3259D0">
            <w:pPr>
              <w:spacing w:line="245" w:lineRule="auto"/>
              <w:rPr>
                <w:rFonts w:ascii="Arial"/>
                <w:sz w:val="21"/>
              </w:rPr>
            </w:pPr>
          </w:p>
          <w:p w14:paraId="0CE4C1A5">
            <w:pPr>
              <w:spacing w:line="245" w:lineRule="auto"/>
              <w:rPr>
                <w:rFonts w:ascii="Arial"/>
                <w:sz w:val="21"/>
              </w:rPr>
            </w:pPr>
          </w:p>
          <w:p w14:paraId="3588F682">
            <w:pPr>
              <w:spacing w:line="245" w:lineRule="auto"/>
              <w:rPr>
                <w:rFonts w:ascii="Arial"/>
                <w:sz w:val="21"/>
              </w:rPr>
            </w:pPr>
          </w:p>
          <w:p w14:paraId="731FC059">
            <w:pPr>
              <w:spacing w:line="245" w:lineRule="auto"/>
              <w:rPr>
                <w:rFonts w:ascii="Arial"/>
                <w:sz w:val="21"/>
              </w:rPr>
            </w:pPr>
          </w:p>
          <w:p w14:paraId="018FABFB">
            <w:pPr>
              <w:spacing w:line="245" w:lineRule="auto"/>
              <w:rPr>
                <w:rFonts w:ascii="Arial"/>
                <w:sz w:val="21"/>
              </w:rPr>
            </w:pPr>
          </w:p>
          <w:p w14:paraId="27A943AD">
            <w:pPr>
              <w:spacing w:line="245" w:lineRule="auto"/>
              <w:rPr>
                <w:rFonts w:ascii="Arial"/>
                <w:sz w:val="21"/>
              </w:rPr>
            </w:pPr>
          </w:p>
          <w:p w14:paraId="5F0D36DC">
            <w:pPr>
              <w:spacing w:line="245" w:lineRule="auto"/>
              <w:rPr>
                <w:rFonts w:ascii="Arial"/>
                <w:sz w:val="21"/>
              </w:rPr>
            </w:pPr>
          </w:p>
          <w:p w14:paraId="258C3CC0">
            <w:pPr>
              <w:spacing w:line="245" w:lineRule="auto"/>
              <w:rPr>
                <w:rFonts w:ascii="Arial"/>
                <w:sz w:val="21"/>
              </w:rPr>
            </w:pPr>
          </w:p>
          <w:p w14:paraId="38513119">
            <w:pPr>
              <w:spacing w:line="245" w:lineRule="auto"/>
              <w:rPr>
                <w:rFonts w:ascii="Arial"/>
                <w:sz w:val="21"/>
              </w:rPr>
            </w:pPr>
          </w:p>
          <w:p w14:paraId="27846A16">
            <w:pPr>
              <w:spacing w:line="245" w:lineRule="auto"/>
              <w:rPr>
                <w:rFonts w:ascii="Arial"/>
                <w:sz w:val="21"/>
              </w:rPr>
            </w:pPr>
          </w:p>
          <w:p w14:paraId="1AEDEC9A">
            <w:pPr>
              <w:spacing w:line="245" w:lineRule="auto"/>
              <w:rPr>
                <w:rFonts w:ascii="Arial"/>
                <w:sz w:val="21"/>
              </w:rPr>
            </w:pPr>
          </w:p>
          <w:p w14:paraId="1503F060">
            <w:pPr>
              <w:spacing w:line="245" w:lineRule="auto"/>
              <w:rPr>
                <w:rFonts w:ascii="Arial"/>
                <w:sz w:val="21"/>
              </w:rPr>
            </w:pPr>
          </w:p>
          <w:p w14:paraId="45235B46">
            <w:pPr>
              <w:spacing w:line="245" w:lineRule="auto"/>
              <w:rPr>
                <w:rFonts w:ascii="Arial"/>
                <w:sz w:val="21"/>
              </w:rPr>
            </w:pPr>
          </w:p>
          <w:p w14:paraId="2B63C70C">
            <w:pPr>
              <w:spacing w:line="245" w:lineRule="auto"/>
              <w:rPr>
                <w:rFonts w:ascii="Arial"/>
                <w:sz w:val="21"/>
              </w:rPr>
            </w:pPr>
          </w:p>
          <w:p w14:paraId="44434AC8">
            <w:pPr>
              <w:spacing w:line="245" w:lineRule="auto"/>
              <w:rPr>
                <w:rFonts w:ascii="Arial"/>
                <w:sz w:val="21"/>
              </w:rPr>
            </w:pPr>
          </w:p>
          <w:p w14:paraId="60B73C2A">
            <w:pPr>
              <w:spacing w:line="246" w:lineRule="auto"/>
              <w:rPr>
                <w:rFonts w:ascii="Arial"/>
                <w:sz w:val="21"/>
              </w:rPr>
            </w:pPr>
          </w:p>
          <w:p w14:paraId="17098E7F">
            <w:pPr>
              <w:pStyle w:val="6"/>
              <w:spacing w:before="81" w:line="249" w:lineRule="auto"/>
              <w:ind w:left="144" w:right="137" w:firstLine="2"/>
              <w:jc w:val="both"/>
            </w:pPr>
            <w:r>
              <w:rPr>
                <w:spacing w:val="3"/>
              </w:rPr>
              <w:t>污染</w:t>
            </w:r>
            <w:r>
              <w:rPr>
                <w:spacing w:val="4"/>
              </w:rPr>
              <w:t>物排放控制标</w:t>
            </w:r>
          </w:p>
          <w:p w14:paraId="04342F25">
            <w:pPr>
              <w:pStyle w:val="6"/>
              <w:spacing w:line="227" w:lineRule="auto"/>
              <w:ind w:left="276"/>
              <w:outlineLvl w:val="0"/>
            </w:pPr>
            <w:r>
              <w:t>准</w:t>
            </w:r>
          </w:p>
        </w:tc>
        <w:tc>
          <w:tcPr>
            <w:tcW w:w="8270" w:type="dxa"/>
            <w:vAlign w:val="top"/>
          </w:tcPr>
          <w:p w14:paraId="34EB77E5">
            <w:pPr>
              <w:pStyle w:val="6"/>
              <w:spacing w:before="147" w:line="227" w:lineRule="auto"/>
              <w:ind w:left="106"/>
            </w:pPr>
            <w:r>
              <w:rPr>
                <w:rFonts w:ascii="Times New Roman" w:hAnsi="Times New Roman" w:eastAsia="Times New Roman" w:cs="Times New Roman"/>
                <w:b/>
                <w:bCs/>
                <w:spacing w:val="6"/>
              </w:rPr>
              <w:t xml:space="preserve">3.3 </w:t>
            </w:r>
            <w:r>
              <w:rPr>
                <w:b/>
                <w:bCs/>
                <w:spacing w:val="6"/>
              </w:rPr>
              <w:t>污染物排放控制标准</w:t>
            </w:r>
          </w:p>
          <w:p w14:paraId="6B2FEFD7">
            <w:pPr>
              <w:pStyle w:val="6"/>
              <w:spacing w:before="150" w:line="227" w:lineRule="auto"/>
              <w:ind w:left="106"/>
            </w:pPr>
            <w:r>
              <w:rPr>
                <w:rFonts w:ascii="Times New Roman" w:hAnsi="Times New Roman" w:eastAsia="Times New Roman" w:cs="Times New Roman"/>
                <w:b/>
                <w:bCs/>
                <w:spacing w:val="6"/>
              </w:rPr>
              <w:t xml:space="preserve">3.3.1 </w:t>
            </w:r>
            <w:r>
              <w:rPr>
                <w:b/>
                <w:bCs/>
                <w:spacing w:val="6"/>
              </w:rPr>
              <w:t>大气污染物排放标准</w:t>
            </w:r>
          </w:p>
          <w:p w14:paraId="1EB3C0B0">
            <w:pPr>
              <w:pStyle w:val="6"/>
              <w:spacing w:before="150" w:line="340" w:lineRule="auto"/>
              <w:ind w:left="112" w:right="108" w:firstLine="521"/>
              <w:jc w:val="both"/>
            </w:pPr>
            <w:r>
              <w:rPr>
                <w:spacing w:val="9"/>
              </w:rPr>
              <w:t>本项目位于重庆市九龙坡区，项目营运期油气处理装置的油气排放</w:t>
            </w:r>
            <w:r>
              <w:rPr>
                <w:spacing w:val="18"/>
              </w:rPr>
              <w:t>浓度及无组织排放浓度的非甲烷总烃执行《加油站大气污染物排放标</w:t>
            </w:r>
            <w:r>
              <w:rPr>
                <w:spacing w:val="6"/>
              </w:rPr>
              <w:t>准》（</w:t>
            </w:r>
            <w:r>
              <w:rPr>
                <w:rFonts w:ascii="Times New Roman" w:hAnsi="Times New Roman" w:eastAsia="Times New Roman" w:cs="Times New Roman"/>
              </w:rPr>
              <w:t>GB</w:t>
            </w:r>
            <w:r>
              <w:rPr>
                <w:rFonts w:ascii="Times New Roman" w:hAnsi="Times New Roman" w:eastAsia="Times New Roman" w:cs="Times New Roman"/>
                <w:spacing w:val="6"/>
              </w:rPr>
              <w:t xml:space="preserve"> 20952-2020</w:t>
            </w:r>
            <w:r>
              <w:rPr>
                <w:spacing w:val="6"/>
              </w:rPr>
              <w:t>）中表</w:t>
            </w:r>
            <w:r>
              <w:rPr>
                <w:spacing w:val="-36"/>
              </w:rPr>
              <w:t xml:space="preserve"> </w:t>
            </w:r>
            <w:r>
              <w:rPr>
                <w:rFonts w:ascii="Times New Roman" w:hAnsi="Times New Roman" w:eastAsia="Times New Roman" w:cs="Times New Roman"/>
                <w:spacing w:val="6"/>
              </w:rPr>
              <w:t xml:space="preserve">3 </w:t>
            </w:r>
            <w:r>
              <w:rPr>
                <w:spacing w:val="6"/>
              </w:rPr>
              <w:t>排放限值，详见表</w:t>
            </w:r>
            <w:r>
              <w:rPr>
                <w:spacing w:val="-47"/>
              </w:rPr>
              <w:t xml:space="preserve"> </w:t>
            </w:r>
            <w:r>
              <w:rPr>
                <w:rFonts w:ascii="Times New Roman" w:hAnsi="Times New Roman" w:eastAsia="Times New Roman" w:cs="Times New Roman"/>
                <w:spacing w:val="6"/>
              </w:rPr>
              <w:t>3.3-</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28"/>
              </w:rPr>
              <w:t xml:space="preserve"> </w:t>
            </w:r>
            <w:r>
              <w:rPr>
                <w:spacing w:val="6"/>
              </w:rPr>
              <w:t>；同时站区内非</w:t>
            </w:r>
            <w:r>
              <w:rPr>
                <w:spacing w:val="9"/>
              </w:rPr>
              <w:t>甲烷总烃无组织排放控制点浓度执行《挥发性有机物无组织排放控制标</w:t>
            </w:r>
            <w:r>
              <w:rPr>
                <w:spacing w:val="6"/>
              </w:rPr>
              <w:t>准》（</w:t>
            </w:r>
            <w:r>
              <w:rPr>
                <w:rFonts w:ascii="Times New Roman" w:hAnsi="Times New Roman" w:eastAsia="Times New Roman" w:cs="Times New Roman"/>
              </w:rPr>
              <w:t>GB</w:t>
            </w:r>
            <w:r>
              <w:rPr>
                <w:rFonts w:ascii="Times New Roman" w:hAnsi="Times New Roman" w:eastAsia="Times New Roman" w:cs="Times New Roman"/>
                <w:spacing w:val="6"/>
              </w:rPr>
              <w:t>37822-2019</w:t>
            </w:r>
            <w:r>
              <w:rPr>
                <w:spacing w:val="6"/>
              </w:rPr>
              <w:t>）附录</w:t>
            </w:r>
            <w:r>
              <w:rPr>
                <w:spacing w:val="-58"/>
              </w:rPr>
              <w:t xml:space="preserve"> </w:t>
            </w:r>
            <w:r>
              <w:rPr>
                <w:rFonts w:ascii="Times New Roman" w:hAnsi="Times New Roman" w:eastAsia="Times New Roman" w:cs="Times New Roman"/>
                <w:spacing w:val="6"/>
              </w:rPr>
              <w:t>A</w:t>
            </w:r>
            <w:r>
              <w:rPr>
                <w:rFonts w:ascii="Times New Roman" w:hAnsi="Times New Roman" w:eastAsia="Times New Roman" w:cs="Times New Roman"/>
                <w:spacing w:val="39"/>
                <w:w w:val="101"/>
              </w:rPr>
              <w:t xml:space="preserve"> </w:t>
            </w:r>
            <w:r>
              <w:rPr>
                <w:spacing w:val="6"/>
              </w:rPr>
              <w:t>中特别排放限值，详见</w:t>
            </w:r>
            <w:r>
              <w:rPr>
                <w:spacing w:val="5"/>
              </w:rPr>
              <w:t>表</w:t>
            </w:r>
            <w:r>
              <w:rPr>
                <w:spacing w:val="-50"/>
              </w:rPr>
              <w:t xml:space="preserve"> </w:t>
            </w:r>
            <w:r>
              <w:rPr>
                <w:rFonts w:ascii="Times New Roman" w:hAnsi="Times New Roman" w:eastAsia="Times New Roman" w:cs="Times New Roman"/>
                <w:spacing w:val="5"/>
              </w:rPr>
              <w:t>3.3-2</w:t>
            </w:r>
            <w:r>
              <w:rPr>
                <w:spacing w:val="5"/>
              </w:rPr>
              <w:t>。</w:t>
            </w:r>
          </w:p>
          <w:p w14:paraId="1924D135">
            <w:pPr>
              <w:pStyle w:val="6"/>
              <w:spacing w:before="1" w:line="226" w:lineRule="auto"/>
              <w:ind w:left="654"/>
            </w:pPr>
            <w:r>
              <w:rPr>
                <w:spacing w:val="5"/>
              </w:rPr>
              <w:t>表</w:t>
            </w:r>
            <w:r>
              <w:rPr>
                <w:spacing w:val="-32"/>
              </w:rPr>
              <w:t xml:space="preserve"> </w:t>
            </w:r>
            <w:r>
              <w:rPr>
                <w:rFonts w:ascii="Times New Roman" w:hAnsi="Times New Roman" w:eastAsia="Times New Roman" w:cs="Times New Roman"/>
                <w:spacing w:val="5"/>
              </w:rPr>
              <w:t>3.3-</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 xml:space="preserve">1    </w:t>
            </w:r>
            <w:r>
              <w:rPr>
                <w:spacing w:val="5"/>
              </w:rPr>
              <w:t>《加油站大气污染物排放标准》（</w:t>
            </w:r>
            <w:r>
              <w:rPr>
                <w:rFonts w:ascii="Times New Roman" w:hAnsi="Times New Roman" w:eastAsia="Times New Roman" w:cs="Times New Roman"/>
              </w:rPr>
              <w:t>GB</w:t>
            </w:r>
            <w:r>
              <w:rPr>
                <w:rFonts w:ascii="Times New Roman" w:hAnsi="Times New Roman" w:eastAsia="Times New Roman" w:cs="Times New Roman"/>
                <w:spacing w:val="5"/>
              </w:rPr>
              <w:t xml:space="preserve"> 20952-2020</w:t>
            </w:r>
            <w:r>
              <w:rPr>
                <w:spacing w:val="5"/>
              </w:rPr>
              <w:t>）</w:t>
            </w:r>
          </w:p>
          <w:p w14:paraId="6F20C798">
            <w:pPr>
              <w:spacing w:line="94" w:lineRule="auto"/>
              <w:rPr>
                <w:rFonts w:ascii="Arial"/>
                <w:sz w:val="2"/>
              </w:rPr>
            </w:pPr>
          </w:p>
          <w:tbl>
            <w:tblPr>
              <w:tblStyle w:val="5"/>
              <w:tblW w:w="8048"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5"/>
              <w:gridCol w:w="1930"/>
              <w:gridCol w:w="2529"/>
              <w:gridCol w:w="2224"/>
            </w:tblGrid>
            <w:tr w14:paraId="61780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1365" w:type="dxa"/>
                  <w:vAlign w:val="top"/>
                </w:tcPr>
                <w:p w14:paraId="057A44C5">
                  <w:pPr>
                    <w:pStyle w:val="6"/>
                    <w:spacing w:before="89" w:line="221" w:lineRule="auto"/>
                    <w:ind w:left="140"/>
                    <w:rPr>
                      <w:sz w:val="22"/>
                      <w:szCs w:val="22"/>
                    </w:rPr>
                  </w:pPr>
                  <w:r>
                    <w:rPr>
                      <w:spacing w:val="-2"/>
                      <w:sz w:val="22"/>
                      <w:szCs w:val="22"/>
                    </w:rPr>
                    <w:t>污染物项目</w:t>
                  </w:r>
                </w:p>
              </w:tc>
              <w:tc>
                <w:tcPr>
                  <w:tcW w:w="1930" w:type="dxa"/>
                  <w:vAlign w:val="top"/>
                </w:tcPr>
                <w:p w14:paraId="253BECBA">
                  <w:pPr>
                    <w:pStyle w:val="6"/>
                    <w:spacing w:before="88" w:line="205" w:lineRule="auto"/>
                    <w:jc w:val="right"/>
                    <w:rPr>
                      <w:sz w:val="22"/>
                      <w:szCs w:val="22"/>
                    </w:rPr>
                  </w:pPr>
                  <w:r>
                    <w:rPr>
                      <w:spacing w:val="-10"/>
                      <w:sz w:val="22"/>
                      <w:szCs w:val="22"/>
                    </w:rPr>
                    <w:t>排放限值（</w:t>
                  </w:r>
                  <w:r>
                    <w:rPr>
                      <w:rFonts w:ascii="Times New Roman" w:hAnsi="Times New Roman" w:eastAsia="Times New Roman" w:cs="Times New Roman"/>
                      <w:spacing w:val="-10"/>
                      <w:sz w:val="22"/>
                      <w:szCs w:val="22"/>
                    </w:rPr>
                    <w:t>mg/m</w:t>
                  </w:r>
                  <w:r>
                    <w:rPr>
                      <w:rFonts w:ascii="Times New Roman" w:hAnsi="Times New Roman" w:eastAsia="Times New Roman" w:cs="Times New Roman"/>
                      <w:spacing w:val="-7"/>
                      <w:position w:val="1"/>
                      <w:sz w:val="14"/>
                      <w:szCs w:val="14"/>
                    </w:rPr>
                    <w:t>3</w:t>
                  </w:r>
                  <w:r>
                    <w:rPr>
                      <w:spacing w:val="-7"/>
                      <w:position w:val="1"/>
                      <w:sz w:val="22"/>
                      <w:szCs w:val="22"/>
                    </w:rPr>
                    <w:t>）</w:t>
                  </w:r>
                </w:p>
              </w:tc>
              <w:tc>
                <w:tcPr>
                  <w:tcW w:w="2529" w:type="dxa"/>
                  <w:vAlign w:val="top"/>
                </w:tcPr>
                <w:p w14:paraId="6ABD8587">
                  <w:pPr>
                    <w:pStyle w:val="6"/>
                    <w:spacing w:before="89" w:line="220" w:lineRule="auto"/>
                    <w:ind w:left="845"/>
                    <w:rPr>
                      <w:sz w:val="22"/>
                      <w:szCs w:val="22"/>
                    </w:rPr>
                  </w:pPr>
                  <w:r>
                    <w:rPr>
                      <w:spacing w:val="-6"/>
                      <w:sz w:val="22"/>
                      <w:szCs w:val="22"/>
                    </w:rPr>
                    <w:t>限值含义</w:t>
                  </w:r>
                </w:p>
              </w:tc>
              <w:tc>
                <w:tcPr>
                  <w:tcW w:w="2224" w:type="dxa"/>
                  <w:vAlign w:val="top"/>
                </w:tcPr>
                <w:p w14:paraId="6C2BCD2F">
                  <w:pPr>
                    <w:pStyle w:val="6"/>
                    <w:spacing w:before="89" w:line="221" w:lineRule="auto"/>
                    <w:ind w:left="129"/>
                    <w:rPr>
                      <w:sz w:val="22"/>
                      <w:szCs w:val="22"/>
                    </w:rPr>
                  </w:pPr>
                  <w:r>
                    <w:rPr>
                      <w:spacing w:val="-1"/>
                      <w:sz w:val="22"/>
                      <w:szCs w:val="22"/>
                    </w:rPr>
                    <w:t>无组织排放监控位置</w:t>
                  </w:r>
                </w:p>
              </w:tc>
            </w:tr>
            <w:tr w14:paraId="04989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365" w:type="dxa"/>
                  <w:vMerge w:val="restart"/>
                  <w:tcBorders>
                    <w:bottom w:val="nil"/>
                  </w:tcBorders>
                  <w:vAlign w:val="top"/>
                </w:tcPr>
                <w:p w14:paraId="6E270EED">
                  <w:pPr>
                    <w:spacing w:line="317" w:lineRule="auto"/>
                    <w:rPr>
                      <w:rFonts w:ascii="Arial"/>
                      <w:sz w:val="21"/>
                    </w:rPr>
                  </w:pPr>
                </w:p>
                <w:p w14:paraId="28AE2E2C">
                  <w:pPr>
                    <w:pStyle w:val="6"/>
                    <w:spacing w:before="72" w:line="221" w:lineRule="auto"/>
                    <w:ind w:left="142"/>
                    <w:rPr>
                      <w:sz w:val="22"/>
                      <w:szCs w:val="22"/>
                    </w:rPr>
                  </w:pPr>
                  <w:r>
                    <w:rPr>
                      <w:spacing w:val="-3"/>
                      <w:sz w:val="22"/>
                      <w:szCs w:val="22"/>
                    </w:rPr>
                    <w:t>非甲烷总烃</w:t>
                  </w:r>
                </w:p>
              </w:tc>
              <w:tc>
                <w:tcPr>
                  <w:tcW w:w="1930" w:type="dxa"/>
                  <w:vAlign w:val="top"/>
                </w:tcPr>
                <w:p w14:paraId="0F743BAC">
                  <w:pPr>
                    <w:spacing w:before="239" w:line="189" w:lineRule="auto"/>
                    <w:ind w:left="69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25000</w:t>
                  </w:r>
                </w:p>
              </w:tc>
              <w:tc>
                <w:tcPr>
                  <w:tcW w:w="2529" w:type="dxa"/>
                  <w:vAlign w:val="top"/>
                </w:tcPr>
                <w:p w14:paraId="62FACAEF">
                  <w:pPr>
                    <w:pStyle w:val="6"/>
                    <w:spacing w:before="51" w:line="227" w:lineRule="auto"/>
                    <w:ind w:left="115" w:right="106" w:firstLine="58"/>
                    <w:rPr>
                      <w:sz w:val="22"/>
                      <w:szCs w:val="22"/>
                    </w:rPr>
                  </w:pPr>
                  <w:r>
                    <w:rPr>
                      <w:spacing w:val="-2"/>
                      <w:sz w:val="22"/>
                      <w:szCs w:val="22"/>
                    </w:rPr>
                    <w:t>油气处理装置的油气排</w:t>
                  </w:r>
                  <w:r>
                    <w:rPr>
                      <w:spacing w:val="-1"/>
                      <w:sz w:val="22"/>
                      <w:szCs w:val="22"/>
                    </w:rPr>
                    <w:t>放浓度</w:t>
                  </w:r>
                  <w:r>
                    <w:rPr>
                      <w:rFonts w:ascii="Times New Roman" w:hAnsi="Times New Roman" w:eastAsia="Times New Roman" w:cs="Times New Roman"/>
                      <w:spacing w:val="-1"/>
                      <w:sz w:val="22"/>
                      <w:szCs w:val="22"/>
                    </w:rPr>
                    <w:t>1</w:t>
                  </w:r>
                  <w:r>
                    <w:rPr>
                      <w:spacing w:val="-1"/>
                      <w:sz w:val="22"/>
                      <w:szCs w:val="22"/>
                    </w:rPr>
                    <w:t>小时平均浓度值</w:t>
                  </w:r>
                </w:p>
              </w:tc>
              <w:tc>
                <w:tcPr>
                  <w:tcW w:w="2224" w:type="dxa"/>
                  <w:vAlign w:val="top"/>
                </w:tcPr>
                <w:p w14:paraId="48455C12">
                  <w:pPr>
                    <w:spacing w:before="235" w:line="193" w:lineRule="auto"/>
                    <w:ind w:left="107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20E6C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1365" w:type="dxa"/>
                  <w:vMerge w:val="continue"/>
                  <w:tcBorders>
                    <w:top w:val="nil"/>
                  </w:tcBorders>
                  <w:vAlign w:val="top"/>
                </w:tcPr>
                <w:p w14:paraId="75369B4D">
                  <w:pPr>
                    <w:rPr>
                      <w:rFonts w:ascii="Arial"/>
                      <w:sz w:val="21"/>
                    </w:rPr>
                  </w:pPr>
                </w:p>
              </w:tc>
              <w:tc>
                <w:tcPr>
                  <w:tcW w:w="1930" w:type="dxa"/>
                  <w:vAlign w:val="top"/>
                </w:tcPr>
                <w:p w14:paraId="2DB79918">
                  <w:pPr>
                    <w:spacing w:before="126" w:line="189" w:lineRule="auto"/>
                    <w:ind w:left="82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w:t>
                  </w:r>
                </w:p>
              </w:tc>
              <w:tc>
                <w:tcPr>
                  <w:tcW w:w="2529" w:type="dxa"/>
                  <w:vAlign w:val="top"/>
                </w:tcPr>
                <w:p w14:paraId="7332EA53">
                  <w:pPr>
                    <w:pStyle w:val="6"/>
                    <w:spacing w:before="88" w:line="220" w:lineRule="auto"/>
                    <w:ind w:left="171"/>
                    <w:rPr>
                      <w:sz w:val="22"/>
                      <w:szCs w:val="22"/>
                    </w:rPr>
                  </w:pPr>
                  <w:r>
                    <w:rPr>
                      <w:spacing w:val="-1"/>
                      <w:sz w:val="22"/>
                      <w:szCs w:val="22"/>
                    </w:rPr>
                    <w:t>监控点处</w:t>
                  </w:r>
                  <w:r>
                    <w:rPr>
                      <w:rFonts w:ascii="Times New Roman" w:hAnsi="Times New Roman" w:eastAsia="Times New Roman" w:cs="Times New Roman"/>
                      <w:spacing w:val="-1"/>
                      <w:sz w:val="22"/>
                      <w:szCs w:val="22"/>
                    </w:rPr>
                    <w:t>1h</w:t>
                  </w:r>
                  <w:r>
                    <w:rPr>
                      <w:spacing w:val="-1"/>
                      <w:sz w:val="22"/>
                      <w:szCs w:val="22"/>
                    </w:rPr>
                    <w:t>平均浓度值</w:t>
                  </w:r>
                </w:p>
              </w:tc>
              <w:tc>
                <w:tcPr>
                  <w:tcW w:w="2224" w:type="dxa"/>
                  <w:vAlign w:val="top"/>
                </w:tcPr>
                <w:p w14:paraId="78D6F107">
                  <w:pPr>
                    <w:pStyle w:val="6"/>
                    <w:spacing w:before="87" w:line="221" w:lineRule="auto"/>
                    <w:ind w:left="347"/>
                    <w:rPr>
                      <w:sz w:val="22"/>
                      <w:szCs w:val="22"/>
                    </w:rPr>
                  </w:pPr>
                  <w:r>
                    <w:rPr>
                      <w:spacing w:val="-1"/>
                      <w:sz w:val="22"/>
                      <w:szCs w:val="22"/>
                    </w:rPr>
                    <w:t>参照</w:t>
                  </w:r>
                  <w:r>
                    <w:rPr>
                      <w:rFonts w:ascii="Times New Roman" w:hAnsi="Times New Roman" w:eastAsia="Times New Roman" w:cs="Times New Roman"/>
                      <w:spacing w:val="-1"/>
                      <w:sz w:val="22"/>
                      <w:szCs w:val="22"/>
                    </w:rPr>
                    <w:t>HJ/T55</w:t>
                  </w:r>
                  <w:r>
                    <w:rPr>
                      <w:spacing w:val="-1"/>
                      <w:sz w:val="22"/>
                      <w:szCs w:val="22"/>
                    </w:rPr>
                    <w:t>规定</w:t>
                  </w:r>
                </w:p>
              </w:tc>
            </w:tr>
          </w:tbl>
          <w:p w14:paraId="60A1395F">
            <w:pPr>
              <w:spacing w:line="261" w:lineRule="auto"/>
              <w:rPr>
                <w:rFonts w:ascii="Arial"/>
                <w:sz w:val="21"/>
              </w:rPr>
            </w:pPr>
          </w:p>
          <w:p w14:paraId="5755E26E">
            <w:pPr>
              <w:spacing w:line="261" w:lineRule="auto"/>
              <w:rPr>
                <w:rFonts w:ascii="Arial"/>
                <w:sz w:val="21"/>
              </w:rPr>
            </w:pPr>
          </w:p>
          <w:p w14:paraId="016ED338">
            <w:pPr>
              <w:pStyle w:val="6"/>
              <w:spacing w:before="81" w:line="225" w:lineRule="auto"/>
              <w:ind w:left="298"/>
            </w:pPr>
            <w:r>
              <w:rPr>
                <w:spacing w:val="7"/>
              </w:rPr>
              <w:t>表</w:t>
            </w:r>
            <w:r>
              <w:rPr>
                <w:spacing w:val="-49"/>
              </w:rPr>
              <w:t xml:space="preserve"> </w:t>
            </w:r>
            <w:r>
              <w:rPr>
                <w:rFonts w:ascii="Times New Roman" w:hAnsi="Times New Roman" w:eastAsia="Times New Roman" w:cs="Times New Roman"/>
                <w:spacing w:val="7"/>
              </w:rPr>
              <w:t xml:space="preserve">3.3-2    </w:t>
            </w:r>
            <w:r>
              <w:rPr>
                <w:spacing w:val="7"/>
              </w:rPr>
              <w:t>《挥发性有机物无组织排放控制</w:t>
            </w:r>
            <w:r>
              <w:rPr>
                <w:spacing w:val="6"/>
              </w:rPr>
              <w:t>标准》（</w:t>
            </w:r>
            <w:r>
              <w:rPr>
                <w:rFonts w:ascii="Times New Roman" w:hAnsi="Times New Roman" w:eastAsia="Times New Roman" w:cs="Times New Roman"/>
              </w:rPr>
              <w:t>GB</w:t>
            </w:r>
            <w:r>
              <w:rPr>
                <w:rFonts w:ascii="Times New Roman" w:hAnsi="Times New Roman" w:eastAsia="Times New Roman" w:cs="Times New Roman"/>
                <w:spacing w:val="6"/>
              </w:rPr>
              <w:t>37822-2019</w:t>
            </w:r>
            <w:r>
              <w:rPr>
                <w:spacing w:val="6"/>
              </w:rPr>
              <w:t>）</w:t>
            </w:r>
          </w:p>
          <w:p w14:paraId="506E29C0">
            <w:pPr>
              <w:spacing w:line="99" w:lineRule="auto"/>
              <w:rPr>
                <w:rFonts w:ascii="Arial"/>
                <w:sz w:val="2"/>
              </w:rPr>
            </w:pPr>
          </w:p>
          <w:tbl>
            <w:tblPr>
              <w:tblStyle w:val="5"/>
              <w:tblW w:w="8048"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8"/>
              <w:gridCol w:w="1626"/>
              <w:gridCol w:w="2650"/>
              <w:gridCol w:w="2384"/>
            </w:tblGrid>
            <w:tr w14:paraId="45271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388" w:type="dxa"/>
                  <w:vAlign w:val="top"/>
                </w:tcPr>
                <w:p w14:paraId="1EC8A9FA">
                  <w:pPr>
                    <w:pStyle w:val="6"/>
                    <w:spacing w:before="205" w:line="221" w:lineRule="auto"/>
                    <w:ind w:left="152"/>
                    <w:rPr>
                      <w:sz w:val="22"/>
                      <w:szCs w:val="22"/>
                    </w:rPr>
                  </w:pPr>
                  <w:r>
                    <w:rPr>
                      <w:spacing w:val="-2"/>
                      <w:sz w:val="22"/>
                      <w:szCs w:val="22"/>
                    </w:rPr>
                    <w:t>污染物项目</w:t>
                  </w:r>
                </w:p>
              </w:tc>
              <w:tc>
                <w:tcPr>
                  <w:tcW w:w="1626" w:type="dxa"/>
                  <w:vAlign w:val="top"/>
                </w:tcPr>
                <w:p w14:paraId="68005690">
                  <w:pPr>
                    <w:pStyle w:val="6"/>
                    <w:spacing w:before="55" w:line="227" w:lineRule="auto"/>
                    <w:ind w:left="312" w:right="152" w:hanging="155"/>
                    <w:rPr>
                      <w:sz w:val="22"/>
                      <w:szCs w:val="22"/>
                    </w:rPr>
                  </w:pPr>
                  <w:r>
                    <w:rPr>
                      <w:spacing w:val="-2"/>
                      <w:sz w:val="22"/>
                      <w:szCs w:val="22"/>
                    </w:rPr>
                    <w:t>特别排放限值</w:t>
                  </w:r>
                  <w:r>
                    <w:rPr>
                      <w:spacing w:val="-3"/>
                      <w:sz w:val="22"/>
                      <w:szCs w:val="22"/>
                    </w:rPr>
                    <w:t>（</w:t>
                  </w:r>
                  <w:r>
                    <w:rPr>
                      <w:rFonts w:ascii="Times New Roman" w:hAnsi="Times New Roman" w:eastAsia="Times New Roman" w:cs="Times New Roman"/>
                      <w:spacing w:val="-3"/>
                      <w:sz w:val="22"/>
                      <w:szCs w:val="22"/>
                    </w:rPr>
                    <w:t>mg/m</w:t>
                  </w:r>
                  <w:r>
                    <w:rPr>
                      <w:rFonts w:ascii="Times New Roman" w:hAnsi="Times New Roman" w:eastAsia="Times New Roman" w:cs="Times New Roman"/>
                      <w:spacing w:val="-3"/>
                      <w:sz w:val="14"/>
                      <w:szCs w:val="14"/>
                    </w:rPr>
                    <w:t>3</w:t>
                  </w:r>
                  <w:r>
                    <w:rPr>
                      <w:spacing w:val="-3"/>
                      <w:sz w:val="22"/>
                      <w:szCs w:val="22"/>
                    </w:rPr>
                    <w:t>）</w:t>
                  </w:r>
                </w:p>
              </w:tc>
              <w:tc>
                <w:tcPr>
                  <w:tcW w:w="2650" w:type="dxa"/>
                  <w:vAlign w:val="top"/>
                </w:tcPr>
                <w:p w14:paraId="33CEE547">
                  <w:pPr>
                    <w:pStyle w:val="6"/>
                    <w:spacing w:before="205" w:line="220" w:lineRule="auto"/>
                    <w:ind w:left="906"/>
                    <w:rPr>
                      <w:sz w:val="22"/>
                      <w:szCs w:val="22"/>
                    </w:rPr>
                  </w:pPr>
                  <w:r>
                    <w:rPr>
                      <w:spacing w:val="-6"/>
                      <w:sz w:val="22"/>
                      <w:szCs w:val="22"/>
                    </w:rPr>
                    <w:t>限值含义</w:t>
                  </w:r>
                </w:p>
              </w:tc>
              <w:tc>
                <w:tcPr>
                  <w:tcW w:w="2384" w:type="dxa"/>
                  <w:vAlign w:val="top"/>
                </w:tcPr>
                <w:p w14:paraId="69B57939">
                  <w:pPr>
                    <w:pStyle w:val="6"/>
                    <w:spacing w:before="205" w:line="221" w:lineRule="auto"/>
                    <w:ind w:left="207"/>
                    <w:rPr>
                      <w:sz w:val="22"/>
                      <w:szCs w:val="22"/>
                    </w:rPr>
                  </w:pPr>
                  <w:r>
                    <w:rPr>
                      <w:spacing w:val="-1"/>
                      <w:sz w:val="22"/>
                      <w:szCs w:val="22"/>
                    </w:rPr>
                    <w:t>无组织排放监控位置</w:t>
                  </w:r>
                </w:p>
              </w:tc>
            </w:tr>
            <w:tr w14:paraId="3BEE7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388" w:type="dxa"/>
                  <w:vMerge w:val="restart"/>
                  <w:tcBorders>
                    <w:bottom w:val="nil"/>
                  </w:tcBorders>
                  <w:vAlign w:val="top"/>
                </w:tcPr>
                <w:p w14:paraId="58A3286A">
                  <w:pPr>
                    <w:pStyle w:val="6"/>
                    <w:spacing w:before="277" w:line="221" w:lineRule="auto"/>
                    <w:ind w:left="154"/>
                    <w:rPr>
                      <w:sz w:val="22"/>
                      <w:szCs w:val="22"/>
                    </w:rPr>
                  </w:pPr>
                  <w:r>
                    <w:rPr>
                      <w:spacing w:val="-3"/>
                      <w:sz w:val="22"/>
                      <w:szCs w:val="22"/>
                    </w:rPr>
                    <w:t>非甲烷总烃</w:t>
                  </w:r>
                </w:p>
              </w:tc>
              <w:tc>
                <w:tcPr>
                  <w:tcW w:w="1626" w:type="dxa"/>
                  <w:vAlign w:val="top"/>
                </w:tcPr>
                <w:p w14:paraId="3E90D633">
                  <w:pPr>
                    <w:spacing w:before="126" w:line="189" w:lineRule="auto"/>
                    <w:ind w:left="763"/>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2650" w:type="dxa"/>
                  <w:vAlign w:val="top"/>
                </w:tcPr>
                <w:p w14:paraId="63606272">
                  <w:pPr>
                    <w:pStyle w:val="6"/>
                    <w:spacing w:before="88" w:line="220" w:lineRule="auto"/>
                    <w:ind w:left="231"/>
                    <w:rPr>
                      <w:sz w:val="22"/>
                      <w:szCs w:val="22"/>
                    </w:rPr>
                  </w:pPr>
                  <w:r>
                    <w:rPr>
                      <w:spacing w:val="-1"/>
                      <w:sz w:val="22"/>
                      <w:szCs w:val="22"/>
                    </w:rPr>
                    <w:t>监控点处</w:t>
                  </w:r>
                  <w:r>
                    <w:rPr>
                      <w:rFonts w:ascii="Times New Roman" w:hAnsi="Times New Roman" w:eastAsia="Times New Roman" w:cs="Times New Roman"/>
                      <w:spacing w:val="-1"/>
                      <w:sz w:val="22"/>
                      <w:szCs w:val="22"/>
                    </w:rPr>
                    <w:t>1h</w:t>
                  </w:r>
                  <w:r>
                    <w:rPr>
                      <w:spacing w:val="-1"/>
                      <w:sz w:val="22"/>
                      <w:szCs w:val="22"/>
                    </w:rPr>
                    <w:t>平均浓度值</w:t>
                  </w:r>
                </w:p>
              </w:tc>
              <w:tc>
                <w:tcPr>
                  <w:tcW w:w="2384" w:type="dxa"/>
                  <w:vMerge w:val="restart"/>
                  <w:tcBorders>
                    <w:bottom w:val="nil"/>
                  </w:tcBorders>
                  <w:vAlign w:val="top"/>
                </w:tcPr>
                <w:p w14:paraId="696D5238">
                  <w:pPr>
                    <w:pStyle w:val="6"/>
                    <w:spacing w:before="129" w:line="254" w:lineRule="auto"/>
                    <w:ind w:left="650" w:right="201" w:hanging="440"/>
                    <w:rPr>
                      <w:sz w:val="22"/>
                      <w:szCs w:val="22"/>
                    </w:rPr>
                  </w:pPr>
                  <w:r>
                    <w:rPr>
                      <w:spacing w:val="-2"/>
                      <w:sz w:val="22"/>
                      <w:szCs w:val="22"/>
                    </w:rPr>
                    <w:t>卸油区旁通气立管处</w:t>
                  </w:r>
                  <w:r>
                    <w:rPr>
                      <w:spacing w:val="-3"/>
                      <w:sz w:val="22"/>
                      <w:szCs w:val="22"/>
                    </w:rPr>
                    <w:t>设置监控点</w:t>
                  </w:r>
                </w:p>
              </w:tc>
            </w:tr>
            <w:tr w14:paraId="578FF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1388" w:type="dxa"/>
                  <w:vMerge w:val="continue"/>
                  <w:tcBorders>
                    <w:top w:val="nil"/>
                  </w:tcBorders>
                  <w:vAlign w:val="top"/>
                </w:tcPr>
                <w:p w14:paraId="0FE8D055">
                  <w:pPr>
                    <w:rPr>
                      <w:rFonts w:ascii="Arial"/>
                      <w:sz w:val="21"/>
                    </w:rPr>
                  </w:pPr>
                </w:p>
              </w:tc>
              <w:tc>
                <w:tcPr>
                  <w:tcW w:w="1626" w:type="dxa"/>
                  <w:vAlign w:val="top"/>
                </w:tcPr>
                <w:p w14:paraId="252DB41B">
                  <w:pPr>
                    <w:spacing w:before="127" w:line="189" w:lineRule="auto"/>
                    <w:ind w:left="70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2650" w:type="dxa"/>
                  <w:vAlign w:val="top"/>
                </w:tcPr>
                <w:p w14:paraId="4B50EBE1">
                  <w:pPr>
                    <w:pStyle w:val="6"/>
                    <w:spacing w:before="89" w:line="220" w:lineRule="auto"/>
                    <w:ind w:left="121"/>
                    <w:rPr>
                      <w:sz w:val="22"/>
                      <w:szCs w:val="22"/>
                    </w:rPr>
                  </w:pPr>
                  <w:r>
                    <w:rPr>
                      <w:spacing w:val="-1"/>
                      <w:sz w:val="22"/>
                      <w:szCs w:val="22"/>
                    </w:rPr>
                    <w:t>监控点处任意一次浓度值</w:t>
                  </w:r>
                </w:p>
              </w:tc>
              <w:tc>
                <w:tcPr>
                  <w:tcW w:w="2384" w:type="dxa"/>
                  <w:vMerge w:val="continue"/>
                  <w:tcBorders>
                    <w:top w:val="nil"/>
                  </w:tcBorders>
                  <w:vAlign w:val="top"/>
                </w:tcPr>
                <w:p w14:paraId="71E91E43">
                  <w:pPr>
                    <w:rPr>
                      <w:rFonts w:ascii="Arial"/>
                      <w:sz w:val="21"/>
                    </w:rPr>
                  </w:pPr>
                </w:p>
              </w:tc>
            </w:tr>
          </w:tbl>
          <w:p w14:paraId="04EE8331">
            <w:pPr>
              <w:spacing w:line="258" w:lineRule="auto"/>
              <w:rPr>
                <w:rFonts w:ascii="Arial"/>
                <w:sz w:val="21"/>
              </w:rPr>
            </w:pPr>
          </w:p>
          <w:p w14:paraId="22560E8F">
            <w:pPr>
              <w:spacing w:line="259" w:lineRule="auto"/>
              <w:rPr>
                <w:rFonts w:ascii="Arial"/>
                <w:sz w:val="21"/>
              </w:rPr>
            </w:pPr>
          </w:p>
          <w:p w14:paraId="5AE8B38F">
            <w:pPr>
              <w:pStyle w:val="6"/>
              <w:spacing w:before="82" w:line="312" w:lineRule="auto"/>
              <w:ind w:left="111" w:right="108" w:firstLine="521"/>
              <w:jc w:val="both"/>
            </w:pPr>
            <w:r>
              <w:rPr>
                <w:spacing w:val="5"/>
              </w:rPr>
              <w:t>根据《加油站大气污染物排放标准》（</w:t>
            </w:r>
            <w:r>
              <w:rPr>
                <w:rFonts w:ascii="Times New Roman" w:hAnsi="Times New Roman" w:eastAsia="Times New Roman" w:cs="Times New Roman"/>
              </w:rPr>
              <w:t>GB</w:t>
            </w:r>
            <w:r>
              <w:rPr>
                <w:rFonts w:ascii="Times New Roman" w:hAnsi="Times New Roman" w:eastAsia="Times New Roman" w:cs="Times New Roman"/>
                <w:spacing w:val="5"/>
              </w:rPr>
              <w:t xml:space="preserve"> 20952-2020</w:t>
            </w:r>
            <w:r>
              <w:rPr>
                <w:spacing w:val="-3"/>
              </w:rPr>
              <w:t>），</w:t>
            </w:r>
            <w:r>
              <w:rPr>
                <w:spacing w:val="5"/>
              </w:rPr>
              <w:t>加油站油</w:t>
            </w:r>
            <w:r>
              <w:rPr>
                <w:spacing w:val="9"/>
              </w:rPr>
              <w:t>气回收装置的液阻、密闭性、气液比也有相应的标准要</w:t>
            </w:r>
            <w:r>
              <w:rPr>
                <w:spacing w:val="8"/>
              </w:rPr>
              <w:t>求，本项目</w:t>
            </w:r>
            <w:r>
              <w:rPr>
                <w:spacing w:val="-49"/>
              </w:rPr>
              <w:t xml:space="preserve"> </w:t>
            </w:r>
            <w:r>
              <w:rPr>
                <w:rFonts w:ascii="Times New Roman" w:hAnsi="Times New Roman" w:eastAsia="Times New Roman" w:cs="Times New Roman"/>
                <w:spacing w:val="8"/>
              </w:rPr>
              <w:t xml:space="preserve">3 </w:t>
            </w:r>
            <w:r>
              <w:rPr>
                <w:spacing w:val="8"/>
              </w:rPr>
              <w:t>个</w:t>
            </w:r>
            <w:r>
              <w:rPr>
                <w:spacing w:val="9"/>
              </w:rPr>
              <w:t>储油罐之间的油气管线相互独立，单个油罐与加油枪相联的加油枪数为</w:t>
            </w:r>
            <w:r>
              <w:rPr>
                <w:rFonts w:ascii="Times New Roman" w:hAnsi="Times New Roman" w:eastAsia="Times New Roman" w:cs="Times New Roman"/>
                <w:spacing w:val="10"/>
              </w:rPr>
              <w:t xml:space="preserve">6 </w:t>
            </w:r>
            <w:r>
              <w:rPr>
                <w:spacing w:val="10"/>
              </w:rPr>
              <w:t>个，同时加油油气回收管线液阻检测值应小</w:t>
            </w:r>
            <w:r>
              <w:rPr>
                <w:spacing w:val="9"/>
              </w:rPr>
              <w:t>于表</w:t>
            </w:r>
            <w:r>
              <w:rPr>
                <w:spacing w:val="-24"/>
              </w:rPr>
              <w:t xml:space="preserve"> </w:t>
            </w:r>
            <w:r>
              <w:rPr>
                <w:rFonts w:ascii="Times New Roman" w:hAnsi="Times New Roman" w:eastAsia="Times New Roman" w:cs="Times New Roman"/>
                <w:spacing w:val="9"/>
              </w:rPr>
              <w:t xml:space="preserve">1 </w:t>
            </w:r>
            <w:r>
              <w:rPr>
                <w:spacing w:val="9"/>
              </w:rPr>
              <w:t>规定的最大压力限</w:t>
            </w:r>
          </w:p>
        </w:tc>
      </w:tr>
    </w:tbl>
    <w:p w14:paraId="14DCF9FE">
      <w:pPr>
        <w:pStyle w:val="2"/>
        <w:rPr>
          <w:sz w:val="21"/>
        </w:rPr>
      </w:pPr>
    </w:p>
    <w:p w14:paraId="75E9B6AD">
      <w:pPr>
        <w:rPr>
          <w:sz w:val="21"/>
          <w:szCs w:val="21"/>
        </w:rPr>
        <w:sectPr>
          <w:footerReference r:id="rId67" w:type="default"/>
          <w:pgSz w:w="11907" w:h="16840"/>
          <w:pgMar w:top="400" w:right="1418" w:bottom="1008" w:left="1418" w:header="0" w:footer="770" w:gutter="0"/>
          <w:cols w:space="720" w:num="1"/>
        </w:sectPr>
      </w:pPr>
    </w:p>
    <w:p w14:paraId="0C469340">
      <w:pPr>
        <w:spacing w:before="19"/>
      </w:pPr>
    </w:p>
    <w:p w14:paraId="0FB5C8B7">
      <w:pPr>
        <w:spacing w:before="19"/>
      </w:pPr>
    </w:p>
    <w:p w14:paraId="1731ABB4">
      <w:pPr>
        <w:spacing w:before="19"/>
      </w:pPr>
    </w:p>
    <w:p w14:paraId="5FF1DDB6">
      <w:pPr>
        <w:spacing w:before="18"/>
      </w:pPr>
    </w:p>
    <w:p w14:paraId="41477E11">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5"/>
        <w:gridCol w:w="8270"/>
      </w:tblGrid>
      <w:tr w14:paraId="73E64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24" w:hRule="atLeast"/>
        </w:trPr>
        <w:tc>
          <w:tcPr>
            <w:tcW w:w="795" w:type="dxa"/>
            <w:vAlign w:val="top"/>
          </w:tcPr>
          <w:p w14:paraId="247F29A3">
            <w:pPr>
              <w:rPr>
                <w:rFonts w:ascii="Arial"/>
                <w:sz w:val="21"/>
              </w:rPr>
            </w:pPr>
          </w:p>
        </w:tc>
        <w:tc>
          <w:tcPr>
            <w:tcW w:w="8270" w:type="dxa"/>
            <w:vAlign w:val="top"/>
          </w:tcPr>
          <w:p w14:paraId="56E2CF2D">
            <w:pPr>
              <w:pStyle w:val="6"/>
              <w:spacing w:before="150" w:line="226" w:lineRule="auto"/>
              <w:ind w:left="112"/>
            </w:pPr>
            <w:r>
              <w:rPr>
                <w:spacing w:val="4"/>
              </w:rPr>
              <w:t>值，具体限值见表</w:t>
            </w:r>
            <w:r>
              <w:rPr>
                <w:spacing w:val="-32"/>
              </w:rPr>
              <w:t xml:space="preserve"> </w:t>
            </w:r>
            <w:r>
              <w:rPr>
                <w:rFonts w:ascii="Times New Roman" w:hAnsi="Times New Roman" w:eastAsia="Times New Roman" w:cs="Times New Roman"/>
                <w:spacing w:val="4"/>
              </w:rPr>
              <w:t>3.3-3~</w:t>
            </w:r>
            <w:r>
              <w:rPr>
                <w:spacing w:val="4"/>
              </w:rPr>
              <w:t>表</w:t>
            </w:r>
            <w:r>
              <w:rPr>
                <w:spacing w:val="-47"/>
              </w:rPr>
              <w:t xml:space="preserve"> </w:t>
            </w:r>
            <w:r>
              <w:rPr>
                <w:rFonts w:ascii="Times New Roman" w:hAnsi="Times New Roman" w:eastAsia="Times New Roman" w:cs="Times New Roman"/>
                <w:spacing w:val="4"/>
              </w:rPr>
              <w:t>3.3-4</w:t>
            </w:r>
            <w:r>
              <w:rPr>
                <w:spacing w:val="4"/>
              </w:rPr>
              <w:t>。</w:t>
            </w:r>
          </w:p>
          <w:p w14:paraId="31F80F48">
            <w:pPr>
              <w:pStyle w:val="6"/>
              <w:spacing w:before="152" w:line="226" w:lineRule="auto"/>
              <w:ind w:left="1366"/>
            </w:pPr>
            <w:r>
              <w:rPr>
                <w:spacing w:val="7"/>
              </w:rPr>
              <w:t>表</w:t>
            </w:r>
            <w:r>
              <w:rPr>
                <w:spacing w:val="-50"/>
              </w:rPr>
              <w:t xml:space="preserve"> </w:t>
            </w:r>
            <w:r>
              <w:rPr>
                <w:rFonts w:ascii="Times New Roman" w:hAnsi="Times New Roman" w:eastAsia="Times New Roman" w:cs="Times New Roman"/>
                <w:spacing w:val="7"/>
              </w:rPr>
              <w:t xml:space="preserve">3.3-3    </w:t>
            </w:r>
            <w:r>
              <w:rPr>
                <w:spacing w:val="7"/>
              </w:rPr>
              <w:t>加油站油气回收管线液阻最大压力</w:t>
            </w:r>
            <w:r>
              <w:rPr>
                <w:spacing w:val="6"/>
              </w:rPr>
              <w:t>限值</w:t>
            </w:r>
          </w:p>
          <w:p w14:paraId="62380571">
            <w:pPr>
              <w:spacing w:line="100" w:lineRule="auto"/>
              <w:rPr>
                <w:rFonts w:ascii="Arial"/>
                <w:sz w:val="2"/>
              </w:rPr>
            </w:pPr>
          </w:p>
          <w:tbl>
            <w:tblPr>
              <w:tblStyle w:val="5"/>
              <w:tblW w:w="8058"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29"/>
              <w:gridCol w:w="4029"/>
            </w:tblGrid>
            <w:tr w14:paraId="3D4F0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4029" w:type="dxa"/>
                  <w:vAlign w:val="top"/>
                </w:tcPr>
                <w:p w14:paraId="29936424">
                  <w:pPr>
                    <w:pStyle w:val="6"/>
                    <w:spacing w:before="91" w:line="219" w:lineRule="auto"/>
                    <w:ind w:left="842"/>
                    <w:rPr>
                      <w:sz w:val="22"/>
                      <w:szCs w:val="22"/>
                    </w:rPr>
                  </w:pPr>
                  <w:r>
                    <w:rPr>
                      <w:spacing w:val="-1"/>
                      <w:sz w:val="22"/>
                      <w:szCs w:val="22"/>
                    </w:rPr>
                    <w:t>通入氮气流量</w:t>
                  </w:r>
                  <w:r>
                    <w:rPr>
                      <w:rFonts w:ascii="Times New Roman" w:hAnsi="Times New Roman" w:eastAsia="Times New Roman" w:cs="Times New Roman"/>
                      <w:spacing w:val="-1"/>
                      <w:sz w:val="22"/>
                      <w:szCs w:val="22"/>
                    </w:rPr>
                    <w:t>/</w:t>
                  </w:r>
                  <w:r>
                    <w:rPr>
                      <w:spacing w:val="-1"/>
                      <w:sz w:val="22"/>
                      <w:szCs w:val="22"/>
                    </w:rPr>
                    <w:t>（</w:t>
                  </w:r>
                  <w:r>
                    <w:rPr>
                      <w:rFonts w:ascii="Times New Roman" w:hAnsi="Times New Roman" w:eastAsia="Times New Roman" w:cs="Times New Roman"/>
                      <w:spacing w:val="-1"/>
                      <w:sz w:val="22"/>
                      <w:szCs w:val="22"/>
                    </w:rPr>
                    <w:t>L/min</w:t>
                  </w:r>
                  <w:r>
                    <w:rPr>
                      <w:spacing w:val="-1"/>
                      <w:sz w:val="22"/>
                      <w:szCs w:val="22"/>
                    </w:rPr>
                    <w:t>）</w:t>
                  </w:r>
                </w:p>
              </w:tc>
              <w:tc>
                <w:tcPr>
                  <w:tcW w:w="4029" w:type="dxa"/>
                  <w:vAlign w:val="top"/>
                </w:tcPr>
                <w:p w14:paraId="408FB936">
                  <w:pPr>
                    <w:pStyle w:val="6"/>
                    <w:spacing w:before="91" w:line="220" w:lineRule="auto"/>
                    <w:ind w:left="1443"/>
                    <w:rPr>
                      <w:rFonts w:ascii="Times New Roman" w:hAnsi="Times New Roman" w:eastAsia="Times New Roman" w:cs="Times New Roman"/>
                      <w:sz w:val="22"/>
                      <w:szCs w:val="22"/>
                    </w:rPr>
                  </w:pPr>
                  <w:r>
                    <w:rPr>
                      <w:spacing w:val="-2"/>
                      <w:sz w:val="22"/>
                      <w:szCs w:val="22"/>
                    </w:rPr>
                    <w:t>最大压力</w:t>
                  </w:r>
                  <w:r>
                    <w:rPr>
                      <w:rFonts w:ascii="Times New Roman" w:hAnsi="Times New Roman" w:eastAsia="Times New Roman" w:cs="Times New Roman"/>
                      <w:spacing w:val="-2"/>
                      <w:sz w:val="22"/>
                      <w:szCs w:val="22"/>
                    </w:rPr>
                    <w:t>/Pa</w:t>
                  </w:r>
                </w:p>
              </w:tc>
            </w:tr>
            <w:tr w14:paraId="3DB68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4029" w:type="dxa"/>
                  <w:vAlign w:val="top"/>
                </w:tcPr>
                <w:p w14:paraId="2C7D0AD4">
                  <w:pPr>
                    <w:spacing w:before="124" w:line="189" w:lineRule="auto"/>
                    <w:ind w:left="1927"/>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18</w:t>
                  </w:r>
                </w:p>
              </w:tc>
              <w:tc>
                <w:tcPr>
                  <w:tcW w:w="4029" w:type="dxa"/>
                  <w:vAlign w:val="top"/>
                </w:tcPr>
                <w:p w14:paraId="3F02AF45">
                  <w:pPr>
                    <w:spacing w:before="124" w:line="189" w:lineRule="auto"/>
                    <w:ind w:left="190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w:t>
                  </w:r>
                </w:p>
              </w:tc>
            </w:tr>
            <w:tr w14:paraId="316B3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4029" w:type="dxa"/>
                  <w:vAlign w:val="top"/>
                </w:tcPr>
                <w:p w14:paraId="3C8B7F0F">
                  <w:pPr>
                    <w:spacing w:before="125" w:line="189" w:lineRule="auto"/>
                    <w:ind w:left="19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28</w:t>
                  </w:r>
                </w:p>
              </w:tc>
              <w:tc>
                <w:tcPr>
                  <w:tcW w:w="4029" w:type="dxa"/>
                  <w:vAlign w:val="top"/>
                </w:tcPr>
                <w:p w14:paraId="2281C69B">
                  <w:pPr>
                    <w:spacing w:before="125" w:line="189" w:lineRule="auto"/>
                    <w:ind w:left="190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90</w:t>
                  </w:r>
                </w:p>
              </w:tc>
            </w:tr>
            <w:tr w14:paraId="7EA77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4029" w:type="dxa"/>
                  <w:vAlign w:val="top"/>
                </w:tcPr>
                <w:p w14:paraId="7B2ACCEC">
                  <w:pPr>
                    <w:spacing w:before="126" w:line="189" w:lineRule="auto"/>
                    <w:ind w:left="191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38</w:t>
                  </w:r>
                </w:p>
              </w:tc>
              <w:tc>
                <w:tcPr>
                  <w:tcW w:w="4029" w:type="dxa"/>
                  <w:vAlign w:val="top"/>
                </w:tcPr>
                <w:p w14:paraId="563F3EEF">
                  <w:pPr>
                    <w:spacing w:before="126" w:line="189" w:lineRule="auto"/>
                    <w:ind w:left="1870"/>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155</w:t>
                  </w:r>
                </w:p>
              </w:tc>
            </w:tr>
          </w:tbl>
          <w:p w14:paraId="5BD784F9">
            <w:pPr>
              <w:spacing w:line="261" w:lineRule="auto"/>
              <w:rPr>
                <w:rFonts w:ascii="Arial"/>
                <w:sz w:val="21"/>
              </w:rPr>
            </w:pPr>
          </w:p>
          <w:p w14:paraId="164406CB">
            <w:pPr>
              <w:spacing w:line="261" w:lineRule="auto"/>
              <w:rPr>
                <w:rFonts w:ascii="Arial"/>
                <w:sz w:val="21"/>
              </w:rPr>
            </w:pPr>
          </w:p>
          <w:p w14:paraId="57FC551F">
            <w:pPr>
              <w:pStyle w:val="6"/>
              <w:spacing w:before="81" w:line="226" w:lineRule="auto"/>
              <w:ind w:left="111"/>
              <w:rPr>
                <w:rFonts w:ascii="Times New Roman" w:hAnsi="Times New Roman" w:eastAsia="Times New Roman" w:cs="Times New Roman"/>
              </w:rPr>
            </w:pPr>
            <w:r>
              <w:rPr>
                <w:spacing w:val="5"/>
              </w:rPr>
              <w:t>表</w:t>
            </w:r>
            <w:r>
              <w:rPr>
                <w:spacing w:val="-37"/>
              </w:rPr>
              <w:t xml:space="preserve"> </w:t>
            </w:r>
            <w:r>
              <w:rPr>
                <w:rFonts w:ascii="Times New Roman" w:hAnsi="Times New Roman" w:eastAsia="Times New Roman" w:cs="Times New Roman"/>
                <w:spacing w:val="5"/>
              </w:rPr>
              <w:t xml:space="preserve">3.3-4    </w:t>
            </w:r>
            <w:r>
              <w:rPr>
                <w:spacing w:val="5"/>
              </w:rPr>
              <w:t>加油站油气回收系统密闭性检测最小剩余压力限值  单位：</w:t>
            </w:r>
            <w:r>
              <w:rPr>
                <w:rFonts w:ascii="Times New Roman" w:hAnsi="Times New Roman" w:eastAsia="Times New Roman" w:cs="Times New Roman"/>
              </w:rPr>
              <w:t>Pa</w:t>
            </w:r>
          </w:p>
          <w:p w14:paraId="081A5AA9">
            <w:pPr>
              <w:spacing w:line="80" w:lineRule="auto"/>
              <w:rPr>
                <w:rFonts w:ascii="Arial"/>
                <w:sz w:val="2"/>
              </w:rPr>
            </w:pPr>
          </w:p>
          <w:tbl>
            <w:tblPr>
              <w:tblStyle w:val="5"/>
              <w:tblW w:w="8048"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67"/>
              <w:gridCol w:w="2788"/>
              <w:gridCol w:w="2793"/>
            </w:tblGrid>
            <w:tr w14:paraId="3F2E0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2467" w:type="dxa"/>
                  <w:vMerge w:val="restart"/>
                  <w:tcBorders>
                    <w:bottom w:val="nil"/>
                  </w:tcBorders>
                  <w:vAlign w:val="top"/>
                </w:tcPr>
                <w:p w14:paraId="7188A0A7">
                  <w:pPr>
                    <w:pStyle w:val="6"/>
                    <w:spacing w:before="210" w:line="220" w:lineRule="auto"/>
                    <w:ind w:left="481"/>
                    <w:rPr>
                      <w:rFonts w:ascii="Times New Roman" w:hAnsi="Times New Roman" w:eastAsia="Times New Roman" w:cs="Times New Roman"/>
                      <w:sz w:val="22"/>
                      <w:szCs w:val="22"/>
                    </w:rPr>
                  </w:pPr>
                  <w:r>
                    <w:rPr>
                      <w:spacing w:val="-1"/>
                      <w:sz w:val="22"/>
                      <w:szCs w:val="22"/>
                    </w:rPr>
                    <w:t>储罐油气空间</w:t>
                  </w:r>
                  <w:r>
                    <w:rPr>
                      <w:rFonts w:ascii="Times New Roman" w:hAnsi="Times New Roman" w:eastAsia="Times New Roman" w:cs="Times New Roman"/>
                      <w:spacing w:val="-1"/>
                      <w:sz w:val="22"/>
                      <w:szCs w:val="22"/>
                    </w:rPr>
                    <w:t>/L</w:t>
                  </w:r>
                </w:p>
              </w:tc>
              <w:tc>
                <w:tcPr>
                  <w:tcW w:w="5581" w:type="dxa"/>
                  <w:gridSpan w:val="2"/>
                  <w:vAlign w:val="top"/>
                </w:tcPr>
                <w:p w14:paraId="49957952">
                  <w:pPr>
                    <w:pStyle w:val="6"/>
                    <w:spacing w:before="57" w:line="203" w:lineRule="auto"/>
                    <w:ind w:left="1818"/>
                    <w:rPr>
                      <w:rFonts w:ascii="Times New Roman" w:hAnsi="Times New Roman" w:eastAsia="Times New Roman" w:cs="Times New Roman"/>
                      <w:sz w:val="22"/>
                      <w:szCs w:val="22"/>
                    </w:rPr>
                  </w:pPr>
                  <w:r>
                    <w:rPr>
                      <w:spacing w:val="-2"/>
                      <w:sz w:val="22"/>
                      <w:szCs w:val="22"/>
                    </w:rPr>
                    <w:t>受影响的加油枪数</w:t>
                  </w:r>
                  <w:r>
                    <w:rPr>
                      <w:rFonts w:ascii="Times New Roman" w:hAnsi="Times New Roman" w:eastAsia="Times New Roman" w:cs="Times New Roman"/>
                      <w:spacing w:val="-2"/>
                      <w:sz w:val="22"/>
                      <w:szCs w:val="22"/>
                    </w:rPr>
                    <w:t>@</w:t>
                  </w:r>
                </w:p>
              </w:tc>
            </w:tr>
            <w:tr w14:paraId="3C4C7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467" w:type="dxa"/>
                  <w:vMerge w:val="continue"/>
                  <w:tcBorders>
                    <w:top w:val="nil"/>
                  </w:tcBorders>
                  <w:vAlign w:val="top"/>
                </w:tcPr>
                <w:p w14:paraId="2C1EA712">
                  <w:pPr>
                    <w:rPr>
                      <w:rFonts w:ascii="Arial"/>
                      <w:sz w:val="21"/>
                    </w:rPr>
                  </w:pPr>
                </w:p>
              </w:tc>
              <w:tc>
                <w:tcPr>
                  <w:tcW w:w="2788" w:type="dxa"/>
                  <w:vAlign w:val="top"/>
                </w:tcPr>
                <w:p w14:paraId="3281E45D">
                  <w:pPr>
                    <w:spacing w:before="88" w:line="189" w:lineRule="auto"/>
                    <w:ind w:left="1248"/>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1~6</w:t>
                  </w:r>
                </w:p>
              </w:tc>
              <w:tc>
                <w:tcPr>
                  <w:tcW w:w="2793" w:type="dxa"/>
                  <w:vAlign w:val="top"/>
                </w:tcPr>
                <w:p w14:paraId="4D1EAE0D">
                  <w:pPr>
                    <w:spacing w:before="88" w:line="189" w:lineRule="auto"/>
                    <w:ind w:left="1176"/>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26"/>
                      <w:sz w:val="22"/>
                      <w:szCs w:val="22"/>
                    </w:rPr>
                    <w:t xml:space="preserve"> </w:t>
                  </w:r>
                  <w:r>
                    <w:rPr>
                      <w:rFonts w:ascii="Times New Roman" w:hAnsi="Times New Roman" w:eastAsia="Times New Roman" w:cs="Times New Roman"/>
                      <w:spacing w:val="-9"/>
                      <w:sz w:val="22"/>
                      <w:szCs w:val="22"/>
                    </w:rPr>
                    <w:t>12</w:t>
                  </w:r>
                </w:p>
              </w:tc>
            </w:tr>
            <w:tr w14:paraId="2DCD1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467" w:type="dxa"/>
                  <w:vAlign w:val="top"/>
                </w:tcPr>
                <w:p w14:paraId="79EFBBD3">
                  <w:pPr>
                    <w:spacing w:before="89" w:line="189" w:lineRule="auto"/>
                    <w:ind w:left="1037"/>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1893</w:t>
                  </w:r>
                </w:p>
              </w:tc>
              <w:tc>
                <w:tcPr>
                  <w:tcW w:w="2788" w:type="dxa"/>
                  <w:vAlign w:val="top"/>
                </w:tcPr>
                <w:p w14:paraId="270CB552">
                  <w:pPr>
                    <w:spacing w:before="89" w:line="189" w:lineRule="auto"/>
                    <w:ind w:left="1253"/>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182</w:t>
                  </w:r>
                </w:p>
              </w:tc>
              <w:tc>
                <w:tcPr>
                  <w:tcW w:w="2793" w:type="dxa"/>
                  <w:vAlign w:val="top"/>
                </w:tcPr>
                <w:p w14:paraId="1032BF3D">
                  <w:pPr>
                    <w:spacing w:before="89" w:line="189" w:lineRule="auto"/>
                    <w:ind w:left="1254"/>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172</w:t>
                  </w:r>
                </w:p>
              </w:tc>
            </w:tr>
            <w:tr w14:paraId="1DC43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467" w:type="dxa"/>
                  <w:vAlign w:val="top"/>
                </w:tcPr>
                <w:p w14:paraId="2D06A1BC">
                  <w:pPr>
                    <w:spacing w:before="92" w:line="189" w:lineRule="auto"/>
                    <w:ind w:left="101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2082</w:t>
                  </w:r>
                </w:p>
              </w:tc>
              <w:tc>
                <w:tcPr>
                  <w:tcW w:w="2788" w:type="dxa"/>
                  <w:vAlign w:val="top"/>
                </w:tcPr>
                <w:p w14:paraId="7AEE69AD">
                  <w:pPr>
                    <w:spacing w:before="92" w:line="189" w:lineRule="auto"/>
                    <w:ind w:left="1253"/>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199</w:t>
                  </w:r>
                </w:p>
              </w:tc>
              <w:tc>
                <w:tcPr>
                  <w:tcW w:w="2793" w:type="dxa"/>
                  <w:vAlign w:val="top"/>
                </w:tcPr>
                <w:p w14:paraId="7FC78AB7">
                  <w:pPr>
                    <w:spacing w:before="92" w:line="189" w:lineRule="auto"/>
                    <w:ind w:left="1254"/>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189</w:t>
                  </w:r>
                </w:p>
              </w:tc>
            </w:tr>
            <w:tr w14:paraId="542B2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467" w:type="dxa"/>
                  <w:vAlign w:val="top"/>
                </w:tcPr>
                <w:p w14:paraId="249AEA7E">
                  <w:pPr>
                    <w:spacing w:before="92" w:line="189" w:lineRule="auto"/>
                    <w:ind w:left="101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2271</w:t>
                  </w:r>
                </w:p>
              </w:tc>
              <w:tc>
                <w:tcPr>
                  <w:tcW w:w="2788" w:type="dxa"/>
                  <w:vAlign w:val="top"/>
                </w:tcPr>
                <w:p w14:paraId="1BD679E8">
                  <w:pPr>
                    <w:spacing w:before="92" w:line="189" w:lineRule="auto"/>
                    <w:ind w:left="12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217</w:t>
                  </w:r>
                </w:p>
              </w:tc>
              <w:tc>
                <w:tcPr>
                  <w:tcW w:w="2793" w:type="dxa"/>
                  <w:vAlign w:val="top"/>
                </w:tcPr>
                <w:p w14:paraId="5E95A776">
                  <w:pPr>
                    <w:spacing w:before="92" w:line="189" w:lineRule="auto"/>
                    <w:ind w:left="12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204</w:t>
                  </w:r>
                </w:p>
              </w:tc>
            </w:tr>
            <w:tr w14:paraId="0DB30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467" w:type="dxa"/>
                  <w:vAlign w:val="top"/>
                </w:tcPr>
                <w:p w14:paraId="5208042D">
                  <w:pPr>
                    <w:spacing w:before="92" w:line="189" w:lineRule="auto"/>
                    <w:ind w:left="101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2460</w:t>
                  </w:r>
                </w:p>
              </w:tc>
              <w:tc>
                <w:tcPr>
                  <w:tcW w:w="2788" w:type="dxa"/>
                  <w:vAlign w:val="top"/>
                </w:tcPr>
                <w:p w14:paraId="2E66A6D8">
                  <w:pPr>
                    <w:spacing w:before="92" w:line="189" w:lineRule="auto"/>
                    <w:ind w:left="12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232</w:t>
                  </w:r>
                </w:p>
              </w:tc>
              <w:tc>
                <w:tcPr>
                  <w:tcW w:w="2793" w:type="dxa"/>
                  <w:vAlign w:val="top"/>
                </w:tcPr>
                <w:p w14:paraId="4790D903">
                  <w:pPr>
                    <w:spacing w:before="92" w:line="189" w:lineRule="auto"/>
                    <w:ind w:left="12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219</w:t>
                  </w:r>
                </w:p>
              </w:tc>
            </w:tr>
            <w:tr w14:paraId="14B13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467" w:type="dxa"/>
                  <w:vAlign w:val="top"/>
                </w:tcPr>
                <w:p w14:paraId="43485215">
                  <w:pPr>
                    <w:spacing w:before="92" w:line="189" w:lineRule="auto"/>
                    <w:ind w:left="101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2650</w:t>
                  </w:r>
                </w:p>
              </w:tc>
              <w:tc>
                <w:tcPr>
                  <w:tcW w:w="2788" w:type="dxa"/>
                  <w:vAlign w:val="top"/>
                </w:tcPr>
                <w:p w14:paraId="5CEFB332">
                  <w:pPr>
                    <w:spacing w:before="92" w:line="189" w:lineRule="auto"/>
                    <w:ind w:left="12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244</w:t>
                  </w:r>
                </w:p>
              </w:tc>
              <w:tc>
                <w:tcPr>
                  <w:tcW w:w="2793" w:type="dxa"/>
                  <w:vAlign w:val="top"/>
                </w:tcPr>
                <w:p w14:paraId="55F88FAD">
                  <w:pPr>
                    <w:spacing w:before="92" w:line="189" w:lineRule="auto"/>
                    <w:ind w:left="12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234</w:t>
                  </w:r>
                </w:p>
              </w:tc>
            </w:tr>
            <w:tr w14:paraId="53255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467" w:type="dxa"/>
                  <w:vAlign w:val="top"/>
                </w:tcPr>
                <w:p w14:paraId="0A81CFC5">
                  <w:pPr>
                    <w:spacing w:before="92" w:line="189" w:lineRule="auto"/>
                    <w:ind w:left="101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2839</w:t>
                  </w:r>
                </w:p>
              </w:tc>
              <w:tc>
                <w:tcPr>
                  <w:tcW w:w="2788" w:type="dxa"/>
                  <w:vAlign w:val="top"/>
                </w:tcPr>
                <w:p w14:paraId="65060D52">
                  <w:pPr>
                    <w:spacing w:before="92" w:line="189" w:lineRule="auto"/>
                    <w:ind w:left="12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257</w:t>
                  </w:r>
                </w:p>
              </w:tc>
              <w:tc>
                <w:tcPr>
                  <w:tcW w:w="2793" w:type="dxa"/>
                  <w:vAlign w:val="top"/>
                </w:tcPr>
                <w:p w14:paraId="437BEC1C">
                  <w:pPr>
                    <w:spacing w:before="92" w:line="189" w:lineRule="auto"/>
                    <w:ind w:left="12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244</w:t>
                  </w:r>
                </w:p>
              </w:tc>
            </w:tr>
            <w:tr w14:paraId="0F94C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467" w:type="dxa"/>
                  <w:vAlign w:val="top"/>
                </w:tcPr>
                <w:p w14:paraId="4A467CBD">
                  <w:pPr>
                    <w:spacing w:before="92" w:line="189" w:lineRule="auto"/>
                    <w:ind w:left="102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3028</w:t>
                  </w:r>
                </w:p>
              </w:tc>
              <w:tc>
                <w:tcPr>
                  <w:tcW w:w="2788" w:type="dxa"/>
                  <w:vAlign w:val="top"/>
                </w:tcPr>
                <w:p w14:paraId="3C10B2A4">
                  <w:pPr>
                    <w:spacing w:before="92" w:line="189" w:lineRule="auto"/>
                    <w:ind w:left="12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267</w:t>
                  </w:r>
                </w:p>
              </w:tc>
              <w:tc>
                <w:tcPr>
                  <w:tcW w:w="2793" w:type="dxa"/>
                  <w:vAlign w:val="top"/>
                </w:tcPr>
                <w:p w14:paraId="2FEA4E91">
                  <w:pPr>
                    <w:spacing w:before="92" w:line="189" w:lineRule="auto"/>
                    <w:ind w:left="12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257</w:t>
                  </w:r>
                </w:p>
              </w:tc>
            </w:tr>
            <w:tr w14:paraId="29473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467" w:type="dxa"/>
                  <w:vAlign w:val="top"/>
                </w:tcPr>
                <w:p w14:paraId="695B3B50">
                  <w:pPr>
                    <w:spacing w:before="94" w:line="189" w:lineRule="auto"/>
                    <w:ind w:left="102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3217</w:t>
                  </w:r>
                </w:p>
              </w:tc>
              <w:tc>
                <w:tcPr>
                  <w:tcW w:w="2788" w:type="dxa"/>
                  <w:vAlign w:val="top"/>
                </w:tcPr>
                <w:p w14:paraId="7C267D10">
                  <w:pPr>
                    <w:spacing w:before="94" w:line="189" w:lineRule="auto"/>
                    <w:ind w:left="12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277</w:t>
                  </w:r>
                </w:p>
              </w:tc>
              <w:tc>
                <w:tcPr>
                  <w:tcW w:w="2793" w:type="dxa"/>
                  <w:vAlign w:val="top"/>
                </w:tcPr>
                <w:p w14:paraId="3CBA512C">
                  <w:pPr>
                    <w:spacing w:before="94" w:line="189" w:lineRule="auto"/>
                    <w:ind w:left="12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267</w:t>
                  </w:r>
                </w:p>
              </w:tc>
            </w:tr>
            <w:tr w14:paraId="6D902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467" w:type="dxa"/>
                  <w:vAlign w:val="top"/>
                </w:tcPr>
                <w:p w14:paraId="443B679C">
                  <w:pPr>
                    <w:spacing w:before="93" w:line="189" w:lineRule="auto"/>
                    <w:ind w:left="102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3407</w:t>
                  </w:r>
                </w:p>
              </w:tc>
              <w:tc>
                <w:tcPr>
                  <w:tcW w:w="2788" w:type="dxa"/>
                  <w:vAlign w:val="top"/>
                </w:tcPr>
                <w:p w14:paraId="40B884C5">
                  <w:pPr>
                    <w:spacing w:before="93" w:line="189" w:lineRule="auto"/>
                    <w:ind w:left="12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286</w:t>
                  </w:r>
                </w:p>
              </w:tc>
              <w:tc>
                <w:tcPr>
                  <w:tcW w:w="2793" w:type="dxa"/>
                  <w:vAlign w:val="top"/>
                </w:tcPr>
                <w:p w14:paraId="20274422">
                  <w:pPr>
                    <w:spacing w:before="93" w:line="189" w:lineRule="auto"/>
                    <w:ind w:left="12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277</w:t>
                  </w:r>
                </w:p>
              </w:tc>
            </w:tr>
            <w:tr w14:paraId="7C30C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467" w:type="dxa"/>
                  <w:vAlign w:val="top"/>
                </w:tcPr>
                <w:p w14:paraId="2CCFFF88">
                  <w:pPr>
                    <w:spacing w:before="93" w:line="189" w:lineRule="auto"/>
                    <w:ind w:left="102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3596</w:t>
                  </w:r>
                </w:p>
              </w:tc>
              <w:tc>
                <w:tcPr>
                  <w:tcW w:w="2788" w:type="dxa"/>
                  <w:vAlign w:val="top"/>
                </w:tcPr>
                <w:p w14:paraId="11CB5985">
                  <w:pPr>
                    <w:spacing w:before="93" w:line="189" w:lineRule="auto"/>
                    <w:ind w:left="12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294</w:t>
                  </w:r>
                </w:p>
              </w:tc>
              <w:tc>
                <w:tcPr>
                  <w:tcW w:w="2793" w:type="dxa"/>
                  <w:vAlign w:val="top"/>
                </w:tcPr>
                <w:p w14:paraId="4929DCED">
                  <w:pPr>
                    <w:spacing w:before="93" w:line="189" w:lineRule="auto"/>
                    <w:ind w:left="12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284</w:t>
                  </w:r>
                </w:p>
              </w:tc>
            </w:tr>
            <w:tr w14:paraId="0CC2D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467" w:type="dxa"/>
                  <w:vAlign w:val="top"/>
                </w:tcPr>
                <w:p w14:paraId="08DE432E">
                  <w:pPr>
                    <w:spacing w:before="92" w:line="189" w:lineRule="auto"/>
                    <w:ind w:left="102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3785</w:t>
                  </w:r>
                </w:p>
              </w:tc>
              <w:tc>
                <w:tcPr>
                  <w:tcW w:w="2788" w:type="dxa"/>
                  <w:vAlign w:val="top"/>
                </w:tcPr>
                <w:p w14:paraId="3216105D">
                  <w:pPr>
                    <w:spacing w:before="92" w:line="189" w:lineRule="auto"/>
                    <w:ind w:left="123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301</w:t>
                  </w:r>
                </w:p>
              </w:tc>
              <w:tc>
                <w:tcPr>
                  <w:tcW w:w="2793" w:type="dxa"/>
                  <w:vAlign w:val="top"/>
                </w:tcPr>
                <w:p w14:paraId="094BB02A">
                  <w:pPr>
                    <w:spacing w:before="92" w:line="189" w:lineRule="auto"/>
                    <w:ind w:left="12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294</w:t>
                  </w:r>
                </w:p>
              </w:tc>
            </w:tr>
            <w:tr w14:paraId="02324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467" w:type="dxa"/>
                  <w:vAlign w:val="top"/>
                </w:tcPr>
                <w:p w14:paraId="2282B1CF">
                  <w:pPr>
                    <w:spacing w:before="92" w:line="189" w:lineRule="auto"/>
                    <w:ind w:left="101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4542</w:t>
                  </w:r>
                </w:p>
              </w:tc>
              <w:tc>
                <w:tcPr>
                  <w:tcW w:w="2788" w:type="dxa"/>
                  <w:vAlign w:val="top"/>
                </w:tcPr>
                <w:p w14:paraId="48864FF4">
                  <w:pPr>
                    <w:spacing w:before="92" w:line="189" w:lineRule="auto"/>
                    <w:ind w:left="123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329</w:t>
                  </w:r>
                </w:p>
              </w:tc>
              <w:tc>
                <w:tcPr>
                  <w:tcW w:w="2793" w:type="dxa"/>
                  <w:vAlign w:val="top"/>
                </w:tcPr>
                <w:p w14:paraId="1ECD2F9B">
                  <w:pPr>
                    <w:spacing w:before="92" w:line="189" w:lineRule="auto"/>
                    <w:ind w:left="123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319</w:t>
                  </w:r>
                </w:p>
              </w:tc>
            </w:tr>
            <w:tr w14:paraId="6E7ED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467" w:type="dxa"/>
                  <w:vAlign w:val="top"/>
                </w:tcPr>
                <w:p w14:paraId="3A2340B9">
                  <w:pPr>
                    <w:spacing w:before="92" w:line="189" w:lineRule="auto"/>
                    <w:ind w:left="102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5299</w:t>
                  </w:r>
                </w:p>
              </w:tc>
              <w:tc>
                <w:tcPr>
                  <w:tcW w:w="2788" w:type="dxa"/>
                  <w:vAlign w:val="top"/>
                </w:tcPr>
                <w:p w14:paraId="4BEAE493">
                  <w:pPr>
                    <w:spacing w:before="92" w:line="189" w:lineRule="auto"/>
                    <w:ind w:left="123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349</w:t>
                  </w:r>
                </w:p>
              </w:tc>
              <w:tc>
                <w:tcPr>
                  <w:tcW w:w="2793" w:type="dxa"/>
                  <w:vAlign w:val="top"/>
                </w:tcPr>
                <w:p w14:paraId="36E64358">
                  <w:pPr>
                    <w:spacing w:before="92" w:line="189" w:lineRule="auto"/>
                    <w:ind w:left="123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341</w:t>
                  </w:r>
                </w:p>
              </w:tc>
            </w:tr>
            <w:tr w14:paraId="78C60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467" w:type="dxa"/>
                  <w:vAlign w:val="top"/>
                </w:tcPr>
                <w:p w14:paraId="1B37342E">
                  <w:pPr>
                    <w:spacing w:before="94" w:line="189" w:lineRule="auto"/>
                    <w:ind w:left="102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6056</w:t>
                  </w:r>
                </w:p>
              </w:tc>
              <w:tc>
                <w:tcPr>
                  <w:tcW w:w="2788" w:type="dxa"/>
                  <w:vAlign w:val="top"/>
                </w:tcPr>
                <w:p w14:paraId="2A4D5512">
                  <w:pPr>
                    <w:spacing w:before="94" w:line="189" w:lineRule="auto"/>
                    <w:ind w:left="123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364</w:t>
                  </w:r>
                </w:p>
              </w:tc>
              <w:tc>
                <w:tcPr>
                  <w:tcW w:w="2793" w:type="dxa"/>
                  <w:vAlign w:val="top"/>
                </w:tcPr>
                <w:p w14:paraId="73244D19">
                  <w:pPr>
                    <w:spacing w:before="94" w:line="189" w:lineRule="auto"/>
                    <w:ind w:left="123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356</w:t>
                  </w:r>
                </w:p>
              </w:tc>
            </w:tr>
            <w:tr w14:paraId="45B03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467" w:type="dxa"/>
                  <w:vAlign w:val="top"/>
                </w:tcPr>
                <w:p w14:paraId="27024912">
                  <w:pPr>
                    <w:spacing w:before="93" w:line="189" w:lineRule="auto"/>
                    <w:ind w:left="102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6813</w:t>
                  </w:r>
                </w:p>
              </w:tc>
              <w:tc>
                <w:tcPr>
                  <w:tcW w:w="2788" w:type="dxa"/>
                  <w:vAlign w:val="top"/>
                </w:tcPr>
                <w:p w14:paraId="6F702A72">
                  <w:pPr>
                    <w:spacing w:before="93" w:line="189" w:lineRule="auto"/>
                    <w:ind w:left="123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376</w:t>
                  </w:r>
                </w:p>
              </w:tc>
              <w:tc>
                <w:tcPr>
                  <w:tcW w:w="2793" w:type="dxa"/>
                  <w:vAlign w:val="top"/>
                </w:tcPr>
                <w:p w14:paraId="286F4616">
                  <w:pPr>
                    <w:spacing w:before="93" w:line="189" w:lineRule="auto"/>
                    <w:ind w:left="123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371</w:t>
                  </w:r>
                </w:p>
              </w:tc>
            </w:tr>
            <w:tr w14:paraId="5C853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467" w:type="dxa"/>
                  <w:vAlign w:val="top"/>
                </w:tcPr>
                <w:p w14:paraId="764B8675">
                  <w:pPr>
                    <w:spacing w:before="93" w:line="189" w:lineRule="auto"/>
                    <w:ind w:left="10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7570</w:t>
                  </w:r>
                </w:p>
              </w:tc>
              <w:tc>
                <w:tcPr>
                  <w:tcW w:w="2788" w:type="dxa"/>
                  <w:vAlign w:val="top"/>
                </w:tcPr>
                <w:p w14:paraId="1E18F1C2">
                  <w:pPr>
                    <w:spacing w:before="93" w:line="189" w:lineRule="auto"/>
                    <w:ind w:left="123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389</w:t>
                  </w:r>
                </w:p>
              </w:tc>
              <w:tc>
                <w:tcPr>
                  <w:tcW w:w="2793" w:type="dxa"/>
                  <w:vAlign w:val="top"/>
                </w:tcPr>
                <w:p w14:paraId="555B931D">
                  <w:pPr>
                    <w:spacing w:before="93" w:line="189" w:lineRule="auto"/>
                    <w:ind w:left="123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381</w:t>
                  </w:r>
                </w:p>
              </w:tc>
            </w:tr>
            <w:tr w14:paraId="43F4B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467" w:type="dxa"/>
                  <w:vAlign w:val="top"/>
                </w:tcPr>
                <w:p w14:paraId="792C3840">
                  <w:pPr>
                    <w:spacing w:before="92" w:line="189" w:lineRule="auto"/>
                    <w:ind w:left="102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8327</w:t>
                  </w:r>
                </w:p>
              </w:tc>
              <w:tc>
                <w:tcPr>
                  <w:tcW w:w="2788" w:type="dxa"/>
                  <w:vAlign w:val="top"/>
                </w:tcPr>
                <w:p w14:paraId="6D593251">
                  <w:pPr>
                    <w:spacing w:before="92" w:line="189" w:lineRule="auto"/>
                    <w:ind w:left="123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396</w:t>
                  </w:r>
                </w:p>
              </w:tc>
              <w:tc>
                <w:tcPr>
                  <w:tcW w:w="2793" w:type="dxa"/>
                  <w:vAlign w:val="top"/>
                </w:tcPr>
                <w:p w14:paraId="2C4384D1">
                  <w:pPr>
                    <w:spacing w:before="92" w:line="189" w:lineRule="auto"/>
                    <w:ind w:left="123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391</w:t>
                  </w:r>
                </w:p>
              </w:tc>
            </w:tr>
            <w:tr w14:paraId="1A547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467" w:type="dxa"/>
                  <w:vAlign w:val="top"/>
                </w:tcPr>
                <w:p w14:paraId="527B876D">
                  <w:pPr>
                    <w:spacing w:before="92" w:line="189" w:lineRule="auto"/>
                    <w:ind w:left="102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9084</w:t>
                  </w:r>
                </w:p>
              </w:tc>
              <w:tc>
                <w:tcPr>
                  <w:tcW w:w="2788" w:type="dxa"/>
                  <w:vAlign w:val="top"/>
                </w:tcPr>
                <w:p w14:paraId="6AFB05C0">
                  <w:pPr>
                    <w:spacing w:before="92" w:line="189" w:lineRule="auto"/>
                    <w:ind w:left="123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404</w:t>
                  </w:r>
                </w:p>
              </w:tc>
              <w:tc>
                <w:tcPr>
                  <w:tcW w:w="2793" w:type="dxa"/>
                  <w:vAlign w:val="top"/>
                </w:tcPr>
                <w:p w14:paraId="029A28DA">
                  <w:pPr>
                    <w:spacing w:before="92" w:line="189" w:lineRule="auto"/>
                    <w:ind w:left="123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399</w:t>
                  </w:r>
                </w:p>
              </w:tc>
            </w:tr>
            <w:tr w14:paraId="62412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467" w:type="dxa"/>
                  <w:vAlign w:val="top"/>
                </w:tcPr>
                <w:p w14:paraId="0F69F014">
                  <w:pPr>
                    <w:spacing w:before="92" w:line="189" w:lineRule="auto"/>
                    <w:ind w:left="102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9841</w:t>
                  </w:r>
                </w:p>
              </w:tc>
              <w:tc>
                <w:tcPr>
                  <w:tcW w:w="2788" w:type="dxa"/>
                  <w:vAlign w:val="top"/>
                </w:tcPr>
                <w:p w14:paraId="2540D408">
                  <w:pPr>
                    <w:spacing w:before="92" w:line="189" w:lineRule="auto"/>
                    <w:ind w:left="123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411</w:t>
                  </w:r>
                </w:p>
              </w:tc>
              <w:tc>
                <w:tcPr>
                  <w:tcW w:w="2793" w:type="dxa"/>
                  <w:vAlign w:val="top"/>
                </w:tcPr>
                <w:p w14:paraId="64D3D59D">
                  <w:pPr>
                    <w:spacing w:before="92" w:line="189" w:lineRule="auto"/>
                    <w:ind w:left="123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406</w:t>
                  </w:r>
                </w:p>
              </w:tc>
            </w:tr>
            <w:tr w14:paraId="5A4B1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467" w:type="dxa"/>
                  <w:vAlign w:val="top"/>
                </w:tcPr>
                <w:p w14:paraId="0166D97B">
                  <w:pPr>
                    <w:spacing w:before="94" w:line="189" w:lineRule="auto"/>
                    <w:ind w:left="98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10598</w:t>
                  </w:r>
                </w:p>
              </w:tc>
              <w:tc>
                <w:tcPr>
                  <w:tcW w:w="2788" w:type="dxa"/>
                  <w:vAlign w:val="top"/>
                </w:tcPr>
                <w:p w14:paraId="71B4FA6B">
                  <w:pPr>
                    <w:spacing w:before="94" w:line="189" w:lineRule="auto"/>
                    <w:ind w:left="123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416</w:t>
                  </w:r>
                </w:p>
              </w:tc>
              <w:tc>
                <w:tcPr>
                  <w:tcW w:w="2793" w:type="dxa"/>
                  <w:vAlign w:val="top"/>
                </w:tcPr>
                <w:p w14:paraId="78CB9DD2">
                  <w:pPr>
                    <w:spacing w:before="94" w:line="189" w:lineRule="auto"/>
                    <w:ind w:left="123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411</w:t>
                  </w:r>
                </w:p>
              </w:tc>
            </w:tr>
            <w:tr w14:paraId="2CD80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2467" w:type="dxa"/>
                  <w:vAlign w:val="top"/>
                </w:tcPr>
                <w:p w14:paraId="26644C28">
                  <w:pPr>
                    <w:spacing w:before="93" w:line="189" w:lineRule="auto"/>
                    <w:ind w:left="98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11355</w:t>
                  </w:r>
                </w:p>
              </w:tc>
              <w:tc>
                <w:tcPr>
                  <w:tcW w:w="2788" w:type="dxa"/>
                  <w:vAlign w:val="top"/>
                </w:tcPr>
                <w:p w14:paraId="6B39242C">
                  <w:pPr>
                    <w:spacing w:before="93" w:line="189" w:lineRule="auto"/>
                    <w:ind w:left="123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421</w:t>
                  </w:r>
                </w:p>
              </w:tc>
              <w:tc>
                <w:tcPr>
                  <w:tcW w:w="2793" w:type="dxa"/>
                  <w:vAlign w:val="top"/>
                </w:tcPr>
                <w:p w14:paraId="75083E79">
                  <w:pPr>
                    <w:spacing w:before="93" w:line="189" w:lineRule="auto"/>
                    <w:ind w:left="123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418</w:t>
                  </w:r>
                </w:p>
              </w:tc>
            </w:tr>
          </w:tbl>
          <w:p w14:paraId="3E70A879">
            <w:pPr>
              <w:pStyle w:val="6"/>
              <w:spacing w:before="30" w:line="242" w:lineRule="auto"/>
              <w:ind w:left="116" w:right="105" w:hanging="5"/>
              <w:rPr>
                <w:sz w:val="22"/>
                <w:szCs w:val="22"/>
              </w:rPr>
            </w:pPr>
            <w:r>
              <w:rPr>
                <w:spacing w:val="-3"/>
                <w:sz w:val="22"/>
                <w:szCs w:val="22"/>
              </w:rPr>
              <w:t>注：如果各储罐油气管线连通，则受影响的加油枪数等于汽油加油枪总数。否则，仅</w:t>
            </w:r>
            <w:r>
              <w:rPr>
                <w:spacing w:val="-1"/>
                <w:sz w:val="22"/>
                <w:szCs w:val="22"/>
              </w:rPr>
              <w:t>统计通过油气管线与被检测储罐相联的加油枪数。</w:t>
            </w:r>
          </w:p>
          <w:p w14:paraId="623A0E5E">
            <w:pPr>
              <w:pStyle w:val="6"/>
              <w:spacing w:before="108" w:line="340" w:lineRule="auto"/>
              <w:ind w:left="112" w:right="108" w:firstLine="527"/>
              <w:jc w:val="both"/>
            </w:pPr>
            <w:r>
              <w:rPr>
                <w:spacing w:val="9"/>
              </w:rPr>
              <w:t>另外，汽油油气回收系统的气液比应在</w:t>
            </w:r>
            <w:r>
              <w:rPr>
                <w:spacing w:val="-23"/>
              </w:rPr>
              <w:t xml:space="preserve"> </w:t>
            </w:r>
            <w:r>
              <w:rPr>
                <w:rFonts w:ascii="Times New Roman" w:hAnsi="Times New Roman" w:eastAsia="Times New Roman" w:cs="Times New Roman"/>
                <w:spacing w:val="9"/>
              </w:rPr>
              <w:t>1.0~</w:t>
            </w:r>
            <w:r>
              <w:rPr>
                <w:rFonts w:ascii="Times New Roman" w:hAnsi="Times New Roman" w:eastAsia="Times New Roman" w:cs="Times New Roman"/>
                <w:spacing w:val="-33"/>
              </w:rPr>
              <w:t xml:space="preserve"> </w:t>
            </w:r>
            <w:r>
              <w:rPr>
                <w:rFonts w:ascii="Times New Roman" w:hAnsi="Times New Roman" w:eastAsia="Times New Roman" w:cs="Times New Roman"/>
                <w:spacing w:val="9"/>
              </w:rPr>
              <w:t>1.2</w:t>
            </w:r>
            <w:r>
              <w:rPr>
                <w:rFonts w:ascii="Times New Roman" w:hAnsi="Times New Roman" w:eastAsia="Times New Roman" w:cs="Times New Roman"/>
                <w:spacing w:val="26"/>
                <w:w w:val="101"/>
              </w:rPr>
              <w:t xml:space="preserve"> </w:t>
            </w:r>
            <w:r>
              <w:rPr>
                <w:spacing w:val="9"/>
              </w:rPr>
              <w:t>范围内。采</w:t>
            </w:r>
            <w:r>
              <w:rPr>
                <w:spacing w:val="8"/>
              </w:rPr>
              <w:t>用氢火</w:t>
            </w:r>
            <w:r>
              <w:rPr>
                <w:spacing w:val="9"/>
              </w:rPr>
              <w:t>焰离子化检测仪（以甲烷或丙烷为校准气体）检测油气回收系统密闭点</w:t>
            </w:r>
            <w:r>
              <w:rPr>
                <w:spacing w:val="5"/>
              </w:rPr>
              <w:t>位，油气泄漏检测值应小于等于</w:t>
            </w:r>
            <w:r>
              <w:rPr>
                <w:spacing w:val="-40"/>
              </w:rPr>
              <w:t xml:space="preserve"> </w:t>
            </w:r>
            <w:r>
              <w:rPr>
                <w:rFonts w:ascii="Times New Roman" w:hAnsi="Times New Roman" w:eastAsia="Times New Roman" w:cs="Times New Roman"/>
                <w:spacing w:val="5"/>
              </w:rPr>
              <w:t xml:space="preserve">500 </w:t>
            </w:r>
            <w:r>
              <w:rPr>
                <w:spacing w:val="5"/>
              </w:rPr>
              <w:t>μ</w:t>
            </w:r>
            <w:r>
              <w:rPr>
                <w:rFonts w:ascii="Times New Roman" w:hAnsi="Times New Roman" w:eastAsia="Times New Roman" w:cs="Times New Roman"/>
              </w:rPr>
              <w:t>mol</w:t>
            </w:r>
            <w:r>
              <w:rPr>
                <w:rFonts w:ascii="Times New Roman" w:hAnsi="Times New Roman" w:eastAsia="Times New Roman" w:cs="Times New Roman"/>
                <w:spacing w:val="5"/>
              </w:rPr>
              <w:t>/</w:t>
            </w:r>
            <w:r>
              <w:rPr>
                <w:rFonts w:ascii="Times New Roman" w:hAnsi="Times New Roman" w:eastAsia="Times New Roman" w:cs="Times New Roman"/>
              </w:rPr>
              <w:t>mol</w:t>
            </w:r>
            <w:r>
              <w:rPr>
                <w:spacing w:val="5"/>
              </w:rPr>
              <w:t>。</w:t>
            </w:r>
          </w:p>
          <w:p w14:paraId="10D28D85">
            <w:pPr>
              <w:pStyle w:val="6"/>
              <w:spacing w:before="1" w:line="225" w:lineRule="auto"/>
              <w:ind w:left="106"/>
            </w:pPr>
            <w:r>
              <w:rPr>
                <w:rFonts w:ascii="Times New Roman" w:hAnsi="Times New Roman" w:eastAsia="Times New Roman" w:cs="Times New Roman"/>
                <w:b/>
                <w:bCs/>
                <w:spacing w:val="5"/>
              </w:rPr>
              <w:t xml:space="preserve">3.3.2 </w:t>
            </w:r>
            <w:r>
              <w:rPr>
                <w:b/>
                <w:bCs/>
                <w:spacing w:val="5"/>
              </w:rPr>
              <w:t>水污染物排放标准</w:t>
            </w:r>
          </w:p>
        </w:tc>
      </w:tr>
    </w:tbl>
    <w:p w14:paraId="13EFE70A">
      <w:pPr>
        <w:pStyle w:val="2"/>
        <w:rPr>
          <w:sz w:val="21"/>
        </w:rPr>
      </w:pPr>
    </w:p>
    <w:p w14:paraId="67068A1F">
      <w:pPr>
        <w:rPr>
          <w:sz w:val="21"/>
          <w:szCs w:val="21"/>
        </w:rPr>
        <w:sectPr>
          <w:footerReference r:id="rId68" w:type="default"/>
          <w:pgSz w:w="11907" w:h="16840"/>
          <w:pgMar w:top="400" w:right="1418" w:bottom="1008" w:left="1418" w:header="0" w:footer="770" w:gutter="0"/>
          <w:cols w:space="720" w:num="1"/>
        </w:sectPr>
      </w:pPr>
    </w:p>
    <w:p w14:paraId="648875FA">
      <w:pPr>
        <w:spacing w:before="19"/>
      </w:pPr>
    </w:p>
    <w:p w14:paraId="212F83FF">
      <w:pPr>
        <w:spacing w:before="19"/>
      </w:pPr>
    </w:p>
    <w:p w14:paraId="7C642DB8">
      <w:pPr>
        <w:spacing w:before="19"/>
      </w:pPr>
    </w:p>
    <w:p w14:paraId="536FB41D">
      <w:pPr>
        <w:spacing w:before="18"/>
      </w:pPr>
    </w:p>
    <w:p w14:paraId="7BBA2D40">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5"/>
        <w:gridCol w:w="8270"/>
      </w:tblGrid>
      <w:tr w14:paraId="52D7E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52" w:hRule="atLeast"/>
        </w:trPr>
        <w:tc>
          <w:tcPr>
            <w:tcW w:w="795" w:type="dxa"/>
            <w:vAlign w:val="top"/>
          </w:tcPr>
          <w:p w14:paraId="5EA5D3A0">
            <w:pPr>
              <w:rPr>
                <w:rFonts w:ascii="Arial"/>
                <w:sz w:val="21"/>
              </w:rPr>
            </w:pPr>
          </w:p>
        </w:tc>
        <w:tc>
          <w:tcPr>
            <w:tcW w:w="8270" w:type="dxa"/>
            <w:vAlign w:val="top"/>
          </w:tcPr>
          <w:p w14:paraId="2CA3C9B8">
            <w:pPr>
              <w:pStyle w:val="6"/>
              <w:spacing w:before="149" w:line="336" w:lineRule="auto"/>
              <w:ind w:left="111" w:right="108" w:firstLine="522"/>
              <w:jc w:val="both"/>
            </w:pPr>
            <w:r>
              <w:rPr>
                <w:spacing w:val="6"/>
              </w:rPr>
              <w:t>本项目场地冲洗废水经隔油池预处理达《污水综合排放标准》（</w:t>
            </w:r>
            <w:r>
              <w:rPr>
                <w:rFonts w:ascii="Times New Roman" w:hAnsi="Times New Roman" w:eastAsia="Times New Roman" w:cs="Times New Roman"/>
              </w:rPr>
              <w:t>GB</w:t>
            </w:r>
            <w:r>
              <w:rPr>
                <w:rFonts w:ascii="Times New Roman" w:hAnsi="Times New Roman" w:eastAsia="Times New Roman" w:cs="Times New Roman"/>
                <w:spacing w:val="3"/>
              </w:rPr>
              <w:t xml:space="preserve"> </w:t>
            </w:r>
            <w:r>
              <w:rPr>
                <w:rFonts w:ascii="Times New Roman" w:hAnsi="Times New Roman" w:eastAsia="Times New Roman" w:cs="Times New Roman"/>
                <w:spacing w:val="5"/>
              </w:rPr>
              <w:t>8978-</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1996</w:t>
            </w:r>
            <w:r>
              <w:rPr>
                <w:spacing w:val="5"/>
              </w:rPr>
              <w:t>）三级标准排入市政污水管网；生活污水经生化池处理达《污</w:t>
            </w:r>
            <w:r>
              <w:rPr>
                <w:spacing w:val="7"/>
              </w:rPr>
              <w:t>水综合排放标准》（</w:t>
            </w:r>
            <w:r>
              <w:rPr>
                <w:rFonts w:ascii="Times New Roman" w:hAnsi="Times New Roman" w:eastAsia="Times New Roman" w:cs="Times New Roman"/>
              </w:rPr>
              <w:t>GB</w:t>
            </w:r>
            <w:r>
              <w:rPr>
                <w:rFonts w:ascii="Times New Roman" w:hAnsi="Times New Roman" w:eastAsia="Times New Roman" w:cs="Times New Roman"/>
                <w:spacing w:val="30"/>
              </w:rPr>
              <w:t xml:space="preserve"> </w:t>
            </w:r>
            <w:r>
              <w:rPr>
                <w:rFonts w:ascii="Times New Roman" w:hAnsi="Times New Roman" w:eastAsia="Times New Roman" w:cs="Times New Roman"/>
                <w:spacing w:val="7"/>
              </w:rPr>
              <w:t>8978-</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1996</w:t>
            </w:r>
            <w:r>
              <w:rPr>
                <w:spacing w:val="7"/>
              </w:rPr>
              <w:t>）三级标准排入市政污水管网。前述</w:t>
            </w:r>
            <w:r>
              <w:rPr>
                <w:spacing w:val="18"/>
              </w:rPr>
              <w:t>废水最终进入大九污水处理厂处理达《城镇污水处理厂污染物排放标</w:t>
            </w:r>
            <w:r>
              <w:rPr>
                <w:spacing w:val="11"/>
              </w:rPr>
              <w:t>准》</w:t>
            </w:r>
            <w:r>
              <w:rPr>
                <w:spacing w:val="-99"/>
              </w:rPr>
              <w:t xml:space="preserve"> </w:t>
            </w:r>
            <w:r>
              <w:rPr>
                <w:spacing w:val="11"/>
              </w:rPr>
              <w:t>（</w:t>
            </w:r>
            <w:r>
              <w:rPr>
                <w:rFonts w:ascii="Times New Roman" w:hAnsi="Times New Roman" w:eastAsia="Times New Roman" w:cs="Times New Roman"/>
              </w:rPr>
              <w:t>GB</w:t>
            </w:r>
            <w:r>
              <w:rPr>
                <w:rFonts w:ascii="Times New Roman" w:hAnsi="Times New Roman" w:eastAsia="Times New Roman" w:cs="Times New Roman"/>
                <w:spacing w:val="11"/>
              </w:rPr>
              <w:t>18918-2002</w:t>
            </w:r>
            <w:r>
              <w:rPr>
                <w:spacing w:val="11"/>
              </w:rPr>
              <w:t>）一级</w:t>
            </w:r>
            <w:r>
              <w:rPr>
                <w:spacing w:val="-51"/>
              </w:rPr>
              <w:t xml:space="preserve"> </w:t>
            </w:r>
            <w:r>
              <w:rPr>
                <w:rFonts w:ascii="Times New Roman" w:hAnsi="Times New Roman" w:eastAsia="Times New Roman" w:cs="Times New Roman"/>
                <w:spacing w:val="11"/>
              </w:rPr>
              <w:t>A</w:t>
            </w:r>
            <w:r>
              <w:rPr>
                <w:rFonts w:ascii="Times New Roman" w:hAnsi="Times New Roman" w:eastAsia="Times New Roman" w:cs="Times New Roman"/>
                <w:spacing w:val="21"/>
              </w:rPr>
              <w:t xml:space="preserve"> </w:t>
            </w:r>
            <w:r>
              <w:rPr>
                <w:spacing w:val="11"/>
              </w:rPr>
              <w:t>标准后排入长江。具体排放限值见下表</w:t>
            </w:r>
            <w:r>
              <w:rPr>
                <w:rFonts w:ascii="Times New Roman" w:hAnsi="Times New Roman" w:eastAsia="Times New Roman" w:cs="Times New Roman"/>
                <w:spacing w:val="2"/>
              </w:rPr>
              <w:t>3.3-5</w:t>
            </w:r>
            <w:r>
              <w:rPr>
                <w:spacing w:val="2"/>
              </w:rPr>
              <w:t>。</w:t>
            </w:r>
          </w:p>
          <w:p w14:paraId="6948E335">
            <w:pPr>
              <w:pStyle w:val="6"/>
              <w:spacing w:before="31" w:line="219" w:lineRule="auto"/>
              <w:ind w:left="1995"/>
              <w:rPr>
                <w:rFonts w:ascii="Times New Roman" w:hAnsi="Times New Roman" w:eastAsia="Times New Roman" w:cs="Times New Roman"/>
              </w:rPr>
            </w:pPr>
            <w:r>
              <w:rPr>
                <w:spacing w:val="6"/>
              </w:rPr>
              <w:t>表</w:t>
            </w:r>
            <w:r>
              <w:rPr>
                <w:spacing w:val="-50"/>
              </w:rPr>
              <w:t xml:space="preserve"> </w:t>
            </w:r>
            <w:r>
              <w:rPr>
                <w:rFonts w:ascii="Times New Roman" w:hAnsi="Times New Roman" w:eastAsia="Times New Roman" w:cs="Times New Roman"/>
                <w:spacing w:val="6"/>
              </w:rPr>
              <w:t xml:space="preserve">3.3-5    </w:t>
            </w:r>
            <w:r>
              <w:rPr>
                <w:spacing w:val="6"/>
              </w:rPr>
              <w:t>废水排放标准  单位：</w:t>
            </w:r>
            <w:r>
              <w:rPr>
                <w:rFonts w:ascii="Times New Roman" w:hAnsi="Times New Roman" w:eastAsia="Times New Roman" w:cs="Times New Roman"/>
              </w:rPr>
              <w:t>mg</w:t>
            </w:r>
            <w:r>
              <w:rPr>
                <w:rFonts w:ascii="Times New Roman" w:hAnsi="Times New Roman" w:eastAsia="Times New Roman" w:cs="Times New Roman"/>
                <w:spacing w:val="6"/>
              </w:rPr>
              <w:t>/L</w:t>
            </w:r>
          </w:p>
          <w:p w14:paraId="12FED0CA">
            <w:pPr>
              <w:spacing w:line="17" w:lineRule="exact"/>
            </w:pPr>
          </w:p>
          <w:tbl>
            <w:tblPr>
              <w:tblStyle w:val="5"/>
              <w:tblW w:w="8048"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91"/>
              <w:gridCol w:w="921"/>
              <w:gridCol w:w="936"/>
              <w:gridCol w:w="1007"/>
              <w:gridCol w:w="956"/>
              <w:gridCol w:w="847"/>
              <w:gridCol w:w="990"/>
            </w:tblGrid>
            <w:tr w14:paraId="1027A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2391" w:type="dxa"/>
                  <w:vAlign w:val="top"/>
                </w:tcPr>
                <w:p w14:paraId="655542AE">
                  <w:pPr>
                    <w:pStyle w:val="6"/>
                    <w:spacing w:before="90" w:line="221" w:lineRule="auto"/>
                    <w:ind w:left="984"/>
                    <w:rPr>
                      <w:sz w:val="22"/>
                      <w:szCs w:val="22"/>
                    </w:rPr>
                  </w:pPr>
                  <w:r>
                    <w:rPr>
                      <w:spacing w:val="-6"/>
                      <w:sz w:val="22"/>
                      <w:szCs w:val="22"/>
                    </w:rPr>
                    <w:t>项目</w:t>
                  </w:r>
                </w:p>
              </w:tc>
              <w:tc>
                <w:tcPr>
                  <w:tcW w:w="921" w:type="dxa"/>
                  <w:vAlign w:val="top"/>
                </w:tcPr>
                <w:p w14:paraId="5EFC74C8">
                  <w:pPr>
                    <w:spacing w:before="129" w:line="186" w:lineRule="auto"/>
                    <w:ind w:left="321"/>
                    <w:rPr>
                      <w:rFonts w:ascii="Times New Roman" w:hAnsi="Times New Roman" w:eastAsia="Times New Roman" w:cs="Times New Roman"/>
                      <w:sz w:val="22"/>
                      <w:szCs w:val="22"/>
                    </w:rPr>
                  </w:pPr>
                  <w:r>
                    <w:rPr>
                      <w:rFonts w:ascii="Times New Roman" w:hAnsi="Times New Roman" w:eastAsia="Times New Roman" w:cs="Times New Roman"/>
                      <w:sz w:val="22"/>
                      <w:szCs w:val="22"/>
                    </w:rPr>
                    <w:t>pH</w:t>
                  </w:r>
                </w:p>
              </w:tc>
              <w:tc>
                <w:tcPr>
                  <w:tcW w:w="936" w:type="dxa"/>
                  <w:vAlign w:val="top"/>
                </w:tcPr>
                <w:p w14:paraId="4F948EE5">
                  <w:pPr>
                    <w:spacing w:before="125" w:line="189" w:lineRule="auto"/>
                    <w:ind w:left="24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COD</w:t>
                  </w:r>
                </w:p>
              </w:tc>
              <w:tc>
                <w:tcPr>
                  <w:tcW w:w="1007" w:type="dxa"/>
                  <w:vAlign w:val="top"/>
                </w:tcPr>
                <w:p w14:paraId="4F981582">
                  <w:pPr>
                    <w:spacing w:before="125" w:line="198" w:lineRule="auto"/>
                    <w:ind w:left="237"/>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BOD</w:t>
                  </w:r>
                  <w:r>
                    <w:rPr>
                      <w:rFonts w:ascii="Times New Roman" w:hAnsi="Times New Roman" w:eastAsia="Times New Roman" w:cs="Times New Roman"/>
                      <w:spacing w:val="-1"/>
                      <w:position w:val="-1"/>
                      <w:sz w:val="14"/>
                      <w:szCs w:val="14"/>
                    </w:rPr>
                    <w:t>5</w:t>
                  </w:r>
                </w:p>
              </w:tc>
              <w:tc>
                <w:tcPr>
                  <w:tcW w:w="956" w:type="dxa"/>
                  <w:vAlign w:val="top"/>
                </w:tcPr>
                <w:p w14:paraId="7F111D36">
                  <w:pPr>
                    <w:pStyle w:val="6"/>
                    <w:spacing w:before="90" w:line="219" w:lineRule="auto"/>
                    <w:ind w:left="264"/>
                    <w:rPr>
                      <w:sz w:val="22"/>
                      <w:szCs w:val="22"/>
                    </w:rPr>
                  </w:pPr>
                  <w:r>
                    <w:rPr>
                      <w:spacing w:val="-4"/>
                      <w:sz w:val="22"/>
                      <w:szCs w:val="22"/>
                    </w:rPr>
                    <w:t>氨氮</w:t>
                  </w:r>
                </w:p>
              </w:tc>
              <w:tc>
                <w:tcPr>
                  <w:tcW w:w="847" w:type="dxa"/>
                  <w:vAlign w:val="top"/>
                </w:tcPr>
                <w:p w14:paraId="6B8F17B1">
                  <w:pPr>
                    <w:spacing w:before="125" w:line="189" w:lineRule="auto"/>
                    <w:ind w:left="31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SS</w:t>
                  </w:r>
                </w:p>
              </w:tc>
              <w:tc>
                <w:tcPr>
                  <w:tcW w:w="990" w:type="dxa"/>
                  <w:vAlign w:val="top"/>
                </w:tcPr>
                <w:p w14:paraId="2CCAE9B7">
                  <w:pPr>
                    <w:pStyle w:val="6"/>
                    <w:spacing w:before="90" w:line="220" w:lineRule="auto"/>
                    <w:ind w:left="171"/>
                    <w:rPr>
                      <w:sz w:val="22"/>
                      <w:szCs w:val="22"/>
                    </w:rPr>
                  </w:pPr>
                  <w:r>
                    <w:rPr>
                      <w:spacing w:val="-3"/>
                      <w:sz w:val="22"/>
                      <w:szCs w:val="22"/>
                    </w:rPr>
                    <w:t>石油类</w:t>
                  </w:r>
                </w:p>
              </w:tc>
            </w:tr>
            <w:tr w14:paraId="036E7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2391" w:type="dxa"/>
                  <w:vAlign w:val="top"/>
                </w:tcPr>
                <w:p w14:paraId="2C4F65CE">
                  <w:pPr>
                    <w:pStyle w:val="6"/>
                    <w:spacing w:before="53" w:line="220" w:lineRule="auto"/>
                    <w:ind w:left="118"/>
                    <w:rPr>
                      <w:sz w:val="22"/>
                      <w:szCs w:val="22"/>
                    </w:rPr>
                  </w:pPr>
                  <w:r>
                    <w:rPr>
                      <w:spacing w:val="-1"/>
                      <w:sz w:val="22"/>
                      <w:szCs w:val="22"/>
                    </w:rPr>
                    <w:t>《污水综合排放标准》</w:t>
                  </w:r>
                </w:p>
                <w:p w14:paraId="28EB57CB">
                  <w:pPr>
                    <w:pStyle w:val="6"/>
                    <w:spacing w:before="38" w:line="222" w:lineRule="auto"/>
                    <w:ind w:left="138"/>
                    <w:rPr>
                      <w:sz w:val="22"/>
                      <w:szCs w:val="22"/>
                    </w:rPr>
                  </w:pPr>
                  <w:r>
                    <w:rPr>
                      <w:spacing w:val="-3"/>
                      <w:sz w:val="22"/>
                      <w:szCs w:val="22"/>
                    </w:rPr>
                    <w:t>（</w:t>
                  </w:r>
                  <w:r>
                    <w:rPr>
                      <w:rFonts w:ascii="Times New Roman" w:hAnsi="Times New Roman" w:eastAsia="Times New Roman" w:cs="Times New Roman"/>
                      <w:spacing w:val="-3"/>
                      <w:sz w:val="22"/>
                      <w:szCs w:val="22"/>
                    </w:rPr>
                    <w:t>GB8978-</w:t>
                  </w:r>
                  <w:r>
                    <w:rPr>
                      <w:rFonts w:ascii="Times New Roman" w:hAnsi="Times New Roman" w:eastAsia="Times New Roman" w:cs="Times New Roman"/>
                      <w:spacing w:val="-25"/>
                      <w:sz w:val="22"/>
                      <w:szCs w:val="22"/>
                    </w:rPr>
                    <w:t xml:space="preserve"> </w:t>
                  </w:r>
                  <w:r>
                    <w:rPr>
                      <w:rFonts w:ascii="Times New Roman" w:hAnsi="Times New Roman" w:eastAsia="Times New Roman" w:cs="Times New Roman"/>
                      <w:spacing w:val="-3"/>
                      <w:sz w:val="22"/>
                      <w:szCs w:val="22"/>
                    </w:rPr>
                    <w:t>1996</w:t>
                  </w:r>
                  <w:r>
                    <w:rPr>
                      <w:spacing w:val="-3"/>
                      <w:sz w:val="22"/>
                      <w:szCs w:val="22"/>
                    </w:rPr>
                    <w:t>）三级</w:t>
                  </w:r>
                </w:p>
                <w:p w14:paraId="78841BD0">
                  <w:pPr>
                    <w:pStyle w:val="6"/>
                    <w:spacing w:before="35" w:line="201" w:lineRule="auto"/>
                    <w:ind w:left="982"/>
                    <w:rPr>
                      <w:sz w:val="22"/>
                      <w:szCs w:val="22"/>
                    </w:rPr>
                  </w:pPr>
                  <w:r>
                    <w:rPr>
                      <w:spacing w:val="-4"/>
                      <w:sz w:val="22"/>
                      <w:szCs w:val="22"/>
                    </w:rPr>
                    <w:t>标准</w:t>
                  </w:r>
                </w:p>
              </w:tc>
              <w:tc>
                <w:tcPr>
                  <w:tcW w:w="921" w:type="dxa"/>
                  <w:vAlign w:val="top"/>
                </w:tcPr>
                <w:p w14:paraId="3B2E32DC">
                  <w:pPr>
                    <w:spacing w:line="323" w:lineRule="auto"/>
                    <w:rPr>
                      <w:rFonts w:ascii="Arial"/>
                      <w:sz w:val="21"/>
                    </w:rPr>
                  </w:pPr>
                </w:p>
                <w:p w14:paraId="3225C0A7">
                  <w:pPr>
                    <w:spacing w:before="63" w:line="189" w:lineRule="auto"/>
                    <w:ind w:left="29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6~9</w:t>
                  </w:r>
                </w:p>
              </w:tc>
              <w:tc>
                <w:tcPr>
                  <w:tcW w:w="936" w:type="dxa"/>
                  <w:vAlign w:val="top"/>
                </w:tcPr>
                <w:p w14:paraId="0B19856A">
                  <w:pPr>
                    <w:spacing w:line="279" w:lineRule="auto"/>
                    <w:rPr>
                      <w:rFonts w:ascii="Arial"/>
                      <w:sz w:val="21"/>
                    </w:rPr>
                  </w:pPr>
                </w:p>
                <w:p w14:paraId="406EE315">
                  <w:pPr>
                    <w:pStyle w:val="6"/>
                    <w:spacing w:before="71" w:line="237" w:lineRule="auto"/>
                    <w:ind w:left="214"/>
                    <w:rPr>
                      <w:rFonts w:ascii="Times New Roman" w:hAnsi="Times New Roman" w:eastAsia="Times New Roman" w:cs="Times New Roman"/>
                      <w:sz w:val="22"/>
                      <w:szCs w:val="22"/>
                    </w:rPr>
                  </w:pPr>
                  <w:r>
                    <w:rPr>
                      <w:spacing w:val="-7"/>
                      <w:sz w:val="22"/>
                      <w:szCs w:val="22"/>
                    </w:rPr>
                    <w:t>≤</w:t>
                  </w:r>
                  <w:r>
                    <w:rPr>
                      <w:rFonts w:ascii="Times New Roman" w:hAnsi="Times New Roman" w:eastAsia="Times New Roman" w:cs="Times New Roman"/>
                      <w:spacing w:val="-7"/>
                      <w:sz w:val="22"/>
                      <w:szCs w:val="22"/>
                    </w:rPr>
                    <w:t>500</w:t>
                  </w:r>
                </w:p>
              </w:tc>
              <w:tc>
                <w:tcPr>
                  <w:tcW w:w="1007" w:type="dxa"/>
                  <w:vAlign w:val="top"/>
                </w:tcPr>
                <w:p w14:paraId="02FC287A">
                  <w:pPr>
                    <w:spacing w:line="279" w:lineRule="auto"/>
                    <w:rPr>
                      <w:rFonts w:ascii="Arial"/>
                      <w:sz w:val="21"/>
                    </w:rPr>
                  </w:pPr>
                </w:p>
                <w:p w14:paraId="2CB4A63F">
                  <w:pPr>
                    <w:pStyle w:val="6"/>
                    <w:spacing w:before="71" w:line="237" w:lineRule="auto"/>
                    <w:ind w:left="250"/>
                    <w:rPr>
                      <w:rFonts w:ascii="Times New Roman" w:hAnsi="Times New Roman" w:eastAsia="Times New Roman" w:cs="Times New Roman"/>
                      <w:sz w:val="22"/>
                      <w:szCs w:val="22"/>
                    </w:rPr>
                  </w:pPr>
                  <w:r>
                    <w:rPr>
                      <w:spacing w:val="-6"/>
                      <w:sz w:val="22"/>
                      <w:szCs w:val="22"/>
                    </w:rPr>
                    <w:t>≤</w:t>
                  </w:r>
                  <w:r>
                    <w:rPr>
                      <w:rFonts w:ascii="Times New Roman" w:hAnsi="Times New Roman" w:eastAsia="Times New Roman" w:cs="Times New Roman"/>
                      <w:spacing w:val="-6"/>
                      <w:sz w:val="22"/>
                      <w:szCs w:val="22"/>
                    </w:rPr>
                    <w:t>300</w:t>
                  </w:r>
                </w:p>
              </w:tc>
              <w:tc>
                <w:tcPr>
                  <w:tcW w:w="956" w:type="dxa"/>
                  <w:vAlign w:val="top"/>
                </w:tcPr>
                <w:p w14:paraId="3DBE7334">
                  <w:pPr>
                    <w:spacing w:line="279" w:lineRule="auto"/>
                    <w:rPr>
                      <w:rFonts w:ascii="Arial"/>
                      <w:sz w:val="21"/>
                    </w:rPr>
                  </w:pPr>
                </w:p>
                <w:p w14:paraId="2CC85A9D">
                  <w:pPr>
                    <w:pStyle w:val="6"/>
                    <w:spacing w:before="71" w:line="237" w:lineRule="auto"/>
                    <w:ind w:left="225"/>
                    <w:rPr>
                      <w:rFonts w:ascii="Times New Roman" w:hAnsi="Times New Roman" w:eastAsia="Times New Roman" w:cs="Times New Roman"/>
                      <w:sz w:val="22"/>
                      <w:szCs w:val="22"/>
                    </w:rPr>
                  </w:pPr>
                  <w:r>
                    <w:rPr>
                      <w:spacing w:val="-6"/>
                      <w:sz w:val="22"/>
                      <w:szCs w:val="22"/>
                    </w:rPr>
                    <w:t>≤</w:t>
                  </w:r>
                  <w:r>
                    <w:rPr>
                      <w:rFonts w:ascii="Times New Roman" w:hAnsi="Times New Roman" w:eastAsia="Times New Roman" w:cs="Times New Roman"/>
                      <w:spacing w:val="-6"/>
                      <w:sz w:val="22"/>
                      <w:szCs w:val="22"/>
                    </w:rPr>
                    <w:t>45*</w:t>
                  </w:r>
                </w:p>
              </w:tc>
              <w:tc>
                <w:tcPr>
                  <w:tcW w:w="847" w:type="dxa"/>
                  <w:vAlign w:val="top"/>
                </w:tcPr>
                <w:p w14:paraId="75ED5978">
                  <w:pPr>
                    <w:spacing w:line="279" w:lineRule="auto"/>
                    <w:rPr>
                      <w:rFonts w:ascii="Arial"/>
                      <w:sz w:val="21"/>
                    </w:rPr>
                  </w:pPr>
                </w:p>
                <w:p w14:paraId="76DD695A">
                  <w:pPr>
                    <w:pStyle w:val="6"/>
                    <w:spacing w:before="71" w:line="237" w:lineRule="auto"/>
                    <w:ind w:left="171"/>
                    <w:rPr>
                      <w:rFonts w:ascii="Times New Roman" w:hAnsi="Times New Roman" w:eastAsia="Times New Roman" w:cs="Times New Roman"/>
                      <w:sz w:val="22"/>
                      <w:szCs w:val="22"/>
                    </w:rPr>
                  </w:pPr>
                  <w:r>
                    <w:rPr>
                      <w:spacing w:val="-6"/>
                      <w:sz w:val="22"/>
                      <w:szCs w:val="22"/>
                    </w:rPr>
                    <w:t>≤</w:t>
                  </w:r>
                  <w:r>
                    <w:rPr>
                      <w:rFonts w:ascii="Times New Roman" w:hAnsi="Times New Roman" w:eastAsia="Times New Roman" w:cs="Times New Roman"/>
                      <w:spacing w:val="-6"/>
                      <w:sz w:val="22"/>
                      <w:szCs w:val="22"/>
                    </w:rPr>
                    <w:t>400</w:t>
                  </w:r>
                </w:p>
              </w:tc>
              <w:tc>
                <w:tcPr>
                  <w:tcW w:w="990" w:type="dxa"/>
                  <w:vAlign w:val="top"/>
                </w:tcPr>
                <w:p w14:paraId="3B340B49">
                  <w:pPr>
                    <w:spacing w:line="279" w:lineRule="auto"/>
                    <w:rPr>
                      <w:rFonts w:ascii="Arial"/>
                      <w:sz w:val="21"/>
                    </w:rPr>
                  </w:pPr>
                </w:p>
                <w:p w14:paraId="13C58856">
                  <w:pPr>
                    <w:pStyle w:val="6"/>
                    <w:spacing w:before="71" w:line="237" w:lineRule="auto"/>
                    <w:ind w:left="296"/>
                    <w:rPr>
                      <w:rFonts w:ascii="Times New Roman" w:hAnsi="Times New Roman" w:eastAsia="Times New Roman" w:cs="Times New Roman"/>
                      <w:sz w:val="22"/>
                      <w:szCs w:val="22"/>
                    </w:rPr>
                  </w:pPr>
                  <w:r>
                    <w:rPr>
                      <w:spacing w:val="-8"/>
                      <w:sz w:val="22"/>
                      <w:szCs w:val="22"/>
                    </w:rPr>
                    <w:t>≤</w:t>
                  </w:r>
                  <w:r>
                    <w:rPr>
                      <w:rFonts w:ascii="Times New Roman" w:hAnsi="Times New Roman" w:eastAsia="Times New Roman" w:cs="Times New Roman"/>
                      <w:spacing w:val="-8"/>
                      <w:sz w:val="22"/>
                      <w:szCs w:val="22"/>
                    </w:rPr>
                    <w:t>30</w:t>
                  </w:r>
                </w:p>
              </w:tc>
            </w:tr>
            <w:tr w14:paraId="17D9D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2391" w:type="dxa"/>
                  <w:vAlign w:val="top"/>
                </w:tcPr>
                <w:p w14:paraId="7A1D4269">
                  <w:pPr>
                    <w:pStyle w:val="6"/>
                    <w:spacing w:before="54" w:line="220" w:lineRule="auto"/>
                    <w:ind w:left="214"/>
                    <w:rPr>
                      <w:sz w:val="22"/>
                      <w:szCs w:val="22"/>
                    </w:rPr>
                  </w:pPr>
                  <w:r>
                    <w:rPr>
                      <w:spacing w:val="-1"/>
                      <w:sz w:val="22"/>
                      <w:szCs w:val="22"/>
                    </w:rPr>
                    <w:t>《城镇污水处理厂污</w:t>
                  </w:r>
                </w:p>
                <w:p w14:paraId="3A5AAF83">
                  <w:pPr>
                    <w:pStyle w:val="6"/>
                    <w:spacing w:before="37" w:line="221" w:lineRule="auto"/>
                    <w:ind w:left="435"/>
                    <w:rPr>
                      <w:sz w:val="22"/>
                      <w:szCs w:val="22"/>
                    </w:rPr>
                  </w:pPr>
                  <w:r>
                    <w:rPr>
                      <w:spacing w:val="-2"/>
                      <w:sz w:val="22"/>
                      <w:szCs w:val="22"/>
                    </w:rPr>
                    <w:t>染物排放标准》</w:t>
                  </w:r>
                </w:p>
                <w:p w14:paraId="549DCC89">
                  <w:pPr>
                    <w:pStyle w:val="6"/>
                    <w:spacing w:before="37" w:line="222" w:lineRule="auto"/>
                    <w:ind w:left="123"/>
                    <w:rPr>
                      <w:sz w:val="22"/>
                      <w:szCs w:val="22"/>
                    </w:rPr>
                  </w:pPr>
                  <w:r>
                    <w:rPr>
                      <w:spacing w:val="-6"/>
                      <w:sz w:val="22"/>
                      <w:szCs w:val="22"/>
                    </w:rPr>
                    <w:t>（</w:t>
                  </w:r>
                  <w:r>
                    <w:rPr>
                      <w:rFonts w:ascii="Times New Roman" w:hAnsi="Times New Roman" w:eastAsia="Times New Roman" w:cs="Times New Roman"/>
                      <w:spacing w:val="-6"/>
                      <w:sz w:val="22"/>
                      <w:szCs w:val="22"/>
                    </w:rPr>
                    <w:t>GB18918-2002</w:t>
                  </w:r>
                  <w:r>
                    <w:rPr>
                      <w:spacing w:val="-6"/>
                      <w:sz w:val="22"/>
                      <w:szCs w:val="22"/>
                    </w:rPr>
                    <w:t>）一级</w:t>
                  </w:r>
                </w:p>
                <w:p w14:paraId="147C8280">
                  <w:pPr>
                    <w:pStyle w:val="6"/>
                    <w:spacing w:before="35" w:line="203" w:lineRule="auto"/>
                    <w:ind w:left="895"/>
                    <w:rPr>
                      <w:sz w:val="22"/>
                      <w:szCs w:val="22"/>
                    </w:rPr>
                  </w:pPr>
                  <w:r>
                    <w:rPr>
                      <w:rFonts w:ascii="Times New Roman" w:hAnsi="Times New Roman" w:eastAsia="Times New Roman" w:cs="Times New Roman"/>
                      <w:spacing w:val="-1"/>
                      <w:sz w:val="22"/>
                      <w:szCs w:val="22"/>
                    </w:rPr>
                    <w:t>A</w:t>
                  </w:r>
                  <w:r>
                    <w:rPr>
                      <w:spacing w:val="-1"/>
                      <w:sz w:val="22"/>
                      <w:szCs w:val="22"/>
                    </w:rPr>
                    <w:t>标准</w:t>
                  </w:r>
                </w:p>
              </w:tc>
              <w:tc>
                <w:tcPr>
                  <w:tcW w:w="921" w:type="dxa"/>
                  <w:vAlign w:val="top"/>
                </w:tcPr>
                <w:p w14:paraId="7C48BA60">
                  <w:pPr>
                    <w:spacing w:line="475" w:lineRule="auto"/>
                    <w:rPr>
                      <w:rFonts w:ascii="Arial"/>
                      <w:sz w:val="21"/>
                    </w:rPr>
                  </w:pPr>
                </w:p>
                <w:p w14:paraId="434D7969">
                  <w:pPr>
                    <w:spacing w:before="63" w:line="189" w:lineRule="auto"/>
                    <w:ind w:left="29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6~9</w:t>
                  </w:r>
                </w:p>
              </w:tc>
              <w:tc>
                <w:tcPr>
                  <w:tcW w:w="936" w:type="dxa"/>
                  <w:vAlign w:val="top"/>
                </w:tcPr>
                <w:p w14:paraId="387C5FFF">
                  <w:pPr>
                    <w:spacing w:line="428" w:lineRule="auto"/>
                    <w:rPr>
                      <w:rFonts w:ascii="Arial"/>
                      <w:sz w:val="21"/>
                    </w:rPr>
                  </w:pPr>
                </w:p>
                <w:p w14:paraId="00C6C964">
                  <w:pPr>
                    <w:pStyle w:val="6"/>
                    <w:spacing w:before="72" w:line="237" w:lineRule="auto"/>
                    <w:ind w:left="269"/>
                    <w:rPr>
                      <w:rFonts w:ascii="Times New Roman" w:hAnsi="Times New Roman" w:eastAsia="Times New Roman" w:cs="Times New Roman"/>
                      <w:sz w:val="22"/>
                      <w:szCs w:val="22"/>
                    </w:rPr>
                  </w:pPr>
                  <w:r>
                    <w:rPr>
                      <w:spacing w:val="-9"/>
                      <w:sz w:val="22"/>
                      <w:szCs w:val="22"/>
                    </w:rPr>
                    <w:t>≤</w:t>
                  </w:r>
                  <w:r>
                    <w:rPr>
                      <w:rFonts w:ascii="Times New Roman" w:hAnsi="Times New Roman" w:eastAsia="Times New Roman" w:cs="Times New Roman"/>
                      <w:spacing w:val="-9"/>
                      <w:sz w:val="22"/>
                      <w:szCs w:val="22"/>
                    </w:rPr>
                    <w:t>50</w:t>
                  </w:r>
                </w:p>
              </w:tc>
              <w:tc>
                <w:tcPr>
                  <w:tcW w:w="1007" w:type="dxa"/>
                  <w:vAlign w:val="top"/>
                </w:tcPr>
                <w:p w14:paraId="78FA4A4E">
                  <w:pPr>
                    <w:spacing w:line="428" w:lineRule="auto"/>
                    <w:rPr>
                      <w:rFonts w:ascii="Arial"/>
                      <w:sz w:val="21"/>
                    </w:rPr>
                  </w:pPr>
                </w:p>
                <w:p w14:paraId="77D1C4EA">
                  <w:pPr>
                    <w:pStyle w:val="6"/>
                    <w:spacing w:before="72" w:line="237" w:lineRule="auto"/>
                    <w:ind w:left="305"/>
                    <w:rPr>
                      <w:rFonts w:ascii="Times New Roman" w:hAnsi="Times New Roman" w:eastAsia="Times New Roman" w:cs="Times New Roman"/>
                      <w:sz w:val="22"/>
                      <w:szCs w:val="22"/>
                    </w:rPr>
                  </w:pPr>
                  <w:r>
                    <w:rPr>
                      <w:spacing w:val="-8"/>
                      <w:sz w:val="22"/>
                      <w:szCs w:val="22"/>
                    </w:rPr>
                    <w:t>≤</w:t>
                  </w:r>
                  <w:r>
                    <w:rPr>
                      <w:rFonts w:ascii="Times New Roman" w:hAnsi="Times New Roman" w:eastAsia="Times New Roman" w:cs="Times New Roman"/>
                      <w:spacing w:val="-8"/>
                      <w:sz w:val="22"/>
                      <w:szCs w:val="22"/>
                    </w:rPr>
                    <w:t>10</w:t>
                  </w:r>
                </w:p>
              </w:tc>
              <w:tc>
                <w:tcPr>
                  <w:tcW w:w="956" w:type="dxa"/>
                  <w:vAlign w:val="top"/>
                </w:tcPr>
                <w:p w14:paraId="10B0F46C">
                  <w:pPr>
                    <w:spacing w:line="281" w:lineRule="auto"/>
                    <w:rPr>
                      <w:rFonts w:ascii="Arial"/>
                      <w:sz w:val="21"/>
                    </w:rPr>
                  </w:pPr>
                </w:p>
                <w:p w14:paraId="48229ACF">
                  <w:pPr>
                    <w:pStyle w:val="6"/>
                    <w:spacing w:before="72" w:line="232" w:lineRule="auto"/>
                    <w:jc w:val="right"/>
                    <w:rPr>
                      <w:sz w:val="22"/>
                      <w:szCs w:val="22"/>
                    </w:rPr>
                  </w:pPr>
                  <w:r>
                    <w:rPr>
                      <w:spacing w:val="-14"/>
                      <w:sz w:val="22"/>
                      <w:szCs w:val="22"/>
                    </w:rPr>
                    <w:t>≤</w:t>
                  </w:r>
                  <w:r>
                    <w:rPr>
                      <w:rFonts w:ascii="Times New Roman" w:hAnsi="Times New Roman" w:eastAsia="Times New Roman" w:cs="Times New Roman"/>
                      <w:spacing w:val="-14"/>
                      <w:sz w:val="22"/>
                      <w:szCs w:val="22"/>
                    </w:rPr>
                    <w:t>5</w:t>
                  </w:r>
                  <w:r>
                    <w:rPr>
                      <w:spacing w:val="-14"/>
                      <w:sz w:val="22"/>
                      <w:szCs w:val="22"/>
                    </w:rPr>
                    <w:t>（</w:t>
                  </w:r>
                  <w:r>
                    <w:rPr>
                      <w:rFonts w:ascii="Times New Roman" w:hAnsi="Times New Roman" w:eastAsia="Times New Roman" w:cs="Times New Roman"/>
                      <w:spacing w:val="-14"/>
                      <w:sz w:val="22"/>
                      <w:szCs w:val="22"/>
                    </w:rPr>
                    <w:t>8</w:t>
                  </w:r>
                  <w:r>
                    <w:rPr>
                      <w:spacing w:val="-14"/>
                      <w:sz w:val="22"/>
                      <w:szCs w:val="22"/>
                    </w:rPr>
                    <w:t>）</w:t>
                  </w:r>
                </w:p>
                <w:p w14:paraId="6AB12A6B">
                  <w:pPr>
                    <w:spacing w:before="54" w:line="193" w:lineRule="auto"/>
                    <w:ind w:left="38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47" w:type="dxa"/>
                  <w:vAlign w:val="top"/>
                </w:tcPr>
                <w:p w14:paraId="28C5858E">
                  <w:pPr>
                    <w:spacing w:line="428" w:lineRule="auto"/>
                    <w:rPr>
                      <w:rFonts w:ascii="Arial"/>
                      <w:sz w:val="21"/>
                    </w:rPr>
                  </w:pPr>
                </w:p>
                <w:p w14:paraId="20538031">
                  <w:pPr>
                    <w:pStyle w:val="6"/>
                    <w:spacing w:before="72" w:line="237" w:lineRule="auto"/>
                    <w:ind w:left="226"/>
                    <w:rPr>
                      <w:rFonts w:ascii="Times New Roman" w:hAnsi="Times New Roman" w:eastAsia="Times New Roman" w:cs="Times New Roman"/>
                      <w:sz w:val="22"/>
                      <w:szCs w:val="22"/>
                    </w:rPr>
                  </w:pPr>
                  <w:r>
                    <w:rPr>
                      <w:spacing w:val="-8"/>
                      <w:sz w:val="22"/>
                      <w:szCs w:val="22"/>
                    </w:rPr>
                    <w:t>≤</w:t>
                  </w:r>
                  <w:r>
                    <w:rPr>
                      <w:rFonts w:ascii="Times New Roman" w:hAnsi="Times New Roman" w:eastAsia="Times New Roman" w:cs="Times New Roman"/>
                      <w:spacing w:val="-8"/>
                      <w:sz w:val="22"/>
                      <w:szCs w:val="22"/>
                    </w:rPr>
                    <w:t>10</w:t>
                  </w:r>
                </w:p>
              </w:tc>
              <w:tc>
                <w:tcPr>
                  <w:tcW w:w="990" w:type="dxa"/>
                  <w:vAlign w:val="top"/>
                </w:tcPr>
                <w:p w14:paraId="4AC83ED4">
                  <w:pPr>
                    <w:spacing w:line="429" w:lineRule="auto"/>
                    <w:rPr>
                      <w:rFonts w:ascii="Arial"/>
                      <w:sz w:val="21"/>
                    </w:rPr>
                  </w:pPr>
                </w:p>
                <w:p w14:paraId="2E575EC1">
                  <w:pPr>
                    <w:pStyle w:val="6"/>
                    <w:spacing w:before="72" w:line="236" w:lineRule="auto"/>
                    <w:ind w:left="267"/>
                    <w:rPr>
                      <w:rFonts w:ascii="Times New Roman" w:hAnsi="Times New Roman" w:eastAsia="Times New Roman" w:cs="Times New Roman"/>
                      <w:sz w:val="22"/>
                      <w:szCs w:val="22"/>
                    </w:rPr>
                  </w:pPr>
                  <w:r>
                    <w:rPr>
                      <w:spacing w:val="-6"/>
                      <w:sz w:val="22"/>
                      <w:szCs w:val="22"/>
                    </w:rPr>
                    <w:t>≤</w:t>
                  </w:r>
                  <w:r>
                    <w:rPr>
                      <w:rFonts w:ascii="Times New Roman" w:hAnsi="Times New Roman" w:eastAsia="Times New Roman" w:cs="Times New Roman"/>
                      <w:spacing w:val="-6"/>
                      <w:sz w:val="22"/>
                      <w:szCs w:val="22"/>
                    </w:rPr>
                    <w:t>1.0</w:t>
                  </w:r>
                </w:p>
              </w:tc>
            </w:tr>
          </w:tbl>
          <w:p w14:paraId="437DBEEA">
            <w:pPr>
              <w:pStyle w:val="6"/>
              <w:spacing w:before="50" w:line="254" w:lineRule="auto"/>
              <w:ind w:left="115" w:right="155" w:hanging="4"/>
              <w:rPr>
                <w:sz w:val="22"/>
                <w:szCs w:val="22"/>
              </w:rPr>
            </w:pPr>
            <w:r>
              <w:rPr>
                <w:spacing w:val="-1"/>
                <w:sz w:val="22"/>
                <w:szCs w:val="22"/>
              </w:rPr>
              <w:t>注：①</w:t>
            </w:r>
            <w:r>
              <w:rPr>
                <w:rFonts w:ascii="Times New Roman" w:hAnsi="Times New Roman" w:eastAsia="Times New Roman" w:cs="Times New Roman"/>
                <w:spacing w:val="-1"/>
                <w:sz w:val="22"/>
                <w:szCs w:val="22"/>
              </w:rPr>
              <w:t>*</w:t>
            </w:r>
            <w:r>
              <w:rPr>
                <w:spacing w:val="-1"/>
                <w:sz w:val="22"/>
                <w:szCs w:val="22"/>
              </w:rPr>
              <w:t>参照执行《污水排入城镇下水道水质标准》（</w:t>
            </w:r>
            <w:r>
              <w:rPr>
                <w:rFonts w:ascii="Times New Roman" w:hAnsi="Times New Roman" w:eastAsia="Times New Roman" w:cs="Times New Roman"/>
                <w:spacing w:val="-1"/>
                <w:sz w:val="22"/>
                <w:szCs w:val="22"/>
              </w:rPr>
              <w:t>GB/T 31962-2015</w:t>
            </w:r>
            <w:r>
              <w:rPr>
                <w:spacing w:val="10"/>
                <w:sz w:val="22"/>
                <w:szCs w:val="22"/>
              </w:rPr>
              <w:t>）；</w:t>
            </w:r>
            <w:r>
              <w:rPr>
                <w:spacing w:val="-1"/>
                <w:sz w:val="22"/>
                <w:szCs w:val="22"/>
              </w:rPr>
              <w:t>②</w:t>
            </w:r>
            <w:r>
              <w:rPr>
                <w:rFonts w:ascii="Times New Roman" w:hAnsi="Times New Roman" w:eastAsia="Times New Roman" w:cs="Times New Roman"/>
                <w:spacing w:val="-1"/>
                <w:position w:val="7"/>
                <w:sz w:val="14"/>
                <w:szCs w:val="14"/>
              </w:rPr>
              <w:t>@</w:t>
            </w:r>
            <w:r>
              <w:rPr>
                <w:spacing w:val="-1"/>
                <w:sz w:val="22"/>
                <w:szCs w:val="22"/>
              </w:rPr>
              <w:t>括号</w:t>
            </w:r>
            <w:r>
              <w:rPr>
                <w:spacing w:val="-11"/>
                <w:sz w:val="22"/>
                <w:szCs w:val="22"/>
              </w:rPr>
              <w:t>外数值为水温＞</w:t>
            </w:r>
            <w:r>
              <w:rPr>
                <w:rFonts w:ascii="Times New Roman" w:hAnsi="Times New Roman" w:eastAsia="Times New Roman" w:cs="Times New Roman"/>
                <w:spacing w:val="-11"/>
                <w:sz w:val="22"/>
                <w:szCs w:val="22"/>
              </w:rPr>
              <w:t>12℃</w:t>
            </w:r>
            <w:r>
              <w:rPr>
                <w:spacing w:val="-11"/>
                <w:sz w:val="22"/>
                <w:szCs w:val="22"/>
              </w:rPr>
              <w:t>时的控制指标，括号内数值为水温≤</w:t>
            </w:r>
            <w:r>
              <w:rPr>
                <w:rFonts w:ascii="Times New Roman" w:hAnsi="Times New Roman" w:eastAsia="Times New Roman" w:cs="Times New Roman"/>
                <w:spacing w:val="-11"/>
                <w:sz w:val="22"/>
                <w:szCs w:val="22"/>
              </w:rPr>
              <w:t>12℃</w:t>
            </w:r>
            <w:r>
              <w:rPr>
                <w:spacing w:val="-11"/>
                <w:sz w:val="22"/>
                <w:szCs w:val="22"/>
              </w:rPr>
              <w:t>时的控制指标。</w:t>
            </w:r>
          </w:p>
          <w:p w14:paraId="147374E3">
            <w:pPr>
              <w:pStyle w:val="6"/>
              <w:spacing w:before="89" w:line="227" w:lineRule="auto"/>
              <w:ind w:left="106"/>
            </w:pPr>
            <w:r>
              <w:rPr>
                <w:rFonts w:ascii="Times New Roman" w:hAnsi="Times New Roman" w:eastAsia="Times New Roman" w:cs="Times New Roman"/>
                <w:b/>
                <w:bCs/>
                <w:spacing w:val="3"/>
              </w:rPr>
              <w:t>3.3.3</w:t>
            </w:r>
            <w:r>
              <w:rPr>
                <w:rFonts w:ascii="Times New Roman" w:hAnsi="Times New Roman" w:eastAsia="Times New Roman" w:cs="Times New Roman"/>
                <w:b/>
                <w:bCs/>
                <w:spacing w:val="33"/>
                <w:w w:val="101"/>
              </w:rPr>
              <w:t xml:space="preserve"> </w:t>
            </w:r>
            <w:r>
              <w:rPr>
                <w:b/>
                <w:bCs/>
                <w:spacing w:val="3"/>
              </w:rPr>
              <w:t>噪声排放标准</w:t>
            </w:r>
          </w:p>
          <w:p w14:paraId="696814D7">
            <w:pPr>
              <w:pStyle w:val="6"/>
              <w:spacing w:before="153" w:line="340" w:lineRule="auto"/>
              <w:ind w:left="112" w:right="108" w:firstLine="524"/>
              <w:jc w:val="both"/>
            </w:pPr>
            <w:r>
              <w:rPr>
                <w:spacing w:val="9"/>
              </w:rPr>
              <w:t>项目营运期北侧紧邻城市主干路，东侧厂界噪声执行《工业企业厂</w:t>
            </w:r>
            <w:r>
              <w:rPr>
                <w:spacing w:val="8"/>
              </w:rPr>
              <w:t>界环境噪声排放标准》（</w:t>
            </w:r>
            <w:r>
              <w:rPr>
                <w:rFonts w:ascii="Times New Roman" w:hAnsi="Times New Roman" w:eastAsia="Times New Roman" w:cs="Times New Roman"/>
              </w:rPr>
              <w:t>GB</w:t>
            </w:r>
            <w:r>
              <w:rPr>
                <w:rFonts w:ascii="Times New Roman" w:hAnsi="Times New Roman" w:eastAsia="Times New Roman" w:cs="Times New Roman"/>
                <w:spacing w:val="8"/>
              </w:rPr>
              <w:t>12348-2008</w:t>
            </w:r>
            <w:r>
              <w:rPr>
                <w:spacing w:val="8"/>
              </w:rPr>
              <w:t>）中</w:t>
            </w:r>
            <w:r>
              <w:rPr>
                <w:spacing w:val="-53"/>
              </w:rPr>
              <w:t xml:space="preserve"> </w:t>
            </w:r>
            <w:r>
              <w:rPr>
                <w:rFonts w:ascii="Times New Roman" w:hAnsi="Times New Roman" w:eastAsia="Times New Roman" w:cs="Times New Roman"/>
                <w:spacing w:val="8"/>
              </w:rPr>
              <w:t xml:space="preserve">4 </w:t>
            </w:r>
            <w:r>
              <w:rPr>
                <w:spacing w:val="8"/>
              </w:rPr>
              <w:t>类标准</w:t>
            </w:r>
            <w:r>
              <w:rPr>
                <w:spacing w:val="7"/>
              </w:rPr>
              <w:t>，其余厂界执行</w:t>
            </w:r>
            <w:r>
              <w:rPr>
                <w:spacing w:val="-55"/>
              </w:rPr>
              <w:t xml:space="preserve"> </w:t>
            </w:r>
            <w:r>
              <w:rPr>
                <w:rFonts w:ascii="Times New Roman" w:hAnsi="Times New Roman" w:eastAsia="Times New Roman" w:cs="Times New Roman"/>
                <w:spacing w:val="7"/>
              </w:rPr>
              <w:t>2</w:t>
            </w:r>
            <w:r>
              <w:rPr>
                <w:spacing w:val="6"/>
              </w:rPr>
              <w:t>类标准。标准值详见表</w:t>
            </w:r>
            <w:r>
              <w:rPr>
                <w:spacing w:val="-47"/>
              </w:rPr>
              <w:t xml:space="preserve"> </w:t>
            </w:r>
            <w:r>
              <w:rPr>
                <w:rFonts w:ascii="Times New Roman" w:hAnsi="Times New Roman" w:eastAsia="Times New Roman" w:cs="Times New Roman"/>
                <w:spacing w:val="6"/>
              </w:rPr>
              <w:t>3.3-6</w:t>
            </w:r>
            <w:r>
              <w:rPr>
                <w:spacing w:val="6"/>
              </w:rPr>
              <w:t>。</w:t>
            </w:r>
          </w:p>
          <w:p w14:paraId="64355AED">
            <w:pPr>
              <w:pStyle w:val="6"/>
              <w:spacing w:line="219" w:lineRule="auto"/>
              <w:ind w:left="903"/>
              <w:rPr>
                <w:rFonts w:ascii="Times New Roman" w:hAnsi="Times New Roman" w:eastAsia="Times New Roman" w:cs="Times New Roman"/>
              </w:rPr>
            </w:pPr>
            <w:r>
              <w:rPr>
                <w:spacing w:val="7"/>
              </w:rPr>
              <w:t>表</w:t>
            </w:r>
            <w:r>
              <w:rPr>
                <w:spacing w:val="-49"/>
              </w:rPr>
              <w:t xml:space="preserve"> </w:t>
            </w:r>
            <w:r>
              <w:rPr>
                <w:rFonts w:ascii="Times New Roman" w:hAnsi="Times New Roman" w:eastAsia="Times New Roman" w:cs="Times New Roman"/>
                <w:spacing w:val="7"/>
              </w:rPr>
              <w:t xml:space="preserve">3.3-6    </w:t>
            </w:r>
            <w:r>
              <w:rPr>
                <w:spacing w:val="7"/>
              </w:rPr>
              <w:t>工业企业场界环境噪声排放标准  单位：</w:t>
            </w:r>
            <w:r>
              <w:rPr>
                <w:rFonts w:ascii="Times New Roman" w:hAnsi="Times New Roman" w:eastAsia="Times New Roman" w:cs="Times New Roman"/>
              </w:rPr>
              <w:t>dB</w:t>
            </w:r>
            <w:r>
              <w:rPr>
                <w:rFonts w:ascii="Times New Roman" w:hAnsi="Times New Roman" w:eastAsia="Times New Roman" w:cs="Times New Roman"/>
                <w:spacing w:val="7"/>
              </w:rPr>
              <w:t>(</w:t>
            </w:r>
            <w:r>
              <w:rPr>
                <w:rFonts w:ascii="Times New Roman" w:hAnsi="Times New Roman" w:eastAsia="Times New Roman" w:cs="Times New Roman"/>
                <w:spacing w:val="6"/>
              </w:rPr>
              <w:t>A)</w:t>
            </w:r>
          </w:p>
          <w:p w14:paraId="0B29A78C">
            <w:pPr>
              <w:spacing w:line="17" w:lineRule="exact"/>
            </w:pPr>
          </w:p>
          <w:tbl>
            <w:tblPr>
              <w:tblStyle w:val="5"/>
              <w:tblW w:w="8049"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60"/>
              <w:gridCol w:w="2942"/>
              <w:gridCol w:w="2947"/>
            </w:tblGrid>
            <w:tr w14:paraId="233CD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160" w:type="dxa"/>
                  <w:vAlign w:val="top"/>
                </w:tcPr>
                <w:p w14:paraId="6FDA3989">
                  <w:pPr>
                    <w:pStyle w:val="6"/>
                    <w:spacing w:before="38" w:line="205" w:lineRule="auto"/>
                    <w:ind w:left="867"/>
                    <w:rPr>
                      <w:sz w:val="22"/>
                      <w:szCs w:val="22"/>
                    </w:rPr>
                  </w:pPr>
                  <w:r>
                    <w:rPr>
                      <w:spacing w:val="-4"/>
                      <w:sz w:val="22"/>
                      <w:szCs w:val="22"/>
                    </w:rPr>
                    <w:t>类别</w:t>
                  </w:r>
                </w:p>
              </w:tc>
              <w:tc>
                <w:tcPr>
                  <w:tcW w:w="2942" w:type="dxa"/>
                  <w:vAlign w:val="top"/>
                </w:tcPr>
                <w:p w14:paraId="3BC8A437">
                  <w:pPr>
                    <w:pStyle w:val="6"/>
                    <w:spacing w:before="38" w:line="205" w:lineRule="auto"/>
                    <w:ind w:left="1257"/>
                    <w:rPr>
                      <w:sz w:val="22"/>
                      <w:szCs w:val="22"/>
                    </w:rPr>
                  </w:pPr>
                  <w:r>
                    <w:rPr>
                      <w:spacing w:val="-3"/>
                      <w:sz w:val="22"/>
                      <w:szCs w:val="22"/>
                    </w:rPr>
                    <w:t>昼间</w:t>
                  </w:r>
                </w:p>
              </w:tc>
              <w:tc>
                <w:tcPr>
                  <w:tcW w:w="2947" w:type="dxa"/>
                  <w:vAlign w:val="top"/>
                </w:tcPr>
                <w:p w14:paraId="2ED40CD0">
                  <w:pPr>
                    <w:pStyle w:val="6"/>
                    <w:spacing w:before="38" w:line="205" w:lineRule="auto"/>
                    <w:ind w:left="1262"/>
                    <w:rPr>
                      <w:sz w:val="22"/>
                      <w:szCs w:val="22"/>
                    </w:rPr>
                  </w:pPr>
                  <w:r>
                    <w:rPr>
                      <w:spacing w:val="-6"/>
                      <w:sz w:val="22"/>
                      <w:szCs w:val="22"/>
                    </w:rPr>
                    <w:t>夜间</w:t>
                  </w:r>
                </w:p>
              </w:tc>
            </w:tr>
            <w:tr w14:paraId="47AF9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2160" w:type="dxa"/>
                  <w:vAlign w:val="top"/>
                </w:tcPr>
                <w:p w14:paraId="6EC5C4B5">
                  <w:pPr>
                    <w:pStyle w:val="6"/>
                    <w:spacing w:before="33" w:line="206" w:lineRule="auto"/>
                    <w:ind w:left="889"/>
                    <w:rPr>
                      <w:sz w:val="22"/>
                      <w:szCs w:val="22"/>
                    </w:rPr>
                  </w:pPr>
                  <w:r>
                    <w:rPr>
                      <w:rFonts w:ascii="Times New Roman" w:hAnsi="Times New Roman" w:eastAsia="Times New Roman" w:cs="Times New Roman"/>
                      <w:spacing w:val="-3"/>
                      <w:sz w:val="22"/>
                      <w:szCs w:val="22"/>
                    </w:rPr>
                    <w:t>2</w:t>
                  </w:r>
                  <w:r>
                    <w:rPr>
                      <w:rFonts w:ascii="Times New Roman" w:hAnsi="Times New Roman" w:eastAsia="Times New Roman" w:cs="Times New Roman"/>
                      <w:spacing w:val="9"/>
                      <w:sz w:val="22"/>
                      <w:szCs w:val="22"/>
                    </w:rPr>
                    <w:t xml:space="preserve"> </w:t>
                  </w:r>
                  <w:r>
                    <w:rPr>
                      <w:spacing w:val="-3"/>
                      <w:sz w:val="22"/>
                      <w:szCs w:val="22"/>
                    </w:rPr>
                    <w:t>类</w:t>
                  </w:r>
                </w:p>
              </w:tc>
              <w:tc>
                <w:tcPr>
                  <w:tcW w:w="2942" w:type="dxa"/>
                  <w:vAlign w:val="top"/>
                </w:tcPr>
                <w:p w14:paraId="2FBF1C29">
                  <w:pPr>
                    <w:spacing w:before="71" w:line="189" w:lineRule="auto"/>
                    <w:ind w:left="136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2947" w:type="dxa"/>
                  <w:vAlign w:val="top"/>
                </w:tcPr>
                <w:p w14:paraId="2C2FAF7C">
                  <w:pPr>
                    <w:spacing w:before="71" w:line="189" w:lineRule="auto"/>
                    <w:ind w:left="137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r>
            <w:tr w14:paraId="12B5D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160" w:type="dxa"/>
                  <w:vAlign w:val="top"/>
                </w:tcPr>
                <w:p w14:paraId="68EC43B7">
                  <w:pPr>
                    <w:pStyle w:val="6"/>
                    <w:spacing w:before="33" w:line="209" w:lineRule="auto"/>
                    <w:ind w:left="888"/>
                    <w:rPr>
                      <w:sz w:val="22"/>
                      <w:szCs w:val="22"/>
                    </w:rPr>
                  </w:pPr>
                  <w:r>
                    <w:rPr>
                      <w:rFonts w:ascii="Times New Roman" w:hAnsi="Times New Roman" w:eastAsia="Times New Roman" w:cs="Times New Roman"/>
                      <w:spacing w:val="-2"/>
                      <w:sz w:val="22"/>
                      <w:szCs w:val="22"/>
                    </w:rPr>
                    <w:t>4</w:t>
                  </w:r>
                  <w:r>
                    <w:rPr>
                      <w:rFonts w:ascii="Times New Roman" w:hAnsi="Times New Roman" w:eastAsia="Times New Roman" w:cs="Times New Roman"/>
                      <w:spacing w:val="8"/>
                      <w:sz w:val="22"/>
                      <w:szCs w:val="22"/>
                    </w:rPr>
                    <w:t xml:space="preserve"> </w:t>
                  </w:r>
                  <w:r>
                    <w:rPr>
                      <w:spacing w:val="-2"/>
                      <w:sz w:val="22"/>
                      <w:szCs w:val="22"/>
                    </w:rPr>
                    <w:t>类</w:t>
                  </w:r>
                </w:p>
              </w:tc>
              <w:tc>
                <w:tcPr>
                  <w:tcW w:w="2942" w:type="dxa"/>
                  <w:vAlign w:val="top"/>
                </w:tcPr>
                <w:p w14:paraId="721AC9EA">
                  <w:pPr>
                    <w:spacing w:before="72" w:line="189" w:lineRule="auto"/>
                    <w:ind w:left="136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70</w:t>
                  </w:r>
                </w:p>
              </w:tc>
              <w:tc>
                <w:tcPr>
                  <w:tcW w:w="2947" w:type="dxa"/>
                  <w:vAlign w:val="top"/>
                </w:tcPr>
                <w:p w14:paraId="1CC3D232">
                  <w:pPr>
                    <w:spacing w:before="75" w:line="186" w:lineRule="auto"/>
                    <w:ind w:left="137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55</w:t>
                  </w:r>
                </w:p>
              </w:tc>
            </w:tr>
          </w:tbl>
          <w:p w14:paraId="380773E6">
            <w:pPr>
              <w:spacing w:line="260" w:lineRule="auto"/>
              <w:rPr>
                <w:rFonts w:ascii="Arial"/>
                <w:sz w:val="21"/>
              </w:rPr>
            </w:pPr>
          </w:p>
          <w:p w14:paraId="02281477">
            <w:pPr>
              <w:spacing w:line="260" w:lineRule="auto"/>
              <w:rPr>
                <w:rFonts w:ascii="Arial"/>
                <w:sz w:val="21"/>
              </w:rPr>
            </w:pPr>
          </w:p>
          <w:p w14:paraId="1112CF8B">
            <w:pPr>
              <w:pStyle w:val="6"/>
              <w:spacing w:before="81" w:line="227" w:lineRule="auto"/>
              <w:ind w:left="106"/>
            </w:pPr>
            <w:r>
              <w:rPr>
                <w:rFonts w:ascii="Times New Roman" w:hAnsi="Times New Roman" w:eastAsia="Times New Roman" w:cs="Times New Roman"/>
                <w:b/>
                <w:bCs/>
                <w:spacing w:val="1"/>
              </w:rPr>
              <w:t>3.3.4</w:t>
            </w:r>
            <w:r>
              <w:rPr>
                <w:rFonts w:ascii="Times New Roman" w:hAnsi="Times New Roman" w:eastAsia="Times New Roman" w:cs="Times New Roman"/>
                <w:b/>
                <w:bCs/>
                <w:spacing w:val="39"/>
                <w:w w:val="101"/>
              </w:rPr>
              <w:t xml:space="preserve"> </w:t>
            </w:r>
            <w:r>
              <w:rPr>
                <w:b/>
                <w:bCs/>
                <w:spacing w:val="1"/>
              </w:rPr>
              <w:t>固体废物</w:t>
            </w:r>
          </w:p>
          <w:p w14:paraId="57224755">
            <w:pPr>
              <w:pStyle w:val="6"/>
              <w:spacing w:before="152" w:line="226" w:lineRule="auto"/>
              <w:ind w:left="635"/>
              <w:outlineLvl w:val="0"/>
            </w:pPr>
            <w:r>
              <w:rPr>
                <w:spacing w:val="9"/>
              </w:rPr>
              <w:t>生活垃圾实行分类收集，由环卫部门统一收集处置；危险废物执行</w:t>
            </w:r>
          </w:p>
          <w:p w14:paraId="4E482875">
            <w:pPr>
              <w:pStyle w:val="6"/>
              <w:spacing w:before="153" w:line="312" w:lineRule="auto"/>
              <w:ind w:left="112" w:right="108" w:firstLine="5"/>
              <w:jc w:val="both"/>
            </w:pPr>
            <w:r>
              <w:rPr>
                <w:spacing w:val="7"/>
              </w:rPr>
              <w:t>《危险废物贮存污染控制标准》（</w:t>
            </w:r>
            <w:r>
              <w:rPr>
                <w:rFonts w:ascii="Times New Roman" w:hAnsi="Times New Roman" w:eastAsia="Times New Roman" w:cs="Times New Roman"/>
              </w:rPr>
              <w:t>GB</w:t>
            </w:r>
            <w:r>
              <w:rPr>
                <w:rFonts w:ascii="Times New Roman" w:hAnsi="Times New Roman" w:eastAsia="Times New Roman" w:cs="Times New Roman"/>
                <w:spacing w:val="7"/>
              </w:rPr>
              <w:t>18597-</w:t>
            </w:r>
            <w:r>
              <w:rPr>
                <w:rFonts w:ascii="Times New Roman" w:hAnsi="Times New Roman" w:eastAsia="Times New Roman" w:cs="Times New Roman"/>
                <w:spacing w:val="6"/>
              </w:rPr>
              <w:t>2023</w:t>
            </w:r>
            <w:r>
              <w:rPr>
                <w:spacing w:val="6"/>
              </w:rPr>
              <w:t>）中相关要求，危险废</w:t>
            </w:r>
            <w:r>
              <w:rPr>
                <w:spacing w:val="9"/>
              </w:rPr>
              <w:t>物转移执行《危险废物转移管理办法》（生态环境部 公安部 交通运输</w:t>
            </w:r>
            <w:r>
              <w:rPr>
                <w:spacing w:val="8"/>
              </w:rPr>
              <w:t>部 部令第</w:t>
            </w:r>
            <w:r>
              <w:rPr>
                <w:spacing w:val="-45"/>
              </w:rPr>
              <w:t xml:space="preserve"> </w:t>
            </w:r>
            <w:r>
              <w:rPr>
                <w:rFonts w:ascii="Times New Roman" w:hAnsi="Times New Roman" w:eastAsia="Times New Roman" w:cs="Times New Roman"/>
                <w:spacing w:val="8"/>
              </w:rPr>
              <w:t>23</w:t>
            </w:r>
            <w:r>
              <w:rPr>
                <w:rFonts w:ascii="Times New Roman" w:hAnsi="Times New Roman" w:eastAsia="Times New Roman" w:cs="Times New Roman"/>
                <w:spacing w:val="19"/>
              </w:rPr>
              <w:t xml:space="preserve"> </w:t>
            </w:r>
            <w:r>
              <w:rPr>
                <w:spacing w:val="8"/>
              </w:rPr>
              <w:t>号）中的相关要求；一般工业固废贮存过程应当满足相应</w:t>
            </w:r>
            <w:r>
              <w:rPr>
                <w:spacing w:val="9"/>
              </w:rPr>
              <w:t>防渗漏、防雨淋、防扬尘等环境保护要求。贮存应设置环境保护图形的</w:t>
            </w:r>
          </w:p>
        </w:tc>
      </w:tr>
    </w:tbl>
    <w:p w14:paraId="6659F14A">
      <w:pPr>
        <w:pStyle w:val="2"/>
        <w:rPr>
          <w:sz w:val="21"/>
        </w:rPr>
      </w:pPr>
    </w:p>
    <w:p w14:paraId="51DAAD15">
      <w:pPr>
        <w:rPr>
          <w:sz w:val="21"/>
          <w:szCs w:val="21"/>
        </w:rPr>
        <w:sectPr>
          <w:footerReference r:id="rId69" w:type="default"/>
          <w:pgSz w:w="11907" w:h="16840"/>
          <w:pgMar w:top="400" w:right="1418" w:bottom="1008" w:left="1418" w:header="0" w:footer="770" w:gutter="0"/>
          <w:cols w:space="720" w:num="1"/>
        </w:sectPr>
      </w:pPr>
    </w:p>
    <w:p w14:paraId="02F51AF3">
      <w:pPr>
        <w:spacing w:before="19"/>
      </w:pPr>
    </w:p>
    <w:p w14:paraId="5A159EEC">
      <w:pPr>
        <w:spacing w:before="19"/>
      </w:pPr>
    </w:p>
    <w:p w14:paraId="40AF032E">
      <w:pPr>
        <w:spacing w:before="19"/>
      </w:pPr>
    </w:p>
    <w:p w14:paraId="22A5F5CD">
      <w:pPr>
        <w:spacing w:before="18"/>
      </w:pPr>
    </w:p>
    <w:p w14:paraId="5568CE33">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5"/>
        <w:gridCol w:w="8270"/>
      </w:tblGrid>
      <w:tr w14:paraId="21CF1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95" w:type="dxa"/>
            <w:vAlign w:val="top"/>
          </w:tcPr>
          <w:p w14:paraId="62B40D4A">
            <w:pPr>
              <w:rPr>
                <w:rFonts w:ascii="Arial"/>
                <w:sz w:val="21"/>
              </w:rPr>
            </w:pPr>
          </w:p>
        </w:tc>
        <w:tc>
          <w:tcPr>
            <w:tcW w:w="8270" w:type="dxa"/>
            <w:vAlign w:val="top"/>
          </w:tcPr>
          <w:p w14:paraId="22BDD1D8">
            <w:pPr>
              <w:pStyle w:val="6"/>
              <w:spacing w:before="150" w:line="226" w:lineRule="auto"/>
              <w:ind w:left="116"/>
            </w:pPr>
            <w:r>
              <w:rPr>
                <w:spacing w:val="9"/>
              </w:rPr>
              <w:t>警示、提示标志；堆场不得混入生活垃圾或危</w:t>
            </w:r>
            <w:r>
              <w:rPr>
                <w:spacing w:val="8"/>
              </w:rPr>
              <w:t>险废物。</w:t>
            </w:r>
          </w:p>
        </w:tc>
      </w:tr>
      <w:tr w14:paraId="522BC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6" w:hRule="atLeast"/>
        </w:trPr>
        <w:tc>
          <w:tcPr>
            <w:tcW w:w="795" w:type="dxa"/>
            <w:vAlign w:val="top"/>
          </w:tcPr>
          <w:p w14:paraId="53BCA3C5">
            <w:pPr>
              <w:pStyle w:val="6"/>
              <w:spacing w:before="147" w:line="232" w:lineRule="auto"/>
              <w:ind w:left="151"/>
            </w:pPr>
            <w:r>
              <w:t>总量</w:t>
            </w:r>
          </w:p>
          <w:p w14:paraId="795B96EB">
            <w:pPr>
              <w:pStyle w:val="6"/>
              <w:spacing w:before="144" w:line="227" w:lineRule="auto"/>
              <w:ind w:left="143"/>
            </w:pPr>
            <w:r>
              <w:rPr>
                <w:spacing w:val="4"/>
              </w:rPr>
              <w:t>控制</w:t>
            </w:r>
          </w:p>
          <w:p w14:paraId="125F3319">
            <w:pPr>
              <w:pStyle w:val="6"/>
              <w:spacing w:before="153" w:line="227" w:lineRule="auto"/>
              <w:ind w:left="147"/>
              <w:outlineLvl w:val="0"/>
            </w:pPr>
            <w:r>
              <w:rPr>
                <w:spacing w:val="2"/>
              </w:rPr>
              <w:t>指标</w:t>
            </w:r>
          </w:p>
        </w:tc>
        <w:tc>
          <w:tcPr>
            <w:tcW w:w="8270" w:type="dxa"/>
            <w:vAlign w:val="top"/>
          </w:tcPr>
          <w:p w14:paraId="2D284937">
            <w:pPr>
              <w:spacing w:line="293" w:lineRule="auto"/>
              <w:rPr>
                <w:rFonts w:ascii="Arial"/>
                <w:sz w:val="21"/>
              </w:rPr>
            </w:pPr>
          </w:p>
          <w:p w14:paraId="41732B04">
            <w:pPr>
              <w:pStyle w:val="6"/>
              <w:spacing w:before="81" w:line="221" w:lineRule="auto"/>
              <w:ind w:left="632"/>
              <w:outlineLvl w:val="0"/>
            </w:pPr>
            <w:r>
              <w:rPr>
                <w:spacing w:val="7"/>
              </w:rPr>
              <w:t>评价计算出的总量为：</w:t>
            </w:r>
            <w:r>
              <w:rPr>
                <w:rFonts w:ascii="Times New Roman" w:hAnsi="Times New Roman" w:eastAsia="Times New Roman" w:cs="Times New Roman"/>
              </w:rPr>
              <w:t>COD</w:t>
            </w:r>
            <w:r>
              <w:rPr>
                <w:rFonts w:ascii="Times New Roman" w:hAnsi="Times New Roman" w:eastAsia="Times New Roman" w:cs="Times New Roman"/>
                <w:spacing w:val="7"/>
              </w:rPr>
              <w:t>0.039t/a</w:t>
            </w:r>
            <w:r>
              <w:rPr>
                <w:rFonts w:ascii="Times New Roman" w:hAnsi="Times New Roman" w:eastAsia="Times New Roman" w:cs="Times New Roman"/>
                <w:spacing w:val="-30"/>
              </w:rPr>
              <w:t xml:space="preserve"> </w:t>
            </w:r>
            <w:r>
              <w:rPr>
                <w:spacing w:val="7"/>
              </w:rPr>
              <w:t>、氨氮</w:t>
            </w:r>
            <w:r>
              <w:rPr>
                <w:spacing w:val="-46"/>
              </w:rPr>
              <w:t xml:space="preserve"> </w:t>
            </w:r>
            <w:r>
              <w:rPr>
                <w:rFonts w:ascii="Times New Roman" w:hAnsi="Times New Roman" w:eastAsia="Times New Roman" w:cs="Times New Roman"/>
                <w:spacing w:val="7"/>
              </w:rPr>
              <w:t>0.004(0.006)t/a</w:t>
            </w:r>
            <w:r>
              <w:rPr>
                <w:spacing w:val="7"/>
              </w:rPr>
              <w:t>；非甲烷</w:t>
            </w:r>
          </w:p>
          <w:p w14:paraId="3A5FD691">
            <w:pPr>
              <w:pStyle w:val="6"/>
              <w:spacing w:before="161" w:line="227" w:lineRule="auto"/>
              <w:ind w:left="119"/>
              <w:rPr>
                <w:rFonts w:ascii="Times New Roman" w:hAnsi="Times New Roman" w:eastAsia="Times New Roman" w:cs="Times New Roman"/>
              </w:rPr>
            </w:pPr>
            <w:r>
              <w:rPr>
                <w:spacing w:val="2"/>
              </w:rPr>
              <w:t>总烃</w:t>
            </w:r>
            <w:r>
              <w:rPr>
                <w:spacing w:val="16"/>
              </w:rPr>
              <w:t xml:space="preserve"> </w:t>
            </w:r>
            <w:r>
              <w:rPr>
                <w:rFonts w:ascii="Times New Roman" w:hAnsi="Times New Roman" w:eastAsia="Times New Roman" w:cs="Times New Roman"/>
                <w:spacing w:val="2"/>
              </w:rPr>
              <w:t>0.014t/a</w:t>
            </w:r>
          </w:p>
        </w:tc>
      </w:tr>
    </w:tbl>
    <w:p w14:paraId="23F190AE">
      <w:pPr>
        <w:pStyle w:val="2"/>
        <w:rPr>
          <w:sz w:val="21"/>
        </w:rPr>
      </w:pPr>
    </w:p>
    <w:p w14:paraId="735CD8CB">
      <w:pPr>
        <w:rPr>
          <w:sz w:val="21"/>
          <w:szCs w:val="21"/>
        </w:rPr>
        <w:sectPr>
          <w:footerReference r:id="rId70" w:type="default"/>
          <w:pgSz w:w="11907" w:h="16840"/>
          <w:pgMar w:top="400" w:right="1418" w:bottom="1008" w:left="1418" w:header="0" w:footer="770" w:gutter="0"/>
          <w:cols w:space="720" w:num="1"/>
        </w:sectPr>
      </w:pPr>
    </w:p>
    <w:p w14:paraId="1EE62145">
      <w:pPr>
        <w:pStyle w:val="2"/>
        <w:spacing w:line="248" w:lineRule="auto"/>
        <w:rPr>
          <w:sz w:val="21"/>
        </w:rPr>
      </w:pPr>
    </w:p>
    <w:p w14:paraId="22819CF3">
      <w:pPr>
        <w:pStyle w:val="2"/>
        <w:spacing w:line="248" w:lineRule="auto"/>
        <w:rPr>
          <w:sz w:val="21"/>
        </w:rPr>
      </w:pPr>
    </w:p>
    <w:p w14:paraId="10039572">
      <w:pPr>
        <w:pStyle w:val="2"/>
        <w:spacing w:line="248" w:lineRule="auto"/>
        <w:rPr>
          <w:sz w:val="21"/>
        </w:rPr>
      </w:pPr>
    </w:p>
    <w:p w14:paraId="50A0577C">
      <w:pPr>
        <w:pStyle w:val="2"/>
        <w:spacing w:line="248" w:lineRule="auto"/>
        <w:rPr>
          <w:sz w:val="21"/>
        </w:rPr>
      </w:pPr>
    </w:p>
    <w:p w14:paraId="7E33AFFC">
      <w:pPr>
        <w:pStyle w:val="2"/>
        <w:spacing w:line="249" w:lineRule="auto"/>
        <w:rPr>
          <w:sz w:val="21"/>
        </w:rPr>
      </w:pPr>
    </w:p>
    <w:p w14:paraId="74981722">
      <w:pPr>
        <w:spacing w:before="98" w:line="211" w:lineRule="auto"/>
        <w:ind w:left="2543"/>
        <w:rPr>
          <w:rFonts w:ascii="黑体" w:hAnsi="黑体" w:eastAsia="黑体" w:cs="黑体"/>
          <w:sz w:val="30"/>
          <w:szCs w:val="30"/>
        </w:rPr>
      </w:pPr>
      <w:r>
        <w:rPr>
          <w:rFonts w:ascii="黑体" w:hAnsi="黑体" w:eastAsia="黑体" w:cs="黑体"/>
          <w:spacing w:val="-3"/>
          <w:sz w:val="30"/>
          <w:szCs w:val="30"/>
        </w:rPr>
        <w:t>四、主要环境影响和保护措施</w:t>
      </w: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38D76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27" w:hRule="atLeast"/>
        </w:trPr>
        <w:tc>
          <w:tcPr>
            <w:tcW w:w="754" w:type="dxa"/>
            <w:tcBorders>
              <w:right w:val="single" w:color="000000" w:sz="2" w:space="0"/>
            </w:tcBorders>
            <w:vAlign w:val="top"/>
          </w:tcPr>
          <w:p w14:paraId="53E95BA0">
            <w:pPr>
              <w:rPr>
                <w:rFonts w:ascii="Arial"/>
                <w:sz w:val="21"/>
              </w:rPr>
            </w:pPr>
          </w:p>
          <w:p w14:paraId="7B93A52C">
            <w:pPr>
              <w:rPr>
                <w:rFonts w:ascii="Arial"/>
                <w:sz w:val="21"/>
              </w:rPr>
            </w:pPr>
          </w:p>
          <w:p w14:paraId="455870EB">
            <w:pPr>
              <w:rPr>
                <w:rFonts w:ascii="Arial"/>
                <w:sz w:val="21"/>
              </w:rPr>
            </w:pPr>
          </w:p>
          <w:p w14:paraId="15AA74D7">
            <w:pPr>
              <w:rPr>
                <w:rFonts w:ascii="Arial"/>
                <w:sz w:val="21"/>
              </w:rPr>
            </w:pPr>
          </w:p>
          <w:p w14:paraId="22817884">
            <w:pPr>
              <w:spacing w:line="241" w:lineRule="auto"/>
              <w:rPr>
                <w:rFonts w:ascii="Arial"/>
                <w:sz w:val="21"/>
              </w:rPr>
            </w:pPr>
          </w:p>
          <w:p w14:paraId="6FBF81F0">
            <w:pPr>
              <w:spacing w:line="241" w:lineRule="auto"/>
              <w:rPr>
                <w:rFonts w:ascii="Arial"/>
                <w:sz w:val="21"/>
              </w:rPr>
            </w:pPr>
          </w:p>
          <w:p w14:paraId="6ACF1C80">
            <w:pPr>
              <w:spacing w:line="241" w:lineRule="auto"/>
              <w:rPr>
                <w:rFonts w:ascii="Arial"/>
                <w:sz w:val="21"/>
              </w:rPr>
            </w:pPr>
          </w:p>
          <w:p w14:paraId="5885C3AE">
            <w:pPr>
              <w:spacing w:line="241" w:lineRule="auto"/>
              <w:rPr>
                <w:rFonts w:ascii="Arial"/>
                <w:sz w:val="21"/>
              </w:rPr>
            </w:pPr>
          </w:p>
          <w:p w14:paraId="7E80340F">
            <w:pPr>
              <w:spacing w:line="241" w:lineRule="auto"/>
              <w:rPr>
                <w:rFonts w:ascii="Arial"/>
                <w:sz w:val="21"/>
              </w:rPr>
            </w:pPr>
          </w:p>
          <w:p w14:paraId="50240E1F">
            <w:pPr>
              <w:spacing w:line="241" w:lineRule="auto"/>
              <w:rPr>
                <w:rFonts w:ascii="Arial"/>
                <w:sz w:val="21"/>
              </w:rPr>
            </w:pPr>
          </w:p>
          <w:p w14:paraId="1D50E663">
            <w:pPr>
              <w:spacing w:line="241" w:lineRule="auto"/>
              <w:rPr>
                <w:rFonts w:ascii="Arial"/>
                <w:sz w:val="21"/>
              </w:rPr>
            </w:pPr>
          </w:p>
          <w:p w14:paraId="0FF445AD">
            <w:pPr>
              <w:spacing w:line="241" w:lineRule="auto"/>
              <w:rPr>
                <w:rFonts w:ascii="Arial"/>
                <w:sz w:val="21"/>
              </w:rPr>
            </w:pPr>
          </w:p>
          <w:p w14:paraId="7E6D2288">
            <w:pPr>
              <w:spacing w:line="241" w:lineRule="auto"/>
              <w:rPr>
                <w:rFonts w:ascii="Arial"/>
                <w:sz w:val="21"/>
              </w:rPr>
            </w:pPr>
          </w:p>
          <w:p w14:paraId="6F83B5CD">
            <w:pPr>
              <w:spacing w:line="241" w:lineRule="auto"/>
              <w:rPr>
                <w:rFonts w:ascii="Arial"/>
                <w:sz w:val="21"/>
              </w:rPr>
            </w:pPr>
          </w:p>
          <w:p w14:paraId="4F2EB624">
            <w:pPr>
              <w:spacing w:line="241" w:lineRule="auto"/>
              <w:rPr>
                <w:rFonts w:ascii="Arial"/>
                <w:sz w:val="21"/>
              </w:rPr>
            </w:pPr>
          </w:p>
          <w:p w14:paraId="57EE0420">
            <w:pPr>
              <w:spacing w:line="241" w:lineRule="auto"/>
              <w:rPr>
                <w:rFonts w:ascii="Arial"/>
                <w:sz w:val="21"/>
              </w:rPr>
            </w:pPr>
          </w:p>
          <w:p w14:paraId="1F6DCCDF">
            <w:pPr>
              <w:spacing w:line="241" w:lineRule="auto"/>
              <w:rPr>
                <w:rFonts w:ascii="Arial"/>
                <w:sz w:val="21"/>
              </w:rPr>
            </w:pPr>
          </w:p>
          <w:p w14:paraId="6A350051">
            <w:pPr>
              <w:spacing w:line="241" w:lineRule="auto"/>
              <w:rPr>
                <w:rFonts w:ascii="Arial"/>
                <w:sz w:val="21"/>
              </w:rPr>
            </w:pPr>
          </w:p>
          <w:p w14:paraId="5E695958">
            <w:pPr>
              <w:spacing w:line="241" w:lineRule="auto"/>
              <w:rPr>
                <w:rFonts w:ascii="Arial"/>
                <w:sz w:val="21"/>
              </w:rPr>
            </w:pPr>
          </w:p>
          <w:p w14:paraId="567AD92A">
            <w:pPr>
              <w:spacing w:line="241" w:lineRule="auto"/>
              <w:rPr>
                <w:rFonts w:ascii="Arial"/>
                <w:sz w:val="21"/>
              </w:rPr>
            </w:pPr>
          </w:p>
          <w:p w14:paraId="03303323">
            <w:pPr>
              <w:spacing w:line="241" w:lineRule="auto"/>
              <w:rPr>
                <w:rFonts w:ascii="Arial"/>
                <w:sz w:val="21"/>
              </w:rPr>
            </w:pPr>
          </w:p>
          <w:p w14:paraId="2A09EECD">
            <w:pPr>
              <w:spacing w:line="241" w:lineRule="auto"/>
              <w:rPr>
                <w:rFonts w:ascii="Arial"/>
                <w:sz w:val="21"/>
              </w:rPr>
            </w:pPr>
          </w:p>
          <w:p w14:paraId="2CC2E92A">
            <w:pPr>
              <w:pStyle w:val="6"/>
              <w:spacing w:before="81" w:line="250" w:lineRule="auto"/>
              <w:ind w:left="119" w:right="117" w:hanging="2"/>
              <w:jc w:val="both"/>
            </w:pPr>
            <w:r>
              <w:rPr>
                <w:spacing w:val="4"/>
              </w:rPr>
              <w:t>施工</w:t>
            </w:r>
            <w:r>
              <w:rPr>
                <w:spacing w:val="3"/>
              </w:rPr>
              <w:t>期环境保护措</w:t>
            </w:r>
            <w:r>
              <w:rPr>
                <w:spacing w:val="34"/>
                <w:w w:val="137"/>
              </w:rPr>
              <w:t>施</w:t>
            </w:r>
          </w:p>
        </w:tc>
        <w:tc>
          <w:tcPr>
            <w:tcW w:w="8158" w:type="dxa"/>
            <w:tcBorders>
              <w:left w:val="single" w:color="000000" w:sz="2" w:space="0"/>
            </w:tcBorders>
            <w:vAlign w:val="top"/>
          </w:tcPr>
          <w:p w14:paraId="1B4A6CFB">
            <w:pPr>
              <w:pStyle w:val="6"/>
              <w:spacing w:before="149" w:line="227" w:lineRule="auto"/>
              <w:ind w:left="105"/>
            </w:pPr>
            <w:r>
              <w:rPr>
                <w:rFonts w:ascii="Times New Roman" w:hAnsi="Times New Roman" w:eastAsia="Times New Roman" w:cs="Times New Roman"/>
                <w:b/>
                <w:bCs/>
                <w:spacing w:val="6"/>
              </w:rPr>
              <w:t xml:space="preserve">4.1 </w:t>
            </w:r>
            <w:r>
              <w:rPr>
                <w:b/>
                <w:bCs/>
                <w:spacing w:val="6"/>
              </w:rPr>
              <w:t>施工期环境保护措施</w:t>
            </w:r>
          </w:p>
          <w:p w14:paraId="4354129E">
            <w:pPr>
              <w:pStyle w:val="6"/>
              <w:spacing w:before="153" w:line="227" w:lineRule="auto"/>
              <w:ind w:left="105"/>
            </w:pPr>
            <w:r>
              <w:rPr>
                <w:rFonts w:ascii="Times New Roman" w:hAnsi="Times New Roman" w:eastAsia="Times New Roman" w:cs="Times New Roman"/>
                <w:b/>
                <w:bCs/>
                <w:spacing w:val="6"/>
              </w:rPr>
              <w:t xml:space="preserve">4.1.1 </w:t>
            </w:r>
            <w:r>
              <w:rPr>
                <w:b/>
                <w:bCs/>
                <w:spacing w:val="6"/>
              </w:rPr>
              <w:t>施工期废气影响分析及其防治措施</w:t>
            </w:r>
          </w:p>
          <w:p w14:paraId="78B3899C">
            <w:pPr>
              <w:pStyle w:val="6"/>
              <w:spacing w:before="152" w:line="340" w:lineRule="auto"/>
              <w:ind w:left="108" w:right="103" w:firstLine="524"/>
            </w:pPr>
            <w:r>
              <w:rPr>
                <w:spacing w:val="5"/>
              </w:rPr>
              <w:t>项目施工期大气污染物主要为施工扬尘、施工机械尾气、运输车辆</w:t>
            </w:r>
            <w:r>
              <w:rPr>
                <w:spacing w:val="7"/>
              </w:rPr>
              <w:t>排尾气及装修废气。</w:t>
            </w:r>
          </w:p>
          <w:p w14:paraId="11C21193">
            <w:pPr>
              <w:pStyle w:val="6"/>
              <w:spacing w:line="228" w:lineRule="auto"/>
              <w:ind w:left="640"/>
            </w:pPr>
            <w:r>
              <w:rPr>
                <w:spacing w:val="6"/>
              </w:rPr>
              <w:t>（</w:t>
            </w:r>
            <w:r>
              <w:rPr>
                <w:rFonts w:ascii="Times New Roman" w:hAnsi="Times New Roman" w:eastAsia="Times New Roman" w:cs="Times New Roman"/>
                <w:spacing w:val="6"/>
              </w:rPr>
              <w:t>1</w:t>
            </w:r>
            <w:r>
              <w:rPr>
                <w:spacing w:val="6"/>
              </w:rPr>
              <w:t>）施工扬尘</w:t>
            </w:r>
          </w:p>
          <w:p w14:paraId="3872A4F0">
            <w:pPr>
              <w:pStyle w:val="6"/>
              <w:spacing w:before="150" w:line="340" w:lineRule="auto"/>
              <w:ind w:left="108" w:right="103" w:firstLine="519"/>
            </w:pPr>
            <w:r>
              <w:rPr>
                <w:spacing w:val="6"/>
              </w:rPr>
              <w:t>施工期粉尘污染属于面源，排放高度一般较低</w:t>
            </w:r>
            <w:r>
              <w:rPr>
                <w:spacing w:val="5"/>
              </w:rPr>
              <w:t>，颗粒度较大，污染</w:t>
            </w:r>
            <w:r>
              <w:rPr>
                <w:spacing w:val="8"/>
              </w:rPr>
              <w:t>扩散距离较近。施工期扬尘防治措施如下：</w:t>
            </w:r>
          </w:p>
          <w:p w14:paraId="0EF6C2B2">
            <w:pPr>
              <w:pStyle w:val="6"/>
              <w:spacing w:before="2" w:line="339" w:lineRule="auto"/>
              <w:ind w:left="107" w:right="103" w:firstLine="521"/>
            </w:pPr>
            <w:r>
              <w:rPr>
                <w:spacing w:val="6"/>
              </w:rPr>
              <w:t>运输道路及施工区应定时洒水；场地内土堆</w:t>
            </w:r>
            <w:r>
              <w:rPr>
                <w:spacing w:val="5"/>
              </w:rPr>
              <w:t>、料堆要加遮盖，防止</w:t>
            </w:r>
            <w:r>
              <w:rPr>
                <w:spacing w:val="6"/>
              </w:rPr>
              <w:t>扬尘的扩散；各施工阶段及时清除进出施工现场道路上的泥土、弃料以</w:t>
            </w:r>
            <w:r>
              <w:rPr>
                <w:spacing w:val="8"/>
              </w:rPr>
              <w:t>及轮胎上的泥土，防止二次扬尘污染。</w:t>
            </w:r>
          </w:p>
          <w:p w14:paraId="5A1BD640">
            <w:pPr>
              <w:pStyle w:val="6"/>
              <w:spacing w:before="1" w:line="225" w:lineRule="auto"/>
              <w:ind w:left="640"/>
            </w:pPr>
            <w:r>
              <w:rPr>
                <w:spacing w:val="7"/>
              </w:rPr>
              <w:t>（</w:t>
            </w:r>
            <w:r>
              <w:rPr>
                <w:rFonts w:ascii="Times New Roman" w:hAnsi="Times New Roman" w:eastAsia="Times New Roman" w:cs="Times New Roman"/>
                <w:spacing w:val="7"/>
              </w:rPr>
              <w:t>2</w:t>
            </w:r>
            <w:r>
              <w:rPr>
                <w:spacing w:val="7"/>
              </w:rPr>
              <w:t>）施工机械废气</w:t>
            </w:r>
          </w:p>
          <w:p w14:paraId="106261C5">
            <w:pPr>
              <w:pStyle w:val="6"/>
              <w:spacing w:before="150" w:line="340" w:lineRule="auto"/>
              <w:ind w:left="107" w:right="103" w:firstLine="524"/>
            </w:pPr>
            <w:r>
              <w:rPr>
                <w:spacing w:val="15"/>
              </w:rPr>
              <w:t>为减少项目施工期运输车辆及工程机械所排</w:t>
            </w:r>
            <w:r>
              <w:rPr>
                <w:spacing w:val="14"/>
              </w:rPr>
              <w:t>废气对周围环境空气</w:t>
            </w:r>
            <w:r>
              <w:rPr>
                <w:spacing w:val="6"/>
              </w:rPr>
              <w:t>的影响，施工期机械废气措施如下：运输、施工单位严禁使用超标排放污染物的车辆和机械，加强机械设备的保养与合理操作；各种机动车辆应保持车况良好，完善排烟系统，减轻施工期大气污染；禁止运输车辆超载、限值行车速度，避免沙土泄露，运输土方的车辆应有防止扬尘措</w:t>
            </w:r>
            <w:r>
              <w:rPr>
                <w:spacing w:val="8"/>
              </w:rPr>
              <w:t>施，避免材料的裸露运输。</w:t>
            </w:r>
          </w:p>
          <w:p w14:paraId="71E18D43">
            <w:pPr>
              <w:pStyle w:val="6"/>
              <w:spacing w:before="2" w:line="225" w:lineRule="auto"/>
              <w:ind w:left="105"/>
            </w:pPr>
            <w:r>
              <w:rPr>
                <w:rFonts w:ascii="Times New Roman" w:hAnsi="Times New Roman" w:eastAsia="Times New Roman" w:cs="Times New Roman"/>
                <w:b/>
                <w:bCs/>
                <w:spacing w:val="6"/>
              </w:rPr>
              <w:t xml:space="preserve">4.1.2 </w:t>
            </w:r>
            <w:r>
              <w:rPr>
                <w:b/>
                <w:bCs/>
                <w:spacing w:val="6"/>
              </w:rPr>
              <w:t>施工期废水影响分析及其防治措施</w:t>
            </w:r>
          </w:p>
          <w:p w14:paraId="306283AD">
            <w:pPr>
              <w:pStyle w:val="6"/>
              <w:spacing w:before="156" w:line="339" w:lineRule="auto"/>
              <w:ind w:left="108" w:right="249" w:firstLine="524"/>
            </w:pPr>
            <w:r>
              <w:rPr>
                <w:spacing w:val="9"/>
              </w:rPr>
              <w:t>项目施工期废水主要为施工作业产生的施工生产废水和施工人员</w:t>
            </w:r>
            <w:r>
              <w:rPr>
                <w:spacing w:val="7"/>
              </w:rPr>
              <w:t>排放的生活污水。</w:t>
            </w:r>
          </w:p>
          <w:p w14:paraId="109E44DB">
            <w:pPr>
              <w:pStyle w:val="6"/>
              <w:spacing w:line="340" w:lineRule="auto"/>
              <w:ind w:left="108" w:right="32" w:firstLine="532"/>
            </w:pPr>
            <w:r>
              <w:rPr>
                <w:spacing w:val="9"/>
              </w:rPr>
              <w:t>（</w:t>
            </w:r>
            <w:r>
              <w:rPr>
                <w:rFonts w:ascii="Times New Roman" w:hAnsi="Times New Roman" w:eastAsia="Times New Roman" w:cs="Times New Roman"/>
                <w:spacing w:val="9"/>
              </w:rPr>
              <w:t>1</w:t>
            </w:r>
            <w:r>
              <w:rPr>
                <w:spacing w:val="9"/>
              </w:rPr>
              <w:t>）施工生产废水：施工现场应设立简易沉淀池，施工生产废水</w:t>
            </w:r>
            <w:r>
              <w:rPr>
                <w:spacing w:val="8"/>
              </w:rPr>
              <w:t>通过沉淀处理后将上清液回用于设备及场地冲洗、洒水降尘，不外排。</w:t>
            </w:r>
          </w:p>
          <w:p w14:paraId="292AF0BF">
            <w:pPr>
              <w:pStyle w:val="6"/>
              <w:spacing w:before="3" w:line="339" w:lineRule="auto"/>
              <w:ind w:left="110" w:right="103" w:firstLine="530"/>
            </w:pPr>
            <w:r>
              <w:rPr>
                <w:spacing w:val="9"/>
              </w:rPr>
              <w:t>（</w:t>
            </w:r>
            <w:r>
              <w:rPr>
                <w:rFonts w:ascii="Times New Roman" w:hAnsi="Times New Roman" w:eastAsia="Times New Roman" w:cs="Times New Roman"/>
                <w:spacing w:val="9"/>
              </w:rPr>
              <w:t>2</w:t>
            </w:r>
            <w:r>
              <w:rPr>
                <w:spacing w:val="9"/>
              </w:rPr>
              <w:t>）生活污水：施工人员依托周边已建生活设施，且项目现场已</w:t>
            </w:r>
            <w:r>
              <w:rPr>
                <w:spacing w:val="6"/>
              </w:rPr>
              <w:t>建生活污水处理设施，项目施工人员产生的生活污水依托生化</w:t>
            </w:r>
            <w:r>
              <w:rPr>
                <w:spacing w:val="5"/>
              </w:rPr>
              <w:t>池处理后</w:t>
            </w:r>
            <w:r>
              <w:rPr>
                <w:spacing w:val="7"/>
              </w:rPr>
              <w:t>经市政污水管网。</w:t>
            </w:r>
          </w:p>
          <w:p w14:paraId="2673ED18">
            <w:pPr>
              <w:pStyle w:val="6"/>
              <w:spacing w:before="2" w:line="282" w:lineRule="auto"/>
              <w:ind w:left="125" w:right="165" w:firstLine="515"/>
            </w:pPr>
            <w:r>
              <w:rPr>
                <w:spacing w:val="7"/>
              </w:rPr>
              <w:t>（</w:t>
            </w:r>
            <w:r>
              <w:rPr>
                <w:rFonts w:ascii="Times New Roman" w:hAnsi="Times New Roman" w:eastAsia="Times New Roman" w:cs="Times New Roman"/>
                <w:spacing w:val="7"/>
              </w:rPr>
              <w:t>3</w:t>
            </w:r>
            <w:r>
              <w:rPr>
                <w:spacing w:val="7"/>
              </w:rPr>
              <w:t>）严格施工管理，文明施工，加强对机器设备的维护和保养，防止机械设备发生漏油现象。</w:t>
            </w:r>
          </w:p>
        </w:tc>
      </w:tr>
    </w:tbl>
    <w:p w14:paraId="05E4FEA1">
      <w:pPr>
        <w:pStyle w:val="2"/>
        <w:rPr>
          <w:sz w:val="21"/>
        </w:rPr>
      </w:pPr>
    </w:p>
    <w:p w14:paraId="41AB5890">
      <w:pPr>
        <w:rPr>
          <w:sz w:val="21"/>
          <w:szCs w:val="21"/>
        </w:rPr>
        <w:sectPr>
          <w:footerReference r:id="rId71" w:type="default"/>
          <w:pgSz w:w="11907" w:h="16840"/>
          <w:pgMar w:top="400" w:right="1490" w:bottom="1008" w:left="1489" w:header="0" w:footer="770" w:gutter="0"/>
          <w:cols w:space="720" w:num="1"/>
        </w:sectPr>
      </w:pPr>
    </w:p>
    <w:p w14:paraId="648A490F">
      <w:pPr>
        <w:spacing w:before="19"/>
      </w:pPr>
    </w:p>
    <w:p w14:paraId="2F1AB32E">
      <w:pPr>
        <w:spacing w:before="19"/>
      </w:pPr>
    </w:p>
    <w:p w14:paraId="2550E1B4">
      <w:pPr>
        <w:spacing w:before="19"/>
      </w:pPr>
    </w:p>
    <w:p w14:paraId="41ED9E9F">
      <w:pPr>
        <w:spacing w:before="18"/>
      </w:pPr>
    </w:p>
    <w:p w14:paraId="5FD2BBE7">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723E1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20" w:hRule="atLeast"/>
        </w:trPr>
        <w:tc>
          <w:tcPr>
            <w:tcW w:w="754" w:type="dxa"/>
            <w:tcBorders>
              <w:right w:val="single" w:color="000000" w:sz="2" w:space="0"/>
            </w:tcBorders>
            <w:vAlign w:val="top"/>
          </w:tcPr>
          <w:p w14:paraId="2E998F17">
            <w:pPr>
              <w:rPr>
                <w:rFonts w:ascii="Arial"/>
                <w:sz w:val="21"/>
              </w:rPr>
            </w:pPr>
          </w:p>
        </w:tc>
        <w:tc>
          <w:tcPr>
            <w:tcW w:w="8158" w:type="dxa"/>
            <w:tcBorders>
              <w:left w:val="single" w:color="000000" w:sz="2" w:space="0"/>
            </w:tcBorders>
            <w:vAlign w:val="top"/>
          </w:tcPr>
          <w:p w14:paraId="7BC96F2B">
            <w:pPr>
              <w:pStyle w:val="6"/>
              <w:spacing w:before="150" w:line="226" w:lineRule="auto"/>
              <w:ind w:left="629"/>
            </w:pPr>
            <w:r>
              <w:rPr>
                <w:spacing w:val="8"/>
              </w:rPr>
              <w:t>通过上述措施可减少项目施工期废水影响。</w:t>
            </w:r>
          </w:p>
          <w:p w14:paraId="1394B68E">
            <w:pPr>
              <w:pStyle w:val="6"/>
              <w:spacing w:before="154" w:line="227" w:lineRule="auto"/>
              <w:ind w:left="105"/>
            </w:pPr>
            <w:r>
              <w:rPr>
                <w:rFonts w:ascii="Times New Roman" w:hAnsi="Times New Roman" w:eastAsia="Times New Roman" w:cs="Times New Roman"/>
                <w:b/>
                <w:bCs/>
                <w:spacing w:val="6"/>
              </w:rPr>
              <w:t xml:space="preserve">4.1.3 </w:t>
            </w:r>
            <w:r>
              <w:rPr>
                <w:b/>
                <w:bCs/>
                <w:spacing w:val="6"/>
              </w:rPr>
              <w:t>施工期噪声影响分析及其防治措施</w:t>
            </w:r>
          </w:p>
          <w:p w14:paraId="665FC118">
            <w:pPr>
              <w:pStyle w:val="6"/>
              <w:spacing w:before="152" w:line="340" w:lineRule="auto"/>
              <w:ind w:left="108" w:right="103" w:firstLine="519"/>
            </w:pPr>
            <w:r>
              <w:rPr>
                <w:spacing w:val="6"/>
              </w:rPr>
              <w:t>施工期噪声源主要来自挖掘机、载重汽车、吊</w:t>
            </w:r>
            <w:r>
              <w:rPr>
                <w:spacing w:val="5"/>
              </w:rPr>
              <w:t>车等施工机具作业时</w:t>
            </w:r>
            <w:r>
              <w:rPr>
                <w:spacing w:val="7"/>
              </w:rPr>
              <w:t>产生的噪声，噪声值在</w:t>
            </w:r>
            <w:r>
              <w:rPr>
                <w:spacing w:val="-47"/>
              </w:rPr>
              <w:t xml:space="preserve"> </w:t>
            </w:r>
            <w:r>
              <w:rPr>
                <w:rFonts w:ascii="Times New Roman" w:hAnsi="Times New Roman" w:eastAsia="Times New Roman" w:cs="Times New Roman"/>
                <w:spacing w:val="7"/>
              </w:rPr>
              <w:t>70</w:t>
            </w:r>
            <w:r>
              <w:rPr>
                <w:spacing w:val="7"/>
              </w:rPr>
              <w:t>～</w:t>
            </w:r>
            <w:r>
              <w:rPr>
                <w:rFonts w:ascii="Times New Roman" w:hAnsi="Times New Roman" w:eastAsia="Times New Roman" w:cs="Times New Roman"/>
                <w:spacing w:val="7"/>
              </w:rPr>
              <w:t xml:space="preserve">90 </w:t>
            </w:r>
            <w:r>
              <w:rPr>
                <w:rFonts w:ascii="Times New Roman" w:hAnsi="Times New Roman" w:eastAsia="Times New Roman" w:cs="Times New Roman"/>
              </w:rPr>
              <w:t>dB</w:t>
            </w:r>
            <w:r>
              <w:rPr>
                <w:rFonts w:ascii="Times New Roman" w:hAnsi="Times New Roman" w:eastAsia="Times New Roman" w:cs="Times New Roman"/>
                <w:spacing w:val="7"/>
              </w:rPr>
              <w:t xml:space="preserve"> </w:t>
            </w:r>
            <w:r>
              <w:rPr>
                <w:spacing w:val="7"/>
              </w:rPr>
              <w:t>之间。</w:t>
            </w:r>
          </w:p>
          <w:p w14:paraId="58AB5047">
            <w:pPr>
              <w:pStyle w:val="6"/>
              <w:spacing w:before="1" w:line="339" w:lineRule="auto"/>
              <w:ind w:left="109" w:right="52" w:firstLine="542"/>
            </w:pPr>
            <w:r>
              <w:rPr>
                <w:spacing w:val="6"/>
              </w:rPr>
              <w:t>固定施工机械采用点声源模式进行预测，从环保最不利角度考虑，</w:t>
            </w:r>
            <w:r>
              <w:rPr>
                <w:spacing w:val="9"/>
              </w:rPr>
              <w:t>本次预测仅考虑距离衰减，预测主要机械在不同距离的噪声值。</w:t>
            </w:r>
          </w:p>
          <w:p w14:paraId="37895381">
            <w:pPr>
              <w:pStyle w:val="6"/>
              <w:spacing w:before="1" w:line="225" w:lineRule="auto"/>
              <w:ind w:left="628"/>
            </w:pPr>
            <w:r>
              <w:rPr>
                <w:spacing w:val="5"/>
              </w:rPr>
              <w:t>模式为：</w:t>
            </w:r>
          </w:p>
          <w:p w14:paraId="568755E1">
            <w:pPr>
              <w:pStyle w:val="6"/>
              <w:spacing w:before="108" w:line="348" w:lineRule="exact"/>
              <w:ind w:left="3074"/>
              <w:rPr>
                <w:rFonts w:ascii="Times New Roman" w:hAnsi="Times New Roman" w:eastAsia="Times New Roman" w:cs="Times New Roman"/>
              </w:rPr>
            </w:pPr>
            <w:r>
              <w:rPr>
                <w:rFonts w:ascii="Times New Roman" w:hAnsi="Times New Roman" w:eastAsia="Times New Roman" w:cs="Times New Roman"/>
                <w:position w:val="4"/>
              </w:rPr>
              <w:t>L</w:t>
            </w:r>
            <w:r>
              <w:rPr>
                <w:rFonts w:ascii="Times New Roman" w:hAnsi="Times New Roman" w:eastAsia="Times New Roman" w:cs="Times New Roman"/>
                <w:position w:val="3"/>
                <w:sz w:val="16"/>
                <w:szCs w:val="16"/>
              </w:rPr>
              <w:t>P</w:t>
            </w:r>
            <w:r>
              <w:rPr>
                <w:rFonts w:ascii="Times New Roman" w:hAnsi="Times New Roman" w:eastAsia="Times New Roman" w:cs="Times New Roman"/>
                <w:spacing w:val="6"/>
                <w:position w:val="4"/>
              </w:rPr>
              <w:t>=</w:t>
            </w:r>
            <w:r>
              <w:rPr>
                <w:rFonts w:ascii="Times New Roman" w:hAnsi="Times New Roman" w:eastAsia="Times New Roman" w:cs="Times New Roman"/>
                <w:position w:val="4"/>
              </w:rPr>
              <w:t>L</w:t>
            </w:r>
            <w:r>
              <w:rPr>
                <w:rFonts w:ascii="Times New Roman" w:hAnsi="Times New Roman" w:eastAsia="Times New Roman" w:cs="Times New Roman"/>
                <w:position w:val="3"/>
                <w:sz w:val="16"/>
                <w:szCs w:val="16"/>
              </w:rPr>
              <w:t>P</w:t>
            </w:r>
            <w:r>
              <w:rPr>
                <w:rFonts w:ascii="Times New Roman" w:hAnsi="Times New Roman" w:eastAsia="Times New Roman" w:cs="Times New Roman"/>
                <w:spacing w:val="6"/>
                <w:position w:val="3"/>
                <w:sz w:val="16"/>
                <w:szCs w:val="16"/>
              </w:rPr>
              <w:t>0</w:t>
            </w:r>
            <w:r>
              <w:rPr>
                <w:spacing w:val="6"/>
                <w:position w:val="4"/>
              </w:rPr>
              <w:t>－</w:t>
            </w:r>
            <w:r>
              <w:rPr>
                <w:rFonts w:ascii="Times New Roman" w:hAnsi="Times New Roman" w:eastAsia="Times New Roman" w:cs="Times New Roman"/>
                <w:spacing w:val="6"/>
                <w:position w:val="4"/>
              </w:rPr>
              <w:t>20</w:t>
            </w:r>
            <w:r>
              <w:rPr>
                <w:rFonts w:ascii="Times New Roman" w:hAnsi="Times New Roman" w:eastAsia="Times New Roman" w:cs="Times New Roman"/>
                <w:position w:val="4"/>
              </w:rPr>
              <w:t>lg</w:t>
            </w:r>
            <w:r>
              <w:rPr>
                <w:rFonts w:ascii="Times New Roman" w:hAnsi="Times New Roman" w:eastAsia="Times New Roman" w:cs="Times New Roman"/>
                <w:spacing w:val="6"/>
                <w:position w:val="4"/>
              </w:rPr>
              <w:t>(r/r0)</w:t>
            </w:r>
          </w:p>
          <w:p w14:paraId="7D81BC30">
            <w:pPr>
              <w:pStyle w:val="6"/>
              <w:spacing w:before="156" w:line="227" w:lineRule="auto"/>
              <w:ind w:left="634"/>
            </w:pPr>
            <w:r>
              <w:t>式中：</w:t>
            </w:r>
          </w:p>
          <w:p w14:paraId="4C541775">
            <w:pPr>
              <w:pStyle w:val="6"/>
              <w:spacing w:before="153" w:line="225" w:lineRule="auto"/>
              <w:ind w:left="624"/>
            </w:pPr>
            <w:r>
              <w:rPr>
                <w:rFonts w:ascii="Times New Roman" w:hAnsi="Times New Roman" w:eastAsia="Times New Roman" w:cs="Times New Roman"/>
              </w:rPr>
              <w:t>L</w:t>
            </w:r>
            <w:r>
              <w:rPr>
                <w:rFonts w:ascii="Times New Roman" w:hAnsi="Times New Roman" w:eastAsia="Times New Roman" w:cs="Times New Roman"/>
                <w:position w:val="-2"/>
                <w:sz w:val="16"/>
                <w:szCs w:val="16"/>
              </w:rPr>
              <w:t>P</w:t>
            </w:r>
            <w:r>
              <w:rPr>
                <w:rFonts w:ascii="Times New Roman" w:hAnsi="Times New Roman" w:eastAsia="Times New Roman" w:cs="Times New Roman"/>
                <w:spacing w:val="23"/>
                <w:w w:val="101"/>
                <w:position w:val="-2"/>
                <w:sz w:val="16"/>
                <w:szCs w:val="16"/>
              </w:rPr>
              <w:t xml:space="preserve"> </w:t>
            </w:r>
            <w:r>
              <w:rPr>
                <w:rFonts w:ascii="Times New Roman" w:hAnsi="Times New Roman" w:eastAsia="Times New Roman" w:cs="Times New Roman"/>
                <w:spacing w:val="9"/>
              </w:rPr>
              <w:t xml:space="preserve">—  </w:t>
            </w:r>
            <w:r>
              <w:rPr>
                <w:spacing w:val="9"/>
              </w:rPr>
              <w:t>评价点噪声预测值，</w:t>
            </w:r>
            <w:r>
              <w:rPr>
                <w:rFonts w:ascii="Times New Roman" w:hAnsi="Times New Roman" w:eastAsia="Times New Roman" w:cs="Times New Roman"/>
              </w:rPr>
              <w:t>dB</w:t>
            </w:r>
            <w:r>
              <w:rPr>
                <w:spacing w:val="9"/>
              </w:rPr>
              <w:t>（</w:t>
            </w:r>
            <w:r>
              <w:rPr>
                <w:rFonts w:ascii="Times New Roman" w:hAnsi="Times New Roman" w:eastAsia="Times New Roman" w:cs="Times New Roman"/>
                <w:spacing w:val="9"/>
              </w:rPr>
              <w:t>A</w:t>
            </w:r>
            <w:r>
              <w:rPr>
                <w:spacing w:val="6"/>
              </w:rPr>
              <w:t>）；</w:t>
            </w:r>
          </w:p>
          <w:p w14:paraId="1DCB3C79">
            <w:pPr>
              <w:pStyle w:val="6"/>
              <w:spacing w:before="157" w:line="226" w:lineRule="auto"/>
              <w:ind w:left="624"/>
            </w:pPr>
            <w:r>
              <w:rPr>
                <w:rFonts w:ascii="Times New Roman" w:hAnsi="Times New Roman" w:eastAsia="Times New Roman" w:cs="Times New Roman"/>
              </w:rPr>
              <w:t>L</w:t>
            </w:r>
            <w:r>
              <w:rPr>
                <w:rFonts w:ascii="Times New Roman" w:hAnsi="Times New Roman" w:eastAsia="Times New Roman" w:cs="Times New Roman"/>
                <w:position w:val="-1"/>
                <w:sz w:val="16"/>
                <w:szCs w:val="16"/>
              </w:rPr>
              <w:t>P</w:t>
            </w:r>
            <w:r>
              <w:rPr>
                <w:rFonts w:ascii="Times New Roman" w:hAnsi="Times New Roman" w:eastAsia="Times New Roman" w:cs="Times New Roman"/>
                <w:spacing w:val="11"/>
                <w:position w:val="-1"/>
                <w:sz w:val="16"/>
                <w:szCs w:val="16"/>
              </w:rPr>
              <w:t>0</w:t>
            </w:r>
            <w:r>
              <w:rPr>
                <w:rFonts w:ascii="Times New Roman" w:hAnsi="Times New Roman" w:eastAsia="Times New Roman" w:cs="Times New Roman"/>
                <w:spacing w:val="23"/>
                <w:position w:val="-1"/>
                <w:sz w:val="16"/>
                <w:szCs w:val="16"/>
              </w:rPr>
              <w:t xml:space="preserve"> </w:t>
            </w:r>
            <w:r>
              <w:rPr>
                <w:rFonts w:ascii="Times New Roman" w:hAnsi="Times New Roman" w:eastAsia="Times New Roman" w:cs="Times New Roman"/>
                <w:spacing w:val="11"/>
              </w:rPr>
              <w:t xml:space="preserve">—  </w:t>
            </w:r>
            <w:r>
              <w:rPr>
                <w:spacing w:val="11"/>
              </w:rPr>
              <w:t>参考位置</w:t>
            </w:r>
            <w:r>
              <w:rPr>
                <w:rFonts w:ascii="Times New Roman" w:hAnsi="Times New Roman" w:eastAsia="Times New Roman" w:cs="Times New Roman"/>
                <w:spacing w:val="11"/>
              </w:rPr>
              <w:t xml:space="preserve">r0 </w:t>
            </w:r>
            <w:r>
              <w:rPr>
                <w:spacing w:val="11"/>
              </w:rPr>
              <w:t>处的声源压级，</w:t>
            </w:r>
            <w:r>
              <w:rPr>
                <w:rFonts w:ascii="Times New Roman" w:hAnsi="Times New Roman" w:eastAsia="Times New Roman" w:cs="Times New Roman"/>
              </w:rPr>
              <w:t>dB</w:t>
            </w:r>
            <w:r>
              <w:rPr>
                <w:spacing w:val="11"/>
              </w:rPr>
              <w:t>（</w:t>
            </w:r>
            <w:r>
              <w:rPr>
                <w:rFonts w:ascii="Times New Roman" w:hAnsi="Times New Roman" w:eastAsia="Times New Roman" w:cs="Times New Roman"/>
                <w:spacing w:val="11"/>
              </w:rPr>
              <w:t>A</w:t>
            </w:r>
            <w:r>
              <w:rPr>
                <w:spacing w:val="9"/>
              </w:rPr>
              <w:t>）；</w:t>
            </w:r>
          </w:p>
          <w:p w14:paraId="4FBC19FA">
            <w:pPr>
              <w:pStyle w:val="6"/>
              <w:spacing w:before="152" w:line="227" w:lineRule="auto"/>
              <w:ind w:left="620"/>
            </w:pPr>
            <w:r>
              <w:rPr>
                <w:rFonts w:ascii="Times New Roman" w:hAnsi="Times New Roman" w:eastAsia="Times New Roman" w:cs="Times New Roman"/>
                <w:spacing w:val="7"/>
              </w:rPr>
              <w:t xml:space="preserve">r —  </w:t>
            </w:r>
            <w:r>
              <w:rPr>
                <w:spacing w:val="7"/>
              </w:rPr>
              <w:t>为预测点距声源的距离，</w:t>
            </w:r>
            <w:r>
              <w:rPr>
                <w:rFonts w:ascii="Times New Roman" w:hAnsi="Times New Roman" w:eastAsia="Times New Roman" w:cs="Times New Roman"/>
                <w:spacing w:val="7"/>
              </w:rPr>
              <w:t>m</w:t>
            </w:r>
            <w:r>
              <w:rPr>
                <w:spacing w:val="7"/>
              </w:rPr>
              <w:t>；</w:t>
            </w:r>
          </w:p>
          <w:p w14:paraId="1F5C9FC4">
            <w:pPr>
              <w:pStyle w:val="6"/>
              <w:spacing w:before="153" w:line="226" w:lineRule="auto"/>
              <w:ind w:left="620"/>
            </w:pPr>
            <w:r>
              <w:rPr>
                <w:rFonts w:ascii="Times New Roman" w:hAnsi="Times New Roman" w:eastAsia="Times New Roman" w:cs="Times New Roman"/>
                <w:spacing w:val="7"/>
              </w:rPr>
              <w:t xml:space="preserve">r0 —  </w:t>
            </w:r>
            <w:r>
              <w:rPr>
                <w:spacing w:val="7"/>
              </w:rPr>
              <w:t>为参考点距声源的距离，</w:t>
            </w:r>
            <w:r>
              <w:rPr>
                <w:rFonts w:ascii="Times New Roman" w:hAnsi="Times New Roman" w:eastAsia="Times New Roman" w:cs="Times New Roman"/>
                <w:spacing w:val="7"/>
              </w:rPr>
              <w:t>m</w:t>
            </w:r>
            <w:r>
              <w:rPr>
                <w:spacing w:val="7"/>
              </w:rPr>
              <w:t>。</w:t>
            </w:r>
          </w:p>
          <w:p w14:paraId="1257CC06">
            <w:pPr>
              <w:pStyle w:val="6"/>
              <w:spacing w:before="155" w:line="226" w:lineRule="auto"/>
              <w:ind w:left="634"/>
            </w:pPr>
            <w:r>
              <w:rPr>
                <w:spacing w:val="6"/>
              </w:rPr>
              <w:t>声压级合成模式：</w:t>
            </w:r>
          </w:p>
          <w:p w14:paraId="6182AAA8">
            <w:pPr>
              <w:spacing w:before="61" w:line="206" w:lineRule="auto"/>
              <w:ind w:left="2428"/>
              <w:rPr>
                <w:rFonts w:ascii="Times New Roman" w:hAnsi="Times New Roman" w:eastAsia="Times New Roman" w:cs="Times New Roman"/>
                <w:sz w:val="23"/>
                <w:szCs w:val="23"/>
              </w:rPr>
            </w:pPr>
            <w:r>
              <w:rPr>
                <w:rFonts w:ascii="Times New Roman" w:hAnsi="Times New Roman" w:eastAsia="Times New Roman" w:cs="Times New Roman"/>
                <w:i/>
                <w:iCs/>
                <w:spacing w:val="3"/>
                <w:position w:val="-1"/>
                <w:sz w:val="23"/>
                <w:szCs w:val="23"/>
              </w:rPr>
              <w:t>L</w:t>
            </w:r>
            <w:r>
              <w:rPr>
                <w:rFonts w:ascii="Times New Roman" w:hAnsi="Times New Roman" w:eastAsia="Times New Roman" w:cs="Times New Roman"/>
                <w:spacing w:val="3"/>
                <w:position w:val="-7"/>
                <w:sz w:val="13"/>
                <w:szCs w:val="13"/>
              </w:rPr>
              <w:t>1</w:t>
            </w:r>
            <w:r>
              <w:rPr>
                <w:rFonts w:ascii="Arial" w:hAnsi="Arial" w:eastAsia="Arial" w:cs="Arial"/>
                <w:spacing w:val="3"/>
                <w:position w:val="-7"/>
                <w:sz w:val="13"/>
                <w:szCs w:val="13"/>
              </w:rPr>
              <w:t>+</w:t>
            </w:r>
            <w:r>
              <w:rPr>
                <w:rFonts w:ascii="Times New Roman" w:hAnsi="Times New Roman" w:eastAsia="Times New Roman" w:cs="Times New Roman"/>
                <w:spacing w:val="3"/>
                <w:position w:val="-7"/>
                <w:sz w:val="13"/>
                <w:szCs w:val="13"/>
              </w:rPr>
              <w:t>2</w:t>
            </w:r>
            <w:r>
              <w:rPr>
                <w:rFonts w:ascii="Arial" w:hAnsi="Arial" w:eastAsia="Arial" w:cs="Arial"/>
                <w:spacing w:val="3"/>
                <w:position w:val="-7"/>
                <w:sz w:val="13"/>
                <w:szCs w:val="13"/>
              </w:rPr>
              <w:t>+</w:t>
            </w:r>
            <w:r>
              <w:rPr>
                <w:rFonts w:ascii="Times New Roman" w:hAnsi="Times New Roman" w:eastAsia="Times New Roman" w:cs="Times New Roman"/>
                <w:spacing w:val="3"/>
                <w:position w:val="-7"/>
                <w:sz w:val="13"/>
                <w:szCs w:val="13"/>
              </w:rPr>
              <w:t>...</w:t>
            </w:r>
            <w:r>
              <w:rPr>
                <w:rFonts w:ascii="Arial" w:hAnsi="Arial" w:eastAsia="Arial" w:cs="Arial"/>
                <w:spacing w:val="3"/>
                <w:position w:val="-7"/>
                <w:sz w:val="13"/>
                <w:szCs w:val="13"/>
              </w:rPr>
              <w:t>+</w:t>
            </w:r>
            <w:r>
              <w:rPr>
                <w:rFonts w:ascii="Times New Roman" w:hAnsi="Times New Roman" w:eastAsia="Times New Roman" w:cs="Times New Roman"/>
                <w:i/>
                <w:iCs/>
                <w:spacing w:val="3"/>
                <w:position w:val="-7"/>
                <w:sz w:val="13"/>
                <w:szCs w:val="13"/>
              </w:rPr>
              <w:t>n</w:t>
            </w:r>
            <w:r>
              <w:rPr>
                <w:rFonts w:ascii="Times New Roman" w:hAnsi="Times New Roman" w:eastAsia="Times New Roman" w:cs="Times New Roman"/>
                <w:i/>
                <w:iCs/>
                <w:spacing w:val="11"/>
                <w:w w:val="101"/>
                <w:position w:val="-7"/>
                <w:sz w:val="13"/>
                <w:szCs w:val="13"/>
              </w:rPr>
              <w:t xml:space="preserve">  </w:t>
            </w:r>
            <w:r>
              <w:rPr>
                <w:rFonts w:ascii="Arial" w:hAnsi="Arial" w:eastAsia="Arial" w:cs="Arial"/>
                <w:spacing w:val="3"/>
                <w:position w:val="-1"/>
                <w:sz w:val="23"/>
                <w:szCs w:val="23"/>
              </w:rPr>
              <w:t xml:space="preserve">= </w:t>
            </w:r>
            <w:r>
              <w:rPr>
                <w:rFonts w:ascii="Times New Roman" w:hAnsi="Times New Roman" w:eastAsia="Times New Roman" w:cs="Times New Roman"/>
                <w:spacing w:val="3"/>
                <w:position w:val="-1"/>
                <w:sz w:val="23"/>
                <w:szCs w:val="23"/>
              </w:rPr>
              <w:t>10</w:t>
            </w:r>
            <w:r>
              <w:rPr>
                <w:rFonts w:ascii="Times New Roman" w:hAnsi="Times New Roman" w:eastAsia="Times New Roman" w:cs="Times New Roman"/>
                <w:position w:val="-1"/>
                <w:sz w:val="23"/>
                <w:szCs w:val="23"/>
              </w:rPr>
              <w:t>lg</w:t>
            </w:r>
            <w:r>
              <w:rPr>
                <w:rFonts w:ascii="Times New Roman" w:hAnsi="Times New Roman" w:eastAsia="Times New Roman" w:cs="Times New Roman"/>
                <w:spacing w:val="3"/>
                <w:position w:val="-1"/>
                <w:sz w:val="23"/>
                <w:szCs w:val="23"/>
              </w:rPr>
              <w:t>(10</w:t>
            </w:r>
            <w:r>
              <w:rPr>
                <w:rFonts w:ascii="Times New Roman" w:hAnsi="Times New Roman" w:eastAsia="Times New Roman" w:cs="Times New Roman"/>
                <w:i/>
                <w:iCs/>
                <w:spacing w:val="3"/>
                <w:position w:val="9"/>
                <w:sz w:val="13"/>
                <w:szCs w:val="13"/>
              </w:rPr>
              <w:t>L</w:t>
            </w:r>
            <w:r>
              <w:rPr>
                <w:rFonts w:ascii="Times New Roman" w:hAnsi="Times New Roman" w:eastAsia="Times New Roman" w:cs="Times New Roman"/>
                <w:spacing w:val="3"/>
                <w:position w:val="6"/>
                <w:sz w:val="9"/>
                <w:szCs w:val="9"/>
              </w:rPr>
              <w:t xml:space="preserve">1 </w:t>
            </w:r>
            <w:r>
              <w:rPr>
                <w:rFonts w:ascii="Times New Roman" w:hAnsi="Times New Roman" w:eastAsia="Times New Roman" w:cs="Times New Roman"/>
                <w:spacing w:val="3"/>
                <w:position w:val="9"/>
                <w:sz w:val="13"/>
                <w:szCs w:val="13"/>
              </w:rPr>
              <w:t>/10</w:t>
            </w:r>
            <w:r>
              <w:rPr>
                <w:rFonts w:ascii="Times New Roman" w:hAnsi="Times New Roman" w:eastAsia="Times New Roman" w:cs="Times New Roman"/>
                <w:spacing w:val="27"/>
                <w:position w:val="9"/>
                <w:sz w:val="13"/>
                <w:szCs w:val="13"/>
              </w:rPr>
              <w:t xml:space="preserve"> </w:t>
            </w:r>
            <w:r>
              <w:rPr>
                <w:rFonts w:ascii="Arial" w:hAnsi="Arial" w:eastAsia="Arial" w:cs="Arial"/>
                <w:spacing w:val="3"/>
                <w:position w:val="-1"/>
                <w:sz w:val="23"/>
                <w:szCs w:val="23"/>
              </w:rPr>
              <w:t>+</w:t>
            </w:r>
            <w:r>
              <w:rPr>
                <w:rFonts w:ascii="Arial" w:hAnsi="Arial" w:eastAsia="Arial" w:cs="Arial"/>
                <w:spacing w:val="-16"/>
                <w:position w:val="-1"/>
                <w:sz w:val="23"/>
                <w:szCs w:val="23"/>
              </w:rPr>
              <w:t xml:space="preserve"> </w:t>
            </w:r>
            <w:r>
              <w:rPr>
                <w:rFonts w:ascii="Times New Roman" w:hAnsi="Times New Roman" w:eastAsia="Times New Roman" w:cs="Times New Roman"/>
                <w:spacing w:val="3"/>
                <w:position w:val="-1"/>
                <w:sz w:val="23"/>
                <w:szCs w:val="23"/>
              </w:rPr>
              <w:t>..</w:t>
            </w:r>
            <w:r>
              <w:rPr>
                <w:rFonts w:ascii="Times New Roman" w:hAnsi="Times New Roman" w:eastAsia="Times New Roman" w:cs="Times New Roman"/>
                <w:spacing w:val="2"/>
                <w:position w:val="-1"/>
                <w:sz w:val="23"/>
                <w:szCs w:val="23"/>
              </w:rPr>
              <w:t>.</w:t>
            </w:r>
            <w:r>
              <w:rPr>
                <w:rFonts w:ascii="Times New Roman" w:hAnsi="Times New Roman" w:eastAsia="Times New Roman" w:cs="Times New Roman"/>
                <w:spacing w:val="-29"/>
                <w:position w:val="-1"/>
                <w:sz w:val="23"/>
                <w:szCs w:val="23"/>
              </w:rPr>
              <w:t xml:space="preserve"> </w:t>
            </w:r>
            <w:r>
              <w:rPr>
                <w:rFonts w:ascii="Arial" w:hAnsi="Arial" w:eastAsia="Arial" w:cs="Arial"/>
                <w:spacing w:val="2"/>
                <w:position w:val="-1"/>
                <w:sz w:val="23"/>
                <w:szCs w:val="23"/>
              </w:rPr>
              <w:t>+</w:t>
            </w:r>
            <w:r>
              <w:rPr>
                <w:rFonts w:ascii="Times New Roman" w:hAnsi="Times New Roman" w:eastAsia="Times New Roman" w:cs="Times New Roman"/>
                <w:spacing w:val="2"/>
                <w:position w:val="-1"/>
                <w:sz w:val="23"/>
                <w:szCs w:val="23"/>
              </w:rPr>
              <w:t>10</w:t>
            </w:r>
            <w:r>
              <w:rPr>
                <w:rFonts w:ascii="Times New Roman" w:hAnsi="Times New Roman" w:eastAsia="Times New Roman" w:cs="Times New Roman"/>
                <w:i/>
                <w:iCs/>
                <w:spacing w:val="2"/>
                <w:position w:val="9"/>
                <w:sz w:val="13"/>
                <w:szCs w:val="13"/>
              </w:rPr>
              <w:t>L</w:t>
            </w:r>
            <w:r>
              <w:rPr>
                <w:rFonts w:ascii="Times New Roman" w:hAnsi="Times New Roman" w:eastAsia="Times New Roman" w:cs="Times New Roman"/>
                <w:spacing w:val="2"/>
                <w:position w:val="6"/>
                <w:sz w:val="9"/>
                <w:szCs w:val="9"/>
              </w:rPr>
              <w:t>2</w:t>
            </w:r>
            <w:r>
              <w:rPr>
                <w:rFonts w:ascii="Times New Roman" w:hAnsi="Times New Roman" w:eastAsia="Times New Roman" w:cs="Times New Roman"/>
                <w:spacing w:val="10"/>
                <w:w w:val="103"/>
                <w:position w:val="6"/>
                <w:sz w:val="9"/>
                <w:szCs w:val="9"/>
              </w:rPr>
              <w:t xml:space="preserve"> </w:t>
            </w:r>
            <w:r>
              <w:rPr>
                <w:rFonts w:ascii="Times New Roman" w:hAnsi="Times New Roman" w:eastAsia="Times New Roman" w:cs="Times New Roman"/>
                <w:spacing w:val="2"/>
                <w:position w:val="2"/>
                <w:sz w:val="13"/>
                <w:szCs w:val="13"/>
              </w:rPr>
              <w:t>/10</w:t>
            </w:r>
            <w:r>
              <w:rPr>
                <w:rFonts w:ascii="Times New Roman" w:hAnsi="Times New Roman" w:eastAsia="Times New Roman" w:cs="Times New Roman"/>
                <w:spacing w:val="2"/>
                <w:position w:val="2"/>
                <w:sz w:val="23"/>
                <w:szCs w:val="23"/>
              </w:rPr>
              <w:t>)</w:t>
            </w:r>
          </w:p>
          <w:p w14:paraId="32794603">
            <w:pPr>
              <w:pStyle w:val="6"/>
              <w:spacing w:before="127" w:line="215" w:lineRule="auto"/>
              <w:ind w:right="54"/>
              <w:jc w:val="right"/>
            </w:pPr>
            <w:r>
              <w:rPr>
                <w:spacing w:val="7"/>
              </w:rPr>
              <w:t>式中：</w:t>
            </w:r>
            <w:r>
              <w:rPr>
                <w:rFonts w:ascii="Times New Roman" w:hAnsi="Times New Roman" w:eastAsia="Times New Roman" w:cs="Times New Roman"/>
                <w:i/>
                <w:iCs/>
                <w:spacing w:val="7"/>
                <w:position w:val="11"/>
                <w:sz w:val="23"/>
                <w:szCs w:val="23"/>
              </w:rPr>
              <w:t>L</w:t>
            </w:r>
            <w:r>
              <w:rPr>
                <w:rFonts w:ascii="Times New Roman" w:hAnsi="Times New Roman" w:eastAsia="Times New Roman" w:cs="Times New Roman"/>
                <w:spacing w:val="7"/>
                <w:position w:val="5"/>
                <w:sz w:val="13"/>
                <w:szCs w:val="13"/>
              </w:rPr>
              <w:t>1</w:t>
            </w:r>
            <w:r>
              <w:rPr>
                <w:rFonts w:ascii="Times New Roman" w:hAnsi="Times New Roman" w:eastAsia="Times New Roman" w:cs="Times New Roman"/>
                <w:spacing w:val="9"/>
                <w:position w:val="5"/>
                <w:sz w:val="13"/>
                <w:szCs w:val="13"/>
              </w:rPr>
              <w:t xml:space="preserve">  </w:t>
            </w:r>
            <w:r>
              <w:rPr>
                <w:rFonts w:ascii="Times New Roman" w:hAnsi="Times New Roman" w:eastAsia="Times New Roman" w:cs="Times New Roman"/>
                <w:spacing w:val="7"/>
              </w:rPr>
              <w:t>...</w:t>
            </w:r>
            <w:r>
              <w:rPr>
                <w:rFonts w:ascii="Times New Roman" w:hAnsi="Times New Roman" w:eastAsia="Times New Roman" w:cs="Times New Roman"/>
                <w:spacing w:val="-26"/>
              </w:rPr>
              <w:t xml:space="preserve"> </w:t>
            </w:r>
            <w:r>
              <w:rPr>
                <w:rFonts w:ascii="Times New Roman" w:hAnsi="Times New Roman" w:eastAsia="Times New Roman" w:cs="Times New Roman"/>
                <w:i/>
                <w:iCs/>
                <w:position w:val="11"/>
                <w:sz w:val="23"/>
                <w:szCs w:val="23"/>
              </w:rPr>
              <w:t>L</w:t>
            </w:r>
            <w:r>
              <w:rPr>
                <w:rFonts w:ascii="Times New Roman" w:hAnsi="Times New Roman" w:eastAsia="Times New Roman" w:cs="Times New Roman"/>
                <w:i/>
                <w:iCs/>
                <w:position w:val="5"/>
                <w:sz w:val="13"/>
                <w:szCs w:val="13"/>
              </w:rPr>
              <w:t>n</w:t>
            </w:r>
            <w:r>
              <w:rPr>
                <w:rFonts w:ascii="Times New Roman" w:hAnsi="Times New Roman" w:eastAsia="Times New Roman" w:cs="Times New Roman"/>
                <w:i/>
                <w:iCs/>
                <w:spacing w:val="30"/>
                <w:w w:val="101"/>
                <w:position w:val="5"/>
                <w:sz w:val="13"/>
                <w:szCs w:val="13"/>
              </w:rPr>
              <w:t xml:space="preserve"> </w:t>
            </w:r>
            <w:r>
              <w:rPr>
                <w:rFonts w:ascii="Times New Roman" w:hAnsi="Times New Roman" w:eastAsia="Times New Roman" w:cs="Times New Roman"/>
                <w:i/>
                <w:iCs/>
                <w:position w:val="5"/>
                <w:sz w:val="13"/>
                <w:szCs w:val="13"/>
                <w:u w:val="single" w:color="auto"/>
              </w:rPr>
              <w:t xml:space="preserve">        </w:t>
            </w:r>
            <w:r>
              <w:rPr>
                <w:rFonts w:ascii="Times New Roman" w:hAnsi="Times New Roman" w:eastAsia="Times New Roman" w:cs="Times New Roman"/>
                <w:i/>
                <w:iCs/>
                <w:spacing w:val="-16"/>
                <w:position w:val="5"/>
                <w:sz w:val="13"/>
                <w:szCs w:val="13"/>
              </w:rPr>
              <w:t xml:space="preserve"> </w:t>
            </w:r>
            <w:r>
              <w:rPr>
                <w:spacing w:val="7"/>
              </w:rPr>
              <w:t>分别为各声源到达受声点时的声级值，</w:t>
            </w:r>
            <w:r>
              <w:rPr>
                <w:rFonts w:ascii="Times New Roman" w:hAnsi="Times New Roman" w:eastAsia="Times New Roman" w:cs="Times New Roman"/>
              </w:rPr>
              <w:t>dB</w:t>
            </w:r>
            <w:r>
              <w:rPr>
                <w:spacing w:val="7"/>
              </w:rPr>
              <w:t>（</w:t>
            </w:r>
            <w:r>
              <w:rPr>
                <w:rFonts w:ascii="Times New Roman" w:hAnsi="Times New Roman" w:eastAsia="Times New Roman" w:cs="Times New Roman"/>
                <w:spacing w:val="7"/>
              </w:rPr>
              <w:t>A</w:t>
            </w:r>
            <w:r>
              <w:rPr>
                <w:spacing w:val="7"/>
              </w:rPr>
              <w:t>）。</w:t>
            </w:r>
          </w:p>
          <w:p w14:paraId="0E6338A3">
            <w:pPr>
              <w:pStyle w:val="6"/>
              <w:spacing w:before="156" w:line="339" w:lineRule="auto"/>
              <w:ind w:left="120" w:right="103" w:firstLine="509"/>
            </w:pPr>
            <w:r>
              <w:rPr>
                <w:spacing w:val="6"/>
              </w:rPr>
              <w:t>根据噪声衰减模式，主要施工机具声源在不</w:t>
            </w:r>
            <w:r>
              <w:rPr>
                <w:spacing w:val="5"/>
              </w:rPr>
              <w:t>同距离处的噪声影响值</w:t>
            </w:r>
            <w:r>
              <w:rPr>
                <w:spacing w:val="8"/>
              </w:rPr>
              <w:t>（未考虑吸声、隔声等效果）参见下表。</w:t>
            </w:r>
          </w:p>
          <w:p w14:paraId="6CEB8B84">
            <w:pPr>
              <w:pStyle w:val="6"/>
              <w:spacing w:before="1" w:line="225" w:lineRule="auto"/>
              <w:ind w:left="347"/>
            </w:pPr>
            <w:r>
              <w:rPr>
                <w:spacing w:val="6"/>
              </w:rPr>
              <w:t>表</w:t>
            </w:r>
            <w:r>
              <w:rPr>
                <w:spacing w:val="-43"/>
              </w:rPr>
              <w:t xml:space="preserve"> </w:t>
            </w:r>
            <w:r>
              <w:rPr>
                <w:rFonts w:ascii="Times New Roman" w:hAnsi="Times New Roman" w:eastAsia="Times New Roman" w:cs="Times New Roman"/>
                <w:spacing w:val="6"/>
              </w:rPr>
              <w:t>4.1-</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 xml:space="preserve">1    </w:t>
            </w:r>
            <w:r>
              <w:rPr>
                <w:spacing w:val="6"/>
              </w:rPr>
              <w:t>主要施工机械在不同距离的噪声值     单位：</w:t>
            </w:r>
            <w:r>
              <w:rPr>
                <w:rFonts w:ascii="Times New Roman" w:hAnsi="Times New Roman" w:eastAsia="Times New Roman" w:cs="Times New Roman"/>
              </w:rPr>
              <w:t>dB</w:t>
            </w:r>
            <w:r>
              <w:rPr>
                <w:spacing w:val="6"/>
              </w:rPr>
              <w:t>（</w:t>
            </w:r>
            <w:r>
              <w:rPr>
                <w:rFonts w:ascii="Times New Roman" w:hAnsi="Times New Roman" w:eastAsia="Times New Roman" w:cs="Times New Roman"/>
                <w:spacing w:val="6"/>
              </w:rPr>
              <w:t>A</w:t>
            </w:r>
            <w:r>
              <w:rPr>
                <w:spacing w:val="6"/>
              </w:rPr>
              <w:t>）</w:t>
            </w:r>
          </w:p>
          <w:p w14:paraId="139B49E9">
            <w:pPr>
              <w:spacing w:line="100" w:lineRule="auto"/>
              <w:rPr>
                <w:rFonts w:ascii="Arial"/>
                <w:sz w:val="2"/>
              </w:rPr>
            </w:pPr>
          </w:p>
          <w:tbl>
            <w:tblPr>
              <w:tblStyle w:val="5"/>
              <w:tblW w:w="7908" w:type="dxa"/>
              <w:tblInd w:w="11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9"/>
              <w:gridCol w:w="637"/>
              <w:gridCol w:w="614"/>
              <w:gridCol w:w="621"/>
              <w:gridCol w:w="655"/>
              <w:gridCol w:w="613"/>
              <w:gridCol w:w="626"/>
              <w:gridCol w:w="638"/>
              <w:gridCol w:w="675"/>
              <w:gridCol w:w="1410"/>
            </w:tblGrid>
            <w:tr w14:paraId="6E76F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1419" w:type="dxa"/>
                  <w:vAlign w:val="top"/>
                </w:tcPr>
                <w:p w14:paraId="65820E94">
                  <w:pPr>
                    <w:pStyle w:val="6"/>
                    <w:spacing w:before="36" w:line="224" w:lineRule="auto"/>
                    <w:ind w:left="416" w:right="267" w:hanging="139"/>
                    <w:rPr>
                      <w:sz w:val="22"/>
                      <w:szCs w:val="22"/>
                    </w:rPr>
                  </w:pPr>
                  <w:r>
                    <w:rPr>
                      <w:spacing w:val="-3"/>
                      <w:sz w:val="22"/>
                      <w:szCs w:val="22"/>
                    </w:rPr>
                    <w:t>设备距离</w:t>
                  </w:r>
                  <w:r>
                    <w:rPr>
                      <w:spacing w:val="-6"/>
                      <w:sz w:val="22"/>
                      <w:szCs w:val="22"/>
                    </w:rPr>
                    <w:t>（</w:t>
                  </w:r>
                  <w:r>
                    <w:rPr>
                      <w:rFonts w:ascii="Times New Roman" w:hAnsi="Times New Roman" w:eastAsia="Times New Roman" w:cs="Times New Roman"/>
                      <w:spacing w:val="-6"/>
                      <w:sz w:val="22"/>
                      <w:szCs w:val="22"/>
                    </w:rPr>
                    <w:t>m</w:t>
                  </w:r>
                  <w:r>
                    <w:rPr>
                      <w:spacing w:val="-6"/>
                      <w:sz w:val="22"/>
                      <w:szCs w:val="22"/>
                    </w:rPr>
                    <w:t>）</w:t>
                  </w:r>
                </w:p>
              </w:tc>
              <w:tc>
                <w:tcPr>
                  <w:tcW w:w="637" w:type="dxa"/>
                  <w:vAlign w:val="top"/>
                </w:tcPr>
                <w:p w14:paraId="68238474">
                  <w:pPr>
                    <w:spacing w:before="216" w:line="189" w:lineRule="auto"/>
                    <w:ind w:left="231"/>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614" w:type="dxa"/>
                  <w:vAlign w:val="top"/>
                </w:tcPr>
                <w:p w14:paraId="03359ACC">
                  <w:pPr>
                    <w:spacing w:before="216" w:line="189" w:lineRule="auto"/>
                    <w:ind w:left="20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621" w:type="dxa"/>
                  <w:vAlign w:val="top"/>
                </w:tcPr>
                <w:p w14:paraId="3B83AEEB">
                  <w:pPr>
                    <w:spacing w:before="216" w:line="189" w:lineRule="auto"/>
                    <w:ind w:left="168"/>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655" w:type="dxa"/>
                  <w:vAlign w:val="top"/>
                </w:tcPr>
                <w:p w14:paraId="381401C8">
                  <w:pPr>
                    <w:spacing w:before="216" w:line="189" w:lineRule="auto"/>
                    <w:ind w:left="185"/>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150</w:t>
                  </w:r>
                </w:p>
              </w:tc>
              <w:tc>
                <w:tcPr>
                  <w:tcW w:w="613" w:type="dxa"/>
                  <w:vAlign w:val="top"/>
                </w:tcPr>
                <w:p w14:paraId="3F34CF75">
                  <w:pPr>
                    <w:spacing w:before="216" w:line="189" w:lineRule="auto"/>
                    <w:ind w:left="14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200</w:t>
                  </w:r>
                </w:p>
              </w:tc>
              <w:tc>
                <w:tcPr>
                  <w:tcW w:w="626" w:type="dxa"/>
                  <w:vAlign w:val="top"/>
                </w:tcPr>
                <w:p w14:paraId="5304A599">
                  <w:pPr>
                    <w:spacing w:before="216" w:line="189" w:lineRule="auto"/>
                    <w:ind w:left="15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250</w:t>
                  </w:r>
                </w:p>
              </w:tc>
              <w:tc>
                <w:tcPr>
                  <w:tcW w:w="638" w:type="dxa"/>
                  <w:vAlign w:val="top"/>
                </w:tcPr>
                <w:p w14:paraId="5F11BF77">
                  <w:pPr>
                    <w:spacing w:before="216" w:line="189" w:lineRule="auto"/>
                    <w:ind w:left="16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c>
                <w:tcPr>
                  <w:tcW w:w="675" w:type="dxa"/>
                  <w:vAlign w:val="top"/>
                </w:tcPr>
                <w:p w14:paraId="2C2BF7F3">
                  <w:pPr>
                    <w:spacing w:before="216" w:line="189" w:lineRule="auto"/>
                    <w:ind w:left="18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350</w:t>
                  </w:r>
                </w:p>
              </w:tc>
              <w:tc>
                <w:tcPr>
                  <w:tcW w:w="1410" w:type="dxa"/>
                  <w:vAlign w:val="top"/>
                </w:tcPr>
                <w:p w14:paraId="028D97AF">
                  <w:pPr>
                    <w:pStyle w:val="6"/>
                    <w:spacing w:before="36" w:line="224" w:lineRule="auto"/>
                    <w:ind w:left="297" w:right="151" w:hanging="138"/>
                    <w:rPr>
                      <w:sz w:val="22"/>
                      <w:szCs w:val="22"/>
                    </w:rPr>
                  </w:pPr>
                  <w:r>
                    <w:rPr>
                      <w:spacing w:val="-2"/>
                      <w:sz w:val="22"/>
                      <w:szCs w:val="22"/>
                    </w:rPr>
                    <w:t>昼间超标距</w:t>
                  </w:r>
                  <w:r>
                    <w:rPr>
                      <w:spacing w:val="-3"/>
                      <w:sz w:val="22"/>
                      <w:szCs w:val="22"/>
                    </w:rPr>
                    <w:t>离（</w:t>
                  </w:r>
                  <w:r>
                    <w:rPr>
                      <w:rFonts w:ascii="Times New Roman" w:hAnsi="Times New Roman" w:eastAsia="Times New Roman" w:cs="Times New Roman"/>
                      <w:spacing w:val="-3"/>
                      <w:sz w:val="22"/>
                      <w:szCs w:val="22"/>
                    </w:rPr>
                    <w:t>m</w:t>
                  </w:r>
                  <w:r>
                    <w:rPr>
                      <w:spacing w:val="-3"/>
                      <w:sz w:val="22"/>
                      <w:szCs w:val="22"/>
                    </w:rPr>
                    <w:t>）</w:t>
                  </w:r>
                </w:p>
              </w:tc>
            </w:tr>
            <w:tr w14:paraId="0B76D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419" w:type="dxa"/>
                  <w:vAlign w:val="top"/>
                </w:tcPr>
                <w:p w14:paraId="3F2D8F45">
                  <w:pPr>
                    <w:pStyle w:val="6"/>
                    <w:spacing w:before="74" w:line="219" w:lineRule="auto"/>
                    <w:ind w:left="384"/>
                    <w:rPr>
                      <w:sz w:val="22"/>
                      <w:szCs w:val="22"/>
                    </w:rPr>
                  </w:pPr>
                  <w:r>
                    <w:rPr>
                      <w:spacing w:val="-3"/>
                      <w:sz w:val="22"/>
                      <w:szCs w:val="22"/>
                    </w:rPr>
                    <w:t>装载机</w:t>
                  </w:r>
                </w:p>
              </w:tc>
              <w:tc>
                <w:tcPr>
                  <w:tcW w:w="637" w:type="dxa"/>
                  <w:vAlign w:val="top"/>
                </w:tcPr>
                <w:p w14:paraId="3C5C90E6">
                  <w:pPr>
                    <w:spacing w:before="111" w:line="189" w:lineRule="auto"/>
                    <w:ind w:left="13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84.0</w:t>
                  </w:r>
                </w:p>
              </w:tc>
              <w:tc>
                <w:tcPr>
                  <w:tcW w:w="614" w:type="dxa"/>
                  <w:vAlign w:val="top"/>
                </w:tcPr>
                <w:p w14:paraId="3CDAA5E7">
                  <w:pPr>
                    <w:spacing w:before="111" w:line="189" w:lineRule="auto"/>
                    <w:ind w:left="12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68.4</w:t>
                  </w:r>
                </w:p>
              </w:tc>
              <w:tc>
                <w:tcPr>
                  <w:tcW w:w="621" w:type="dxa"/>
                  <w:vAlign w:val="top"/>
                </w:tcPr>
                <w:p w14:paraId="7EB10065">
                  <w:pPr>
                    <w:spacing w:before="111" w:line="189" w:lineRule="auto"/>
                    <w:ind w:left="12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64.0</w:t>
                  </w:r>
                </w:p>
              </w:tc>
              <w:tc>
                <w:tcPr>
                  <w:tcW w:w="655" w:type="dxa"/>
                  <w:vAlign w:val="top"/>
                </w:tcPr>
                <w:p w14:paraId="3AFE85E5">
                  <w:pPr>
                    <w:spacing w:before="111" w:line="189" w:lineRule="auto"/>
                    <w:ind w:left="14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60.5</w:t>
                  </w:r>
                </w:p>
              </w:tc>
              <w:tc>
                <w:tcPr>
                  <w:tcW w:w="613" w:type="dxa"/>
                  <w:vAlign w:val="top"/>
                </w:tcPr>
                <w:p w14:paraId="7E842EA0">
                  <w:pPr>
                    <w:spacing w:before="111" w:line="189" w:lineRule="auto"/>
                    <w:ind w:left="12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58.0</w:t>
                  </w:r>
                </w:p>
              </w:tc>
              <w:tc>
                <w:tcPr>
                  <w:tcW w:w="626" w:type="dxa"/>
                  <w:vAlign w:val="top"/>
                </w:tcPr>
                <w:p w14:paraId="152D1321">
                  <w:pPr>
                    <w:spacing w:before="111" w:line="189" w:lineRule="auto"/>
                    <w:ind w:left="12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56.0</w:t>
                  </w:r>
                </w:p>
              </w:tc>
              <w:tc>
                <w:tcPr>
                  <w:tcW w:w="638" w:type="dxa"/>
                  <w:vAlign w:val="top"/>
                </w:tcPr>
                <w:p w14:paraId="5B193893">
                  <w:pPr>
                    <w:spacing w:before="111" w:line="189" w:lineRule="auto"/>
                    <w:ind w:left="13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54.4</w:t>
                  </w:r>
                </w:p>
              </w:tc>
              <w:tc>
                <w:tcPr>
                  <w:tcW w:w="675" w:type="dxa"/>
                  <w:vAlign w:val="top"/>
                </w:tcPr>
                <w:p w14:paraId="76027A96">
                  <w:pPr>
                    <w:spacing w:before="111" w:line="189" w:lineRule="auto"/>
                    <w:ind w:left="15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53.1</w:t>
                  </w:r>
                </w:p>
              </w:tc>
              <w:tc>
                <w:tcPr>
                  <w:tcW w:w="1410" w:type="dxa"/>
                  <w:vAlign w:val="top"/>
                </w:tcPr>
                <w:p w14:paraId="31A6298B">
                  <w:pPr>
                    <w:spacing w:before="111" w:line="189" w:lineRule="auto"/>
                    <w:ind w:left="564"/>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158</w:t>
                  </w:r>
                </w:p>
              </w:tc>
            </w:tr>
            <w:tr w14:paraId="18684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419" w:type="dxa"/>
                  <w:vAlign w:val="top"/>
                </w:tcPr>
                <w:p w14:paraId="7CEA67B5">
                  <w:pPr>
                    <w:pStyle w:val="6"/>
                    <w:spacing w:before="75" w:line="219" w:lineRule="auto"/>
                    <w:ind w:left="383"/>
                    <w:rPr>
                      <w:sz w:val="22"/>
                      <w:szCs w:val="22"/>
                    </w:rPr>
                  </w:pPr>
                  <w:r>
                    <w:rPr>
                      <w:spacing w:val="-2"/>
                      <w:sz w:val="22"/>
                      <w:szCs w:val="22"/>
                    </w:rPr>
                    <w:t>挖掘机</w:t>
                  </w:r>
                </w:p>
              </w:tc>
              <w:tc>
                <w:tcPr>
                  <w:tcW w:w="637" w:type="dxa"/>
                  <w:vAlign w:val="top"/>
                </w:tcPr>
                <w:p w14:paraId="425B722A">
                  <w:pPr>
                    <w:spacing w:before="113" w:line="189" w:lineRule="auto"/>
                    <w:ind w:left="1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78.0</w:t>
                  </w:r>
                </w:p>
              </w:tc>
              <w:tc>
                <w:tcPr>
                  <w:tcW w:w="614" w:type="dxa"/>
                  <w:vAlign w:val="top"/>
                </w:tcPr>
                <w:p w14:paraId="485A4D74">
                  <w:pPr>
                    <w:spacing w:before="113" w:line="189" w:lineRule="auto"/>
                    <w:ind w:left="12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62.4</w:t>
                  </w:r>
                </w:p>
              </w:tc>
              <w:tc>
                <w:tcPr>
                  <w:tcW w:w="621" w:type="dxa"/>
                  <w:vAlign w:val="top"/>
                </w:tcPr>
                <w:p w14:paraId="0EA53E5D">
                  <w:pPr>
                    <w:spacing w:before="113" w:line="189" w:lineRule="auto"/>
                    <w:ind w:left="12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58.0</w:t>
                  </w:r>
                </w:p>
              </w:tc>
              <w:tc>
                <w:tcPr>
                  <w:tcW w:w="655" w:type="dxa"/>
                  <w:vAlign w:val="top"/>
                </w:tcPr>
                <w:p w14:paraId="774F0E1E">
                  <w:pPr>
                    <w:spacing w:before="113" w:line="189" w:lineRule="auto"/>
                    <w:ind w:left="14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54.5</w:t>
                  </w:r>
                </w:p>
              </w:tc>
              <w:tc>
                <w:tcPr>
                  <w:tcW w:w="613" w:type="dxa"/>
                  <w:vAlign w:val="top"/>
                </w:tcPr>
                <w:p w14:paraId="68C5408F">
                  <w:pPr>
                    <w:spacing w:before="113" w:line="189" w:lineRule="auto"/>
                    <w:ind w:left="12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52.0</w:t>
                  </w:r>
                </w:p>
              </w:tc>
              <w:tc>
                <w:tcPr>
                  <w:tcW w:w="626" w:type="dxa"/>
                  <w:vAlign w:val="top"/>
                </w:tcPr>
                <w:p w14:paraId="149E1ADA">
                  <w:pPr>
                    <w:spacing w:before="113" w:line="189" w:lineRule="auto"/>
                    <w:ind w:left="12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50.0</w:t>
                  </w:r>
                </w:p>
              </w:tc>
              <w:tc>
                <w:tcPr>
                  <w:tcW w:w="638" w:type="dxa"/>
                  <w:vAlign w:val="top"/>
                </w:tcPr>
                <w:p w14:paraId="13804157">
                  <w:pPr>
                    <w:spacing w:before="113" w:line="189" w:lineRule="auto"/>
                    <w:ind w:left="12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48.4</w:t>
                  </w:r>
                </w:p>
              </w:tc>
              <w:tc>
                <w:tcPr>
                  <w:tcW w:w="675" w:type="dxa"/>
                  <w:vAlign w:val="top"/>
                </w:tcPr>
                <w:p w14:paraId="759EC68F">
                  <w:pPr>
                    <w:spacing w:before="113" w:line="189" w:lineRule="auto"/>
                    <w:ind w:left="14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47.1</w:t>
                  </w:r>
                </w:p>
              </w:tc>
              <w:tc>
                <w:tcPr>
                  <w:tcW w:w="1410" w:type="dxa"/>
                  <w:vAlign w:val="top"/>
                </w:tcPr>
                <w:p w14:paraId="1B092580">
                  <w:pPr>
                    <w:spacing w:before="113" w:line="189" w:lineRule="auto"/>
                    <w:ind w:left="51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79.2</w:t>
                  </w:r>
                </w:p>
              </w:tc>
            </w:tr>
            <w:tr w14:paraId="09527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419" w:type="dxa"/>
                  <w:vAlign w:val="top"/>
                </w:tcPr>
                <w:p w14:paraId="08133E43">
                  <w:pPr>
                    <w:pStyle w:val="6"/>
                    <w:spacing w:before="76" w:line="220" w:lineRule="auto"/>
                    <w:ind w:left="169"/>
                    <w:rPr>
                      <w:sz w:val="22"/>
                      <w:szCs w:val="22"/>
                    </w:rPr>
                  </w:pPr>
                  <w:r>
                    <w:rPr>
                      <w:spacing w:val="-2"/>
                      <w:sz w:val="22"/>
                      <w:szCs w:val="22"/>
                    </w:rPr>
                    <w:t>混凝土罐车</w:t>
                  </w:r>
                </w:p>
              </w:tc>
              <w:tc>
                <w:tcPr>
                  <w:tcW w:w="637" w:type="dxa"/>
                  <w:vAlign w:val="top"/>
                </w:tcPr>
                <w:p w14:paraId="692E8509">
                  <w:pPr>
                    <w:spacing w:before="114" w:line="189" w:lineRule="auto"/>
                    <w:ind w:left="1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79.0</w:t>
                  </w:r>
                </w:p>
              </w:tc>
              <w:tc>
                <w:tcPr>
                  <w:tcW w:w="614" w:type="dxa"/>
                  <w:vAlign w:val="top"/>
                </w:tcPr>
                <w:p w14:paraId="59478805">
                  <w:pPr>
                    <w:spacing w:before="114" w:line="189" w:lineRule="auto"/>
                    <w:ind w:left="12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63.4</w:t>
                  </w:r>
                </w:p>
              </w:tc>
              <w:tc>
                <w:tcPr>
                  <w:tcW w:w="621" w:type="dxa"/>
                  <w:vAlign w:val="top"/>
                </w:tcPr>
                <w:p w14:paraId="4BA27150">
                  <w:pPr>
                    <w:spacing w:before="114" w:line="189" w:lineRule="auto"/>
                    <w:ind w:left="12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59.0</w:t>
                  </w:r>
                </w:p>
              </w:tc>
              <w:tc>
                <w:tcPr>
                  <w:tcW w:w="655" w:type="dxa"/>
                  <w:vAlign w:val="top"/>
                </w:tcPr>
                <w:p w14:paraId="7EB4F437">
                  <w:pPr>
                    <w:spacing w:before="117" w:line="186" w:lineRule="auto"/>
                    <w:ind w:left="14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55.5</w:t>
                  </w:r>
                </w:p>
              </w:tc>
              <w:tc>
                <w:tcPr>
                  <w:tcW w:w="613" w:type="dxa"/>
                  <w:vAlign w:val="top"/>
                </w:tcPr>
                <w:p w14:paraId="49BFFF54">
                  <w:pPr>
                    <w:spacing w:before="114" w:line="189" w:lineRule="auto"/>
                    <w:ind w:left="12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53.0</w:t>
                  </w:r>
                </w:p>
              </w:tc>
              <w:tc>
                <w:tcPr>
                  <w:tcW w:w="626" w:type="dxa"/>
                  <w:vAlign w:val="top"/>
                </w:tcPr>
                <w:p w14:paraId="3204EAC7">
                  <w:pPr>
                    <w:spacing w:before="114" w:line="189" w:lineRule="auto"/>
                    <w:ind w:left="12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51.0</w:t>
                  </w:r>
                </w:p>
              </w:tc>
              <w:tc>
                <w:tcPr>
                  <w:tcW w:w="638" w:type="dxa"/>
                  <w:vAlign w:val="top"/>
                </w:tcPr>
                <w:p w14:paraId="2F996C14">
                  <w:pPr>
                    <w:spacing w:before="114" w:line="189" w:lineRule="auto"/>
                    <w:ind w:left="12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49.4</w:t>
                  </w:r>
                </w:p>
              </w:tc>
              <w:tc>
                <w:tcPr>
                  <w:tcW w:w="675" w:type="dxa"/>
                  <w:vAlign w:val="top"/>
                </w:tcPr>
                <w:p w14:paraId="502F8F2B">
                  <w:pPr>
                    <w:spacing w:before="114" w:line="189" w:lineRule="auto"/>
                    <w:ind w:left="14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48.1</w:t>
                  </w:r>
                </w:p>
              </w:tc>
              <w:tc>
                <w:tcPr>
                  <w:tcW w:w="1410" w:type="dxa"/>
                  <w:vAlign w:val="top"/>
                </w:tcPr>
                <w:p w14:paraId="3BCAA57F">
                  <w:pPr>
                    <w:spacing w:before="114" w:line="189" w:lineRule="auto"/>
                    <w:ind w:left="52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88.9</w:t>
                  </w:r>
                </w:p>
              </w:tc>
            </w:tr>
            <w:tr w14:paraId="6CE62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419" w:type="dxa"/>
                  <w:vAlign w:val="top"/>
                </w:tcPr>
                <w:p w14:paraId="331ACD25">
                  <w:pPr>
                    <w:pStyle w:val="6"/>
                    <w:spacing w:before="75" w:line="222" w:lineRule="auto"/>
                    <w:ind w:left="521"/>
                    <w:rPr>
                      <w:sz w:val="22"/>
                      <w:szCs w:val="22"/>
                    </w:rPr>
                  </w:pPr>
                  <w:r>
                    <w:rPr>
                      <w:spacing w:val="-17"/>
                      <w:sz w:val="22"/>
                      <w:szCs w:val="22"/>
                    </w:rPr>
                    <w:t>电锯</w:t>
                  </w:r>
                </w:p>
              </w:tc>
              <w:tc>
                <w:tcPr>
                  <w:tcW w:w="637" w:type="dxa"/>
                  <w:vAlign w:val="top"/>
                </w:tcPr>
                <w:p w14:paraId="58479D80">
                  <w:pPr>
                    <w:spacing w:before="113" w:line="189" w:lineRule="auto"/>
                    <w:ind w:left="13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87.0</w:t>
                  </w:r>
                </w:p>
              </w:tc>
              <w:tc>
                <w:tcPr>
                  <w:tcW w:w="614" w:type="dxa"/>
                  <w:vAlign w:val="top"/>
                </w:tcPr>
                <w:p w14:paraId="02A31264">
                  <w:pPr>
                    <w:spacing w:before="113" w:line="189" w:lineRule="auto"/>
                    <w:ind w:left="11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71.4</w:t>
                  </w:r>
                </w:p>
              </w:tc>
              <w:tc>
                <w:tcPr>
                  <w:tcW w:w="621" w:type="dxa"/>
                  <w:vAlign w:val="top"/>
                </w:tcPr>
                <w:p w14:paraId="05B91EF0">
                  <w:pPr>
                    <w:spacing w:before="113" w:line="189" w:lineRule="auto"/>
                    <w:ind w:left="12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67.0</w:t>
                  </w:r>
                </w:p>
              </w:tc>
              <w:tc>
                <w:tcPr>
                  <w:tcW w:w="655" w:type="dxa"/>
                  <w:vAlign w:val="top"/>
                </w:tcPr>
                <w:p w14:paraId="6F280B2D">
                  <w:pPr>
                    <w:spacing w:before="113" w:line="189" w:lineRule="auto"/>
                    <w:ind w:left="14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63.5</w:t>
                  </w:r>
                </w:p>
              </w:tc>
              <w:tc>
                <w:tcPr>
                  <w:tcW w:w="613" w:type="dxa"/>
                  <w:vAlign w:val="top"/>
                </w:tcPr>
                <w:p w14:paraId="4C56C950">
                  <w:pPr>
                    <w:spacing w:before="113" w:line="189"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61.0</w:t>
                  </w:r>
                </w:p>
              </w:tc>
              <w:tc>
                <w:tcPr>
                  <w:tcW w:w="626" w:type="dxa"/>
                  <w:vAlign w:val="top"/>
                </w:tcPr>
                <w:p w14:paraId="4D49CAD8">
                  <w:pPr>
                    <w:spacing w:before="113" w:line="189" w:lineRule="auto"/>
                    <w:ind w:left="12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59.0</w:t>
                  </w:r>
                </w:p>
              </w:tc>
              <w:tc>
                <w:tcPr>
                  <w:tcW w:w="638" w:type="dxa"/>
                  <w:vAlign w:val="top"/>
                </w:tcPr>
                <w:p w14:paraId="1FFC9D7D">
                  <w:pPr>
                    <w:spacing w:before="113" w:line="189" w:lineRule="auto"/>
                    <w:ind w:left="13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57.4</w:t>
                  </w:r>
                </w:p>
              </w:tc>
              <w:tc>
                <w:tcPr>
                  <w:tcW w:w="675" w:type="dxa"/>
                  <w:vAlign w:val="top"/>
                </w:tcPr>
                <w:p w14:paraId="3E011101">
                  <w:pPr>
                    <w:spacing w:before="113" w:line="189" w:lineRule="auto"/>
                    <w:ind w:left="15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56.1</w:t>
                  </w:r>
                </w:p>
              </w:tc>
              <w:tc>
                <w:tcPr>
                  <w:tcW w:w="1410" w:type="dxa"/>
                  <w:vAlign w:val="top"/>
                </w:tcPr>
                <w:p w14:paraId="1BD6AC10">
                  <w:pPr>
                    <w:spacing w:before="113" w:line="189" w:lineRule="auto"/>
                    <w:ind w:left="45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223.3</w:t>
                  </w:r>
                </w:p>
              </w:tc>
            </w:tr>
            <w:tr w14:paraId="2A7D7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419" w:type="dxa"/>
                  <w:vAlign w:val="top"/>
                </w:tcPr>
                <w:p w14:paraId="6F024AE2">
                  <w:pPr>
                    <w:pStyle w:val="6"/>
                    <w:spacing w:before="76" w:line="219" w:lineRule="auto"/>
                    <w:ind w:left="391"/>
                    <w:rPr>
                      <w:sz w:val="22"/>
                      <w:szCs w:val="22"/>
                    </w:rPr>
                  </w:pPr>
                  <w:r>
                    <w:rPr>
                      <w:spacing w:val="-5"/>
                      <w:sz w:val="22"/>
                      <w:szCs w:val="22"/>
                    </w:rPr>
                    <w:t>空压机</w:t>
                  </w:r>
                </w:p>
              </w:tc>
              <w:tc>
                <w:tcPr>
                  <w:tcW w:w="637" w:type="dxa"/>
                  <w:vAlign w:val="top"/>
                </w:tcPr>
                <w:p w14:paraId="350089D5">
                  <w:pPr>
                    <w:spacing w:before="114" w:line="189" w:lineRule="auto"/>
                    <w:ind w:left="13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82.0</w:t>
                  </w:r>
                </w:p>
              </w:tc>
              <w:tc>
                <w:tcPr>
                  <w:tcW w:w="614" w:type="dxa"/>
                  <w:vAlign w:val="top"/>
                </w:tcPr>
                <w:p w14:paraId="02A092CF">
                  <w:pPr>
                    <w:spacing w:before="114" w:line="189" w:lineRule="auto"/>
                    <w:ind w:left="12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66.4</w:t>
                  </w:r>
                </w:p>
              </w:tc>
              <w:tc>
                <w:tcPr>
                  <w:tcW w:w="621" w:type="dxa"/>
                  <w:vAlign w:val="top"/>
                </w:tcPr>
                <w:p w14:paraId="6D4C4264">
                  <w:pPr>
                    <w:spacing w:before="114" w:line="189" w:lineRule="auto"/>
                    <w:ind w:left="12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62.0</w:t>
                  </w:r>
                </w:p>
              </w:tc>
              <w:tc>
                <w:tcPr>
                  <w:tcW w:w="655" w:type="dxa"/>
                  <w:vAlign w:val="top"/>
                </w:tcPr>
                <w:p w14:paraId="1A01EC8F">
                  <w:pPr>
                    <w:spacing w:before="114" w:line="189" w:lineRule="auto"/>
                    <w:ind w:left="14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58.5</w:t>
                  </w:r>
                </w:p>
              </w:tc>
              <w:tc>
                <w:tcPr>
                  <w:tcW w:w="613" w:type="dxa"/>
                  <w:vAlign w:val="top"/>
                </w:tcPr>
                <w:p w14:paraId="37966AC0">
                  <w:pPr>
                    <w:spacing w:before="114" w:line="189" w:lineRule="auto"/>
                    <w:ind w:left="12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56.0</w:t>
                  </w:r>
                </w:p>
              </w:tc>
              <w:tc>
                <w:tcPr>
                  <w:tcW w:w="626" w:type="dxa"/>
                  <w:vAlign w:val="top"/>
                </w:tcPr>
                <w:p w14:paraId="4D8EF470">
                  <w:pPr>
                    <w:spacing w:before="114" w:line="189" w:lineRule="auto"/>
                    <w:ind w:left="12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54.0</w:t>
                  </w:r>
                </w:p>
              </w:tc>
              <w:tc>
                <w:tcPr>
                  <w:tcW w:w="638" w:type="dxa"/>
                  <w:vAlign w:val="top"/>
                </w:tcPr>
                <w:p w14:paraId="4D302CA4">
                  <w:pPr>
                    <w:spacing w:before="114" w:line="189" w:lineRule="auto"/>
                    <w:ind w:left="13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52.4</w:t>
                  </w:r>
                </w:p>
              </w:tc>
              <w:tc>
                <w:tcPr>
                  <w:tcW w:w="675" w:type="dxa"/>
                  <w:vAlign w:val="top"/>
                </w:tcPr>
                <w:p w14:paraId="3305870C">
                  <w:pPr>
                    <w:spacing w:before="114" w:line="189" w:lineRule="auto"/>
                    <w:ind w:left="15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51.1</w:t>
                  </w:r>
                </w:p>
              </w:tc>
              <w:tc>
                <w:tcPr>
                  <w:tcW w:w="1410" w:type="dxa"/>
                  <w:vAlign w:val="top"/>
                </w:tcPr>
                <w:p w14:paraId="6A40C43E">
                  <w:pPr>
                    <w:spacing w:before="114" w:line="189" w:lineRule="auto"/>
                    <w:ind w:left="48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125.6</w:t>
                  </w:r>
                </w:p>
              </w:tc>
            </w:tr>
            <w:tr w14:paraId="1BFB4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419" w:type="dxa"/>
                  <w:vAlign w:val="top"/>
                </w:tcPr>
                <w:p w14:paraId="2ED81FE9">
                  <w:pPr>
                    <w:pStyle w:val="6"/>
                    <w:spacing w:before="76" w:line="220" w:lineRule="auto"/>
                    <w:ind w:left="275"/>
                    <w:rPr>
                      <w:sz w:val="22"/>
                      <w:szCs w:val="22"/>
                    </w:rPr>
                  </w:pPr>
                  <w:r>
                    <w:rPr>
                      <w:spacing w:val="-3"/>
                      <w:sz w:val="22"/>
                      <w:szCs w:val="22"/>
                    </w:rPr>
                    <w:t>载重汽车</w:t>
                  </w:r>
                </w:p>
              </w:tc>
              <w:tc>
                <w:tcPr>
                  <w:tcW w:w="637" w:type="dxa"/>
                  <w:vAlign w:val="top"/>
                </w:tcPr>
                <w:p w14:paraId="121CCE68">
                  <w:pPr>
                    <w:spacing w:before="114" w:line="189" w:lineRule="auto"/>
                    <w:ind w:left="1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79.0</w:t>
                  </w:r>
                </w:p>
              </w:tc>
              <w:tc>
                <w:tcPr>
                  <w:tcW w:w="614" w:type="dxa"/>
                  <w:vAlign w:val="top"/>
                </w:tcPr>
                <w:p w14:paraId="1B8C6D17">
                  <w:pPr>
                    <w:spacing w:before="114" w:line="189" w:lineRule="auto"/>
                    <w:ind w:left="12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63.4</w:t>
                  </w:r>
                </w:p>
              </w:tc>
              <w:tc>
                <w:tcPr>
                  <w:tcW w:w="621" w:type="dxa"/>
                  <w:vAlign w:val="top"/>
                </w:tcPr>
                <w:p w14:paraId="510C070F">
                  <w:pPr>
                    <w:spacing w:before="114" w:line="189" w:lineRule="auto"/>
                    <w:ind w:left="12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59.0</w:t>
                  </w:r>
                </w:p>
              </w:tc>
              <w:tc>
                <w:tcPr>
                  <w:tcW w:w="655" w:type="dxa"/>
                  <w:vAlign w:val="top"/>
                </w:tcPr>
                <w:p w14:paraId="20EE29DE">
                  <w:pPr>
                    <w:spacing w:before="117" w:line="186" w:lineRule="auto"/>
                    <w:ind w:left="14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55.5</w:t>
                  </w:r>
                </w:p>
              </w:tc>
              <w:tc>
                <w:tcPr>
                  <w:tcW w:w="613" w:type="dxa"/>
                  <w:vAlign w:val="top"/>
                </w:tcPr>
                <w:p w14:paraId="165082E3">
                  <w:pPr>
                    <w:spacing w:before="114" w:line="189" w:lineRule="auto"/>
                    <w:ind w:left="12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53.0</w:t>
                  </w:r>
                </w:p>
              </w:tc>
              <w:tc>
                <w:tcPr>
                  <w:tcW w:w="626" w:type="dxa"/>
                  <w:vAlign w:val="top"/>
                </w:tcPr>
                <w:p w14:paraId="0C826B59">
                  <w:pPr>
                    <w:spacing w:before="114" w:line="189" w:lineRule="auto"/>
                    <w:ind w:left="12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51.0</w:t>
                  </w:r>
                </w:p>
              </w:tc>
              <w:tc>
                <w:tcPr>
                  <w:tcW w:w="638" w:type="dxa"/>
                  <w:vAlign w:val="top"/>
                </w:tcPr>
                <w:p w14:paraId="742311FD">
                  <w:pPr>
                    <w:spacing w:before="114" w:line="189" w:lineRule="auto"/>
                    <w:ind w:left="12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49.4</w:t>
                  </w:r>
                </w:p>
              </w:tc>
              <w:tc>
                <w:tcPr>
                  <w:tcW w:w="675" w:type="dxa"/>
                  <w:vAlign w:val="top"/>
                </w:tcPr>
                <w:p w14:paraId="415B33DF">
                  <w:pPr>
                    <w:spacing w:before="114" w:line="189" w:lineRule="auto"/>
                    <w:ind w:left="14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48.1</w:t>
                  </w:r>
                </w:p>
              </w:tc>
              <w:tc>
                <w:tcPr>
                  <w:tcW w:w="1410" w:type="dxa"/>
                  <w:vAlign w:val="top"/>
                </w:tcPr>
                <w:p w14:paraId="6DE6F095">
                  <w:pPr>
                    <w:spacing w:before="114" w:line="189" w:lineRule="auto"/>
                    <w:ind w:left="52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88.9</w:t>
                  </w:r>
                </w:p>
              </w:tc>
            </w:tr>
          </w:tbl>
          <w:p w14:paraId="7B57043F">
            <w:pPr>
              <w:spacing w:line="260" w:lineRule="auto"/>
              <w:rPr>
                <w:rFonts w:ascii="Arial"/>
                <w:sz w:val="21"/>
              </w:rPr>
            </w:pPr>
          </w:p>
          <w:p w14:paraId="1A28B0D2">
            <w:pPr>
              <w:spacing w:line="261" w:lineRule="auto"/>
              <w:rPr>
                <w:rFonts w:ascii="Arial"/>
                <w:sz w:val="21"/>
              </w:rPr>
            </w:pPr>
          </w:p>
          <w:p w14:paraId="4E4999E4">
            <w:pPr>
              <w:pStyle w:val="6"/>
              <w:spacing w:before="81" w:line="283" w:lineRule="auto"/>
              <w:ind w:left="113" w:right="103" w:firstLine="515"/>
            </w:pPr>
            <w:r>
              <w:rPr>
                <w:spacing w:val="5"/>
              </w:rPr>
              <w:t>根据预测结果可知，在距离噪声源</w:t>
            </w:r>
            <w:r>
              <w:rPr>
                <w:spacing w:val="-14"/>
              </w:rPr>
              <w:t xml:space="preserve"> </w:t>
            </w:r>
            <w:r>
              <w:rPr>
                <w:rFonts w:ascii="Times New Roman" w:hAnsi="Times New Roman" w:eastAsia="Times New Roman" w:cs="Times New Roman"/>
                <w:spacing w:val="5"/>
              </w:rPr>
              <w:t>100m</w:t>
            </w:r>
            <w:r>
              <w:rPr>
                <w:rFonts w:ascii="Times New Roman" w:hAnsi="Times New Roman" w:eastAsia="Times New Roman" w:cs="Times New Roman"/>
                <w:spacing w:val="21"/>
              </w:rPr>
              <w:t xml:space="preserve"> </w:t>
            </w:r>
            <w:r>
              <w:rPr>
                <w:spacing w:val="5"/>
              </w:rPr>
              <w:t>处，各个噪声源产生的噪</w:t>
            </w:r>
            <w:r>
              <w:rPr>
                <w:spacing w:val="7"/>
              </w:rPr>
              <w:t>声值在</w:t>
            </w:r>
            <w:r>
              <w:rPr>
                <w:spacing w:val="-43"/>
              </w:rPr>
              <w:t xml:space="preserve"> </w:t>
            </w:r>
            <w:r>
              <w:rPr>
                <w:rFonts w:ascii="Times New Roman" w:hAnsi="Times New Roman" w:eastAsia="Times New Roman" w:cs="Times New Roman"/>
                <w:spacing w:val="7"/>
              </w:rPr>
              <w:t>58~67</w:t>
            </w:r>
            <w:r>
              <w:rPr>
                <w:rFonts w:ascii="Times New Roman" w:hAnsi="Times New Roman" w:eastAsia="Times New Roman" w:cs="Times New Roman"/>
              </w:rPr>
              <w:t>dB</w:t>
            </w:r>
            <w:r>
              <w:rPr>
                <w:rFonts w:ascii="Times New Roman" w:hAnsi="Times New Roman" w:eastAsia="Times New Roman" w:cs="Times New Roman"/>
                <w:spacing w:val="7"/>
              </w:rPr>
              <w:t>(A)</w:t>
            </w:r>
            <w:r>
              <w:rPr>
                <w:spacing w:val="7"/>
              </w:rPr>
              <w:t>；在距离噪声源</w:t>
            </w:r>
            <w:r>
              <w:rPr>
                <w:spacing w:val="-55"/>
              </w:rPr>
              <w:t xml:space="preserve"> </w:t>
            </w:r>
            <w:r>
              <w:rPr>
                <w:rFonts w:ascii="Times New Roman" w:hAnsi="Times New Roman" w:eastAsia="Times New Roman" w:cs="Times New Roman"/>
                <w:spacing w:val="7"/>
              </w:rPr>
              <w:t>200m</w:t>
            </w:r>
            <w:r>
              <w:rPr>
                <w:rFonts w:ascii="Times New Roman" w:hAnsi="Times New Roman" w:eastAsia="Times New Roman" w:cs="Times New Roman"/>
                <w:spacing w:val="21"/>
              </w:rPr>
              <w:t xml:space="preserve"> </w:t>
            </w:r>
            <w:r>
              <w:rPr>
                <w:spacing w:val="7"/>
              </w:rPr>
              <w:t>处，各个噪声源产生的噪声</w:t>
            </w:r>
          </w:p>
        </w:tc>
      </w:tr>
    </w:tbl>
    <w:p w14:paraId="76A3D193">
      <w:pPr>
        <w:pStyle w:val="2"/>
        <w:rPr>
          <w:sz w:val="21"/>
        </w:rPr>
      </w:pPr>
    </w:p>
    <w:p w14:paraId="6DDD9981">
      <w:pPr>
        <w:rPr>
          <w:sz w:val="21"/>
          <w:szCs w:val="21"/>
        </w:rPr>
        <w:sectPr>
          <w:footerReference r:id="rId72" w:type="default"/>
          <w:pgSz w:w="11907" w:h="16840"/>
          <w:pgMar w:top="400" w:right="1490" w:bottom="1008" w:left="1489" w:header="0" w:footer="770" w:gutter="0"/>
          <w:cols w:space="720" w:num="1"/>
        </w:sectPr>
      </w:pPr>
    </w:p>
    <w:p w14:paraId="2D3D6849">
      <w:pPr>
        <w:spacing w:before="19"/>
      </w:pPr>
    </w:p>
    <w:p w14:paraId="1BED2EC8">
      <w:pPr>
        <w:spacing w:before="19"/>
      </w:pPr>
    </w:p>
    <w:p w14:paraId="786486DB">
      <w:pPr>
        <w:spacing w:before="19"/>
      </w:pPr>
    </w:p>
    <w:p w14:paraId="5C178551">
      <w:pPr>
        <w:spacing w:before="18"/>
      </w:pPr>
    </w:p>
    <w:p w14:paraId="2F989245">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5F7BD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23" w:hRule="atLeast"/>
        </w:trPr>
        <w:tc>
          <w:tcPr>
            <w:tcW w:w="754" w:type="dxa"/>
            <w:tcBorders>
              <w:right w:val="single" w:color="000000" w:sz="2" w:space="0"/>
            </w:tcBorders>
            <w:vAlign w:val="top"/>
          </w:tcPr>
          <w:p w14:paraId="5A4C4E4F">
            <w:pPr>
              <w:rPr>
                <w:rFonts w:ascii="Arial"/>
                <w:sz w:val="21"/>
              </w:rPr>
            </w:pPr>
          </w:p>
        </w:tc>
        <w:tc>
          <w:tcPr>
            <w:tcW w:w="8158" w:type="dxa"/>
            <w:tcBorders>
              <w:left w:val="single" w:color="000000" w:sz="2" w:space="0"/>
            </w:tcBorders>
            <w:vAlign w:val="top"/>
          </w:tcPr>
          <w:p w14:paraId="71E06C38">
            <w:pPr>
              <w:pStyle w:val="6"/>
              <w:spacing w:before="149" w:line="338" w:lineRule="auto"/>
              <w:ind w:left="108" w:right="103"/>
              <w:jc w:val="both"/>
            </w:pPr>
            <w:r>
              <w:rPr>
                <w:spacing w:val="7"/>
              </w:rPr>
              <w:t>值在</w:t>
            </w:r>
            <w:r>
              <w:rPr>
                <w:spacing w:val="-32"/>
              </w:rPr>
              <w:t xml:space="preserve"> </w:t>
            </w:r>
            <w:r>
              <w:rPr>
                <w:rFonts w:ascii="Times New Roman" w:hAnsi="Times New Roman" w:eastAsia="Times New Roman" w:cs="Times New Roman"/>
                <w:spacing w:val="7"/>
              </w:rPr>
              <w:t>52~61</w:t>
            </w:r>
            <w:r>
              <w:rPr>
                <w:rFonts w:ascii="Times New Roman" w:hAnsi="Times New Roman" w:eastAsia="Times New Roman" w:cs="Times New Roman"/>
              </w:rPr>
              <w:t>dB</w:t>
            </w:r>
            <w:r>
              <w:rPr>
                <w:rFonts w:ascii="Times New Roman" w:hAnsi="Times New Roman" w:eastAsia="Times New Roman" w:cs="Times New Roman"/>
                <w:spacing w:val="7"/>
              </w:rPr>
              <w:t>(A)</w:t>
            </w:r>
            <w:r>
              <w:rPr>
                <w:rFonts w:ascii="Times New Roman" w:hAnsi="Times New Roman" w:eastAsia="Times New Roman" w:cs="Times New Roman"/>
                <w:spacing w:val="-31"/>
              </w:rPr>
              <w:t xml:space="preserve"> </w:t>
            </w:r>
            <w:r>
              <w:rPr>
                <w:spacing w:val="7"/>
              </w:rPr>
              <w:t>，施工场地电锯、装载机对声环境的影响最大。应尽</w:t>
            </w:r>
            <w:r>
              <w:rPr>
                <w:spacing w:val="6"/>
              </w:rPr>
              <w:t>量将高噪声设备安排在厂区远离居民点的位置布置，并选择合理的施工</w:t>
            </w:r>
            <w:r>
              <w:rPr>
                <w:spacing w:val="9"/>
              </w:rPr>
              <w:t>时间，尽量将施工噪声的影响降到最小，避免噪声扰民。</w:t>
            </w:r>
          </w:p>
          <w:p w14:paraId="53825B8C">
            <w:pPr>
              <w:pStyle w:val="6"/>
              <w:spacing w:before="6" w:line="340" w:lineRule="auto"/>
              <w:ind w:left="108" w:right="103" w:firstLine="525"/>
              <w:jc w:val="both"/>
            </w:pPr>
            <w:r>
              <w:rPr>
                <w:spacing w:val="7"/>
              </w:rPr>
              <w:t>项目周边紧临居民主要分布在项目西侧及南侧，分别为乔鹤佳苑</w:t>
            </w:r>
            <w:r>
              <w:rPr>
                <w:spacing w:val="-43"/>
              </w:rPr>
              <w:t xml:space="preserve"> </w:t>
            </w:r>
            <w:r>
              <w:rPr>
                <w:rFonts w:ascii="Times New Roman" w:hAnsi="Times New Roman" w:eastAsia="Times New Roman" w:cs="Times New Roman"/>
                <w:spacing w:val="7"/>
              </w:rPr>
              <w:t>5</w:t>
            </w:r>
            <w:r>
              <w:rPr>
                <w:spacing w:val="5"/>
              </w:rPr>
              <w:t>栋（</w:t>
            </w:r>
            <w:r>
              <w:rPr>
                <w:rFonts w:ascii="Times New Roman" w:hAnsi="Times New Roman" w:eastAsia="Times New Roman" w:cs="Times New Roman"/>
                <w:spacing w:val="5"/>
              </w:rPr>
              <w:t>W</w:t>
            </w:r>
            <w:r>
              <w:rPr>
                <w:rFonts w:ascii="Times New Roman" w:hAnsi="Times New Roman" w:eastAsia="Times New Roman" w:cs="Times New Roman"/>
                <w:spacing w:val="-30"/>
              </w:rPr>
              <w:t xml:space="preserve"> </w:t>
            </w:r>
            <w:r>
              <w:rPr>
                <w:spacing w:val="5"/>
              </w:rPr>
              <w:t>，</w:t>
            </w:r>
            <w:r>
              <w:rPr>
                <w:rFonts w:ascii="Times New Roman" w:hAnsi="Times New Roman" w:eastAsia="Times New Roman" w:cs="Times New Roman"/>
                <w:spacing w:val="5"/>
              </w:rPr>
              <w:t>20m</w:t>
            </w:r>
            <w:r>
              <w:rPr>
                <w:spacing w:val="5"/>
              </w:rPr>
              <w:t>）、乔鹤佳苑</w:t>
            </w:r>
            <w:r>
              <w:rPr>
                <w:spacing w:val="-49"/>
              </w:rPr>
              <w:t xml:space="preserve"> </w:t>
            </w:r>
            <w:r>
              <w:rPr>
                <w:rFonts w:ascii="Times New Roman" w:hAnsi="Times New Roman" w:eastAsia="Times New Roman" w:cs="Times New Roman"/>
                <w:spacing w:val="5"/>
              </w:rPr>
              <w:t xml:space="preserve">6 </w:t>
            </w:r>
            <w:r>
              <w:rPr>
                <w:spacing w:val="5"/>
              </w:rPr>
              <w:t>栋南侧（</w:t>
            </w:r>
            <w:r>
              <w:rPr>
                <w:rFonts w:ascii="Times New Roman" w:hAnsi="Times New Roman" w:eastAsia="Times New Roman" w:cs="Times New Roman"/>
                <w:spacing w:val="5"/>
              </w:rPr>
              <w:t>S</w:t>
            </w:r>
            <w:r>
              <w:rPr>
                <w:rFonts w:ascii="Times New Roman" w:hAnsi="Times New Roman" w:eastAsia="Times New Roman" w:cs="Times New Roman"/>
                <w:spacing w:val="-31"/>
              </w:rPr>
              <w:t xml:space="preserve"> </w:t>
            </w:r>
            <w:r>
              <w:rPr>
                <w:spacing w:val="5"/>
              </w:rPr>
              <w:t>，</w:t>
            </w:r>
            <w:r>
              <w:rPr>
                <w:rFonts w:ascii="Times New Roman" w:hAnsi="Times New Roman" w:eastAsia="Times New Roman" w:cs="Times New Roman"/>
                <w:spacing w:val="5"/>
              </w:rPr>
              <w:t>20m</w:t>
            </w:r>
            <w:r>
              <w:rPr>
                <w:spacing w:val="26"/>
              </w:rPr>
              <w:t>），</w:t>
            </w:r>
            <w:r>
              <w:rPr>
                <w:spacing w:val="5"/>
              </w:rPr>
              <w:t>受影响人数共计约</w:t>
            </w:r>
            <w:r>
              <w:t xml:space="preserve"> </w:t>
            </w:r>
            <w:r>
              <w:rPr>
                <w:rFonts w:ascii="Times New Roman" w:hAnsi="Times New Roman" w:eastAsia="Times New Roman" w:cs="Times New Roman"/>
                <w:spacing w:val="8"/>
              </w:rPr>
              <w:t xml:space="preserve">72 </w:t>
            </w:r>
            <w:r>
              <w:rPr>
                <w:spacing w:val="8"/>
              </w:rPr>
              <w:t>人左右。施工期间声环境保护目标预测结果见下表。</w:t>
            </w:r>
          </w:p>
          <w:p w14:paraId="4CB4DF81">
            <w:pPr>
              <w:pStyle w:val="6"/>
              <w:spacing w:line="226" w:lineRule="auto"/>
              <w:ind w:left="1451"/>
            </w:pPr>
            <w:r>
              <w:rPr>
                <w:spacing w:val="6"/>
              </w:rPr>
              <w:t>表</w:t>
            </w:r>
            <w:r>
              <w:rPr>
                <w:spacing w:val="-36"/>
              </w:rPr>
              <w:t xml:space="preserve"> </w:t>
            </w:r>
            <w:r>
              <w:rPr>
                <w:rFonts w:ascii="Times New Roman" w:hAnsi="Times New Roman" w:eastAsia="Times New Roman" w:cs="Times New Roman"/>
                <w:spacing w:val="6"/>
              </w:rPr>
              <w:t xml:space="preserve">4.1-2    </w:t>
            </w:r>
            <w:r>
              <w:rPr>
                <w:spacing w:val="6"/>
              </w:rPr>
              <w:t xml:space="preserve">声环境保护目标预测结果  </w:t>
            </w:r>
            <w:r>
              <w:rPr>
                <w:rFonts w:ascii="Times New Roman" w:hAnsi="Times New Roman" w:eastAsia="Times New Roman" w:cs="Times New Roman"/>
              </w:rPr>
              <w:t>dB</w:t>
            </w:r>
            <w:r>
              <w:rPr>
                <w:spacing w:val="6"/>
              </w:rPr>
              <w:t>（</w:t>
            </w:r>
            <w:r>
              <w:rPr>
                <w:rFonts w:ascii="Times New Roman" w:hAnsi="Times New Roman" w:eastAsia="Times New Roman" w:cs="Times New Roman"/>
                <w:spacing w:val="6"/>
              </w:rPr>
              <w:t>A</w:t>
            </w:r>
            <w:r>
              <w:rPr>
                <w:spacing w:val="6"/>
              </w:rPr>
              <w:t>）</w:t>
            </w:r>
          </w:p>
          <w:p w14:paraId="306AD90B">
            <w:pPr>
              <w:spacing w:line="79" w:lineRule="auto"/>
              <w:rPr>
                <w:rFonts w:ascii="Arial"/>
                <w:sz w:val="2"/>
              </w:rPr>
            </w:pPr>
          </w:p>
          <w:tbl>
            <w:tblPr>
              <w:tblStyle w:val="5"/>
              <w:tblW w:w="7940"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7"/>
              <w:gridCol w:w="2080"/>
              <w:gridCol w:w="834"/>
              <w:gridCol w:w="930"/>
              <w:gridCol w:w="901"/>
              <w:gridCol w:w="958"/>
              <w:gridCol w:w="759"/>
              <w:gridCol w:w="821"/>
            </w:tblGrid>
            <w:tr w14:paraId="72028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657" w:type="dxa"/>
                  <w:textDirection w:val="tbRlV"/>
                  <w:vAlign w:val="top"/>
                </w:tcPr>
                <w:p w14:paraId="2563D837">
                  <w:pPr>
                    <w:pStyle w:val="6"/>
                    <w:spacing w:before="216" w:line="211" w:lineRule="auto"/>
                    <w:ind w:left="37"/>
                    <w:rPr>
                      <w:sz w:val="22"/>
                      <w:szCs w:val="22"/>
                    </w:rPr>
                  </w:pPr>
                  <w:r>
                    <w:rPr>
                      <w:spacing w:val="33"/>
                      <w:sz w:val="22"/>
                      <w:szCs w:val="22"/>
                    </w:rPr>
                    <w:t>序号</w:t>
                  </w:r>
                </w:p>
              </w:tc>
              <w:tc>
                <w:tcPr>
                  <w:tcW w:w="2080" w:type="dxa"/>
                  <w:vAlign w:val="top"/>
                </w:tcPr>
                <w:p w14:paraId="69D7205A">
                  <w:pPr>
                    <w:pStyle w:val="6"/>
                    <w:spacing w:before="179" w:line="222" w:lineRule="auto"/>
                    <w:ind w:left="826"/>
                    <w:rPr>
                      <w:sz w:val="22"/>
                      <w:szCs w:val="22"/>
                    </w:rPr>
                  </w:pPr>
                  <w:r>
                    <w:rPr>
                      <w:spacing w:val="-5"/>
                      <w:sz w:val="22"/>
                      <w:szCs w:val="22"/>
                    </w:rPr>
                    <w:t>名称</w:t>
                  </w:r>
                </w:p>
              </w:tc>
              <w:tc>
                <w:tcPr>
                  <w:tcW w:w="834" w:type="dxa"/>
                  <w:vAlign w:val="top"/>
                </w:tcPr>
                <w:p w14:paraId="785FA69E">
                  <w:pPr>
                    <w:pStyle w:val="6"/>
                    <w:spacing w:before="178" w:line="222" w:lineRule="auto"/>
                    <w:ind w:left="213"/>
                    <w:rPr>
                      <w:sz w:val="22"/>
                      <w:szCs w:val="22"/>
                    </w:rPr>
                  </w:pPr>
                  <w:r>
                    <w:rPr>
                      <w:spacing w:val="-9"/>
                      <w:sz w:val="22"/>
                      <w:szCs w:val="22"/>
                    </w:rPr>
                    <w:t>时段</w:t>
                  </w:r>
                </w:p>
              </w:tc>
              <w:tc>
                <w:tcPr>
                  <w:tcW w:w="930" w:type="dxa"/>
                  <w:vAlign w:val="top"/>
                </w:tcPr>
                <w:p w14:paraId="6C6FC558">
                  <w:pPr>
                    <w:pStyle w:val="6"/>
                    <w:spacing w:before="178" w:line="220" w:lineRule="auto"/>
                    <w:ind w:left="142"/>
                    <w:rPr>
                      <w:sz w:val="22"/>
                      <w:szCs w:val="22"/>
                    </w:rPr>
                  </w:pPr>
                  <w:r>
                    <w:rPr>
                      <w:spacing w:val="-4"/>
                      <w:sz w:val="22"/>
                      <w:szCs w:val="22"/>
                    </w:rPr>
                    <w:t>贡献值</w:t>
                  </w:r>
                </w:p>
              </w:tc>
              <w:tc>
                <w:tcPr>
                  <w:tcW w:w="901" w:type="dxa"/>
                  <w:vAlign w:val="top"/>
                </w:tcPr>
                <w:p w14:paraId="77B22553">
                  <w:pPr>
                    <w:pStyle w:val="6"/>
                    <w:spacing w:before="178" w:line="220" w:lineRule="auto"/>
                    <w:ind w:left="129"/>
                    <w:rPr>
                      <w:sz w:val="22"/>
                      <w:szCs w:val="22"/>
                    </w:rPr>
                  </w:pPr>
                  <w:r>
                    <w:rPr>
                      <w:spacing w:val="-4"/>
                      <w:sz w:val="22"/>
                      <w:szCs w:val="22"/>
                    </w:rPr>
                    <w:t>背景值</w:t>
                  </w:r>
                </w:p>
              </w:tc>
              <w:tc>
                <w:tcPr>
                  <w:tcW w:w="958" w:type="dxa"/>
                  <w:vAlign w:val="top"/>
                </w:tcPr>
                <w:p w14:paraId="2EA8E4D6">
                  <w:pPr>
                    <w:pStyle w:val="6"/>
                    <w:spacing w:before="178" w:line="220" w:lineRule="auto"/>
                    <w:ind w:left="158"/>
                    <w:rPr>
                      <w:sz w:val="22"/>
                      <w:szCs w:val="22"/>
                    </w:rPr>
                  </w:pPr>
                  <w:r>
                    <w:rPr>
                      <w:spacing w:val="-3"/>
                      <w:sz w:val="22"/>
                      <w:szCs w:val="22"/>
                    </w:rPr>
                    <w:t>预测值</w:t>
                  </w:r>
                </w:p>
              </w:tc>
              <w:tc>
                <w:tcPr>
                  <w:tcW w:w="759" w:type="dxa"/>
                  <w:vAlign w:val="top"/>
                </w:tcPr>
                <w:p w14:paraId="2856690C">
                  <w:pPr>
                    <w:pStyle w:val="6"/>
                    <w:spacing w:before="178" w:line="221" w:lineRule="auto"/>
                    <w:ind w:left="168"/>
                    <w:rPr>
                      <w:sz w:val="22"/>
                      <w:szCs w:val="22"/>
                    </w:rPr>
                  </w:pPr>
                  <w:r>
                    <w:rPr>
                      <w:spacing w:val="-4"/>
                      <w:sz w:val="22"/>
                      <w:szCs w:val="22"/>
                    </w:rPr>
                    <w:t>标准</w:t>
                  </w:r>
                </w:p>
              </w:tc>
              <w:tc>
                <w:tcPr>
                  <w:tcW w:w="821" w:type="dxa"/>
                  <w:vAlign w:val="top"/>
                </w:tcPr>
                <w:p w14:paraId="3167CED3">
                  <w:pPr>
                    <w:pStyle w:val="6"/>
                    <w:spacing w:before="178" w:line="221" w:lineRule="auto"/>
                    <w:ind w:left="195"/>
                    <w:rPr>
                      <w:sz w:val="22"/>
                      <w:szCs w:val="22"/>
                    </w:rPr>
                  </w:pPr>
                  <w:r>
                    <w:rPr>
                      <w:spacing w:val="-3"/>
                      <w:sz w:val="22"/>
                      <w:szCs w:val="22"/>
                    </w:rPr>
                    <w:t>达标</w:t>
                  </w:r>
                </w:p>
              </w:tc>
            </w:tr>
            <w:tr w14:paraId="6158A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57" w:type="dxa"/>
                  <w:vAlign w:val="top"/>
                </w:tcPr>
                <w:p w14:paraId="1B0CE6CE">
                  <w:pPr>
                    <w:spacing w:before="97" w:line="189" w:lineRule="auto"/>
                    <w:ind w:left="29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080" w:type="dxa"/>
                  <w:vAlign w:val="top"/>
                </w:tcPr>
                <w:p w14:paraId="0131D76A">
                  <w:pPr>
                    <w:pStyle w:val="6"/>
                    <w:spacing w:before="61" w:line="219" w:lineRule="auto"/>
                    <w:ind w:left="385"/>
                    <w:rPr>
                      <w:sz w:val="22"/>
                      <w:szCs w:val="22"/>
                    </w:rPr>
                  </w:pPr>
                  <w:r>
                    <w:rPr>
                      <w:spacing w:val="-2"/>
                      <w:sz w:val="22"/>
                      <w:szCs w:val="22"/>
                    </w:rPr>
                    <w:t>乔鹤佳苑</w:t>
                  </w:r>
                  <w:r>
                    <w:rPr>
                      <w:spacing w:val="-44"/>
                      <w:sz w:val="22"/>
                      <w:szCs w:val="22"/>
                    </w:rPr>
                    <w:t xml:space="preserve"> </w:t>
                  </w:r>
                  <w:r>
                    <w:rPr>
                      <w:rFonts w:ascii="Times New Roman" w:hAnsi="Times New Roman" w:eastAsia="Times New Roman" w:cs="Times New Roman"/>
                      <w:spacing w:val="-2"/>
                      <w:sz w:val="22"/>
                      <w:szCs w:val="22"/>
                    </w:rPr>
                    <w:t xml:space="preserve">5 </w:t>
                  </w:r>
                  <w:r>
                    <w:rPr>
                      <w:spacing w:val="-2"/>
                      <w:sz w:val="22"/>
                      <w:szCs w:val="22"/>
                    </w:rPr>
                    <w:t>栋</w:t>
                  </w:r>
                </w:p>
              </w:tc>
              <w:tc>
                <w:tcPr>
                  <w:tcW w:w="834" w:type="dxa"/>
                  <w:vAlign w:val="top"/>
                </w:tcPr>
                <w:p w14:paraId="66DEF277">
                  <w:pPr>
                    <w:pStyle w:val="6"/>
                    <w:spacing w:before="61" w:line="223" w:lineRule="auto"/>
                    <w:ind w:left="202"/>
                    <w:rPr>
                      <w:sz w:val="22"/>
                      <w:szCs w:val="22"/>
                    </w:rPr>
                  </w:pPr>
                  <w:r>
                    <w:rPr>
                      <w:spacing w:val="-3"/>
                      <w:sz w:val="22"/>
                      <w:szCs w:val="22"/>
                    </w:rPr>
                    <w:t>昼间</w:t>
                  </w:r>
                </w:p>
              </w:tc>
              <w:tc>
                <w:tcPr>
                  <w:tcW w:w="930" w:type="dxa"/>
                  <w:vAlign w:val="top"/>
                </w:tcPr>
                <w:p w14:paraId="7C8A7943">
                  <w:pPr>
                    <w:spacing w:before="97" w:line="189" w:lineRule="auto"/>
                    <w:ind w:left="27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90.5</w:t>
                  </w:r>
                </w:p>
              </w:tc>
              <w:tc>
                <w:tcPr>
                  <w:tcW w:w="901" w:type="dxa"/>
                  <w:vAlign w:val="top"/>
                </w:tcPr>
                <w:p w14:paraId="485DE616">
                  <w:pPr>
                    <w:spacing w:before="97" w:line="189" w:lineRule="auto"/>
                    <w:ind w:left="26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65.0</w:t>
                  </w:r>
                </w:p>
              </w:tc>
              <w:tc>
                <w:tcPr>
                  <w:tcW w:w="958" w:type="dxa"/>
                  <w:vAlign w:val="top"/>
                </w:tcPr>
                <w:p w14:paraId="38B595B9">
                  <w:pPr>
                    <w:spacing w:before="97" w:line="189" w:lineRule="auto"/>
                    <w:ind w:left="2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90.6</w:t>
                  </w:r>
                </w:p>
              </w:tc>
              <w:tc>
                <w:tcPr>
                  <w:tcW w:w="759" w:type="dxa"/>
                  <w:vAlign w:val="top"/>
                </w:tcPr>
                <w:p w14:paraId="1E388E5F">
                  <w:pPr>
                    <w:spacing w:before="97" w:line="189" w:lineRule="auto"/>
                    <w:ind w:left="27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70</w:t>
                  </w:r>
                </w:p>
              </w:tc>
              <w:tc>
                <w:tcPr>
                  <w:tcW w:w="821" w:type="dxa"/>
                  <w:vAlign w:val="top"/>
                </w:tcPr>
                <w:p w14:paraId="44490D5B">
                  <w:pPr>
                    <w:pStyle w:val="6"/>
                    <w:spacing w:before="61" w:line="221" w:lineRule="auto"/>
                    <w:ind w:left="195"/>
                    <w:rPr>
                      <w:sz w:val="22"/>
                      <w:szCs w:val="22"/>
                    </w:rPr>
                  </w:pPr>
                  <w:r>
                    <w:rPr>
                      <w:spacing w:val="-3"/>
                      <w:sz w:val="22"/>
                      <w:szCs w:val="22"/>
                    </w:rPr>
                    <w:t>超标</w:t>
                  </w:r>
                </w:p>
              </w:tc>
            </w:tr>
            <w:tr w14:paraId="06E90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57" w:type="dxa"/>
                  <w:vAlign w:val="top"/>
                </w:tcPr>
                <w:p w14:paraId="05E38EEE">
                  <w:pPr>
                    <w:spacing w:before="98" w:line="189" w:lineRule="auto"/>
                    <w:ind w:left="278"/>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2080" w:type="dxa"/>
                  <w:vAlign w:val="top"/>
                </w:tcPr>
                <w:p w14:paraId="53BDE7F7">
                  <w:pPr>
                    <w:pStyle w:val="6"/>
                    <w:spacing w:before="63" w:line="219" w:lineRule="auto"/>
                    <w:ind w:left="385"/>
                    <w:rPr>
                      <w:sz w:val="22"/>
                      <w:szCs w:val="22"/>
                    </w:rPr>
                  </w:pPr>
                  <w:r>
                    <w:rPr>
                      <w:spacing w:val="-2"/>
                      <w:sz w:val="22"/>
                      <w:szCs w:val="22"/>
                    </w:rPr>
                    <w:t>乔鹤佳苑</w:t>
                  </w:r>
                  <w:r>
                    <w:rPr>
                      <w:spacing w:val="-44"/>
                      <w:sz w:val="22"/>
                      <w:szCs w:val="22"/>
                    </w:rPr>
                    <w:t xml:space="preserve"> </w:t>
                  </w:r>
                  <w:r>
                    <w:rPr>
                      <w:rFonts w:ascii="Times New Roman" w:hAnsi="Times New Roman" w:eastAsia="Times New Roman" w:cs="Times New Roman"/>
                      <w:spacing w:val="-2"/>
                      <w:sz w:val="22"/>
                      <w:szCs w:val="22"/>
                    </w:rPr>
                    <w:t xml:space="preserve">6 </w:t>
                  </w:r>
                  <w:r>
                    <w:rPr>
                      <w:spacing w:val="-2"/>
                      <w:sz w:val="22"/>
                      <w:szCs w:val="22"/>
                    </w:rPr>
                    <w:t>栋</w:t>
                  </w:r>
                </w:p>
              </w:tc>
              <w:tc>
                <w:tcPr>
                  <w:tcW w:w="834" w:type="dxa"/>
                  <w:vAlign w:val="top"/>
                </w:tcPr>
                <w:p w14:paraId="2335E591">
                  <w:pPr>
                    <w:pStyle w:val="6"/>
                    <w:spacing w:before="62" w:line="223" w:lineRule="auto"/>
                    <w:ind w:left="202"/>
                    <w:rPr>
                      <w:sz w:val="22"/>
                      <w:szCs w:val="22"/>
                    </w:rPr>
                  </w:pPr>
                  <w:r>
                    <w:rPr>
                      <w:spacing w:val="-3"/>
                      <w:sz w:val="22"/>
                      <w:szCs w:val="22"/>
                    </w:rPr>
                    <w:t>昼间</w:t>
                  </w:r>
                </w:p>
              </w:tc>
              <w:tc>
                <w:tcPr>
                  <w:tcW w:w="930" w:type="dxa"/>
                  <w:vAlign w:val="top"/>
                </w:tcPr>
                <w:p w14:paraId="4805AA11">
                  <w:pPr>
                    <w:spacing w:before="98" w:line="189" w:lineRule="auto"/>
                    <w:ind w:left="27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90.5</w:t>
                  </w:r>
                </w:p>
              </w:tc>
              <w:tc>
                <w:tcPr>
                  <w:tcW w:w="901" w:type="dxa"/>
                  <w:vAlign w:val="top"/>
                </w:tcPr>
                <w:p w14:paraId="49F1DF53">
                  <w:pPr>
                    <w:spacing w:before="98" w:line="189" w:lineRule="auto"/>
                    <w:ind w:left="26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53.0</w:t>
                  </w:r>
                </w:p>
              </w:tc>
              <w:tc>
                <w:tcPr>
                  <w:tcW w:w="958" w:type="dxa"/>
                  <w:vAlign w:val="top"/>
                </w:tcPr>
                <w:p w14:paraId="4DA0A0F5">
                  <w:pPr>
                    <w:spacing w:before="98" w:line="189" w:lineRule="auto"/>
                    <w:ind w:left="2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90.5</w:t>
                  </w:r>
                </w:p>
              </w:tc>
              <w:tc>
                <w:tcPr>
                  <w:tcW w:w="759" w:type="dxa"/>
                  <w:vAlign w:val="top"/>
                </w:tcPr>
                <w:p w14:paraId="7398BC3F">
                  <w:pPr>
                    <w:spacing w:before="98" w:line="189" w:lineRule="auto"/>
                    <w:ind w:left="27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821" w:type="dxa"/>
                  <w:vAlign w:val="top"/>
                </w:tcPr>
                <w:p w14:paraId="7229C2AD">
                  <w:pPr>
                    <w:pStyle w:val="6"/>
                    <w:spacing w:before="62" w:line="221" w:lineRule="auto"/>
                    <w:ind w:left="195"/>
                    <w:rPr>
                      <w:sz w:val="22"/>
                      <w:szCs w:val="22"/>
                    </w:rPr>
                  </w:pPr>
                  <w:r>
                    <w:rPr>
                      <w:spacing w:val="-3"/>
                      <w:sz w:val="22"/>
                      <w:szCs w:val="22"/>
                    </w:rPr>
                    <w:t>超标</w:t>
                  </w:r>
                </w:p>
              </w:tc>
            </w:tr>
          </w:tbl>
          <w:p w14:paraId="1E77E394">
            <w:pPr>
              <w:pStyle w:val="6"/>
              <w:spacing w:before="30" w:line="220" w:lineRule="auto"/>
              <w:ind w:left="107"/>
              <w:rPr>
                <w:sz w:val="22"/>
                <w:szCs w:val="22"/>
              </w:rPr>
            </w:pPr>
            <w:r>
              <w:rPr>
                <w:spacing w:val="-2"/>
                <w:sz w:val="22"/>
                <w:szCs w:val="22"/>
              </w:rPr>
              <w:t>注：夜间不施工</w:t>
            </w:r>
          </w:p>
          <w:p w14:paraId="10CA4062">
            <w:pPr>
              <w:pStyle w:val="6"/>
              <w:spacing w:before="135" w:line="340" w:lineRule="auto"/>
              <w:ind w:left="108" w:right="52" w:firstLine="522"/>
              <w:jc w:val="both"/>
            </w:pPr>
            <w:r>
              <w:rPr>
                <w:spacing w:val="5"/>
              </w:rPr>
              <w:t>经预测项目施工期间，对临近居民点均有超标现象，因此本评价要</w:t>
            </w:r>
            <w:r>
              <w:rPr>
                <w:spacing w:val="6"/>
              </w:rPr>
              <w:t>求施工单位应合理安排施工时间，加强管理，禁止在夜间施工。高噪声设备往远离居民点东北侧方位布局；施工运输车辆应采取限速、合理安</w:t>
            </w:r>
            <w:r>
              <w:rPr>
                <w:spacing w:val="7"/>
              </w:rPr>
              <w:t>排运输时间等措施来降低噪声影响；在施工前应与周边群众加强沟通，</w:t>
            </w:r>
            <w:r>
              <w:rPr>
                <w:spacing w:val="6"/>
              </w:rPr>
              <w:t>做好相应的解释说明，取得群众的理解和谅解；施工单位积极采取</w:t>
            </w:r>
            <w:r>
              <w:rPr>
                <w:spacing w:val="5"/>
              </w:rPr>
              <w:t>噪声</w:t>
            </w:r>
            <w:r>
              <w:rPr>
                <w:spacing w:val="8"/>
              </w:rPr>
              <w:t>污染防治措施，施工设备选用低噪声设备。</w:t>
            </w:r>
          </w:p>
          <w:p w14:paraId="46AB0F33">
            <w:pPr>
              <w:pStyle w:val="6"/>
              <w:spacing w:before="3" w:line="339" w:lineRule="auto"/>
              <w:ind w:left="109" w:right="103" w:firstLine="522"/>
              <w:jc w:val="both"/>
            </w:pPr>
            <w:r>
              <w:rPr>
                <w:spacing w:val="5"/>
              </w:rPr>
              <w:t>综上分析，在采取以上措施的情况下，项目施工量较小，施工期较</w:t>
            </w:r>
            <w:r>
              <w:rPr>
                <w:spacing w:val="6"/>
              </w:rPr>
              <w:t>短，施工期噪声对环境影响程度有限，且施工噪声影响随工程施</w:t>
            </w:r>
            <w:r>
              <w:rPr>
                <w:spacing w:val="5"/>
              </w:rPr>
              <w:t>工的结</w:t>
            </w:r>
            <w:r>
              <w:rPr>
                <w:spacing w:val="9"/>
              </w:rPr>
              <w:t>束而消失，不会造成长期环境影响，当地环境可接受范围内。</w:t>
            </w:r>
          </w:p>
          <w:p w14:paraId="62ADE099">
            <w:pPr>
              <w:pStyle w:val="6"/>
              <w:spacing w:before="1" w:line="226" w:lineRule="auto"/>
              <w:ind w:left="105"/>
            </w:pPr>
            <w:r>
              <w:rPr>
                <w:rFonts w:ascii="Times New Roman" w:hAnsi="Times New Roman" w:eastAsia="Times New Roman" w:cs="Times New Roman"/>
                <w:b/>
                <w:bCs/>
                <w:spacing w:val="6"/>
              </w:rPr>
              <w:t xml:space="preserve">4.1.3 </w:t>
            </w:r>
            <w:r>
              <w:rPr>
                <w:b/>
                <w:bCs/>
                <w:spacing w:val="6"/>
              </w:rPr>
              <w:t>施工期固体废物影响分析及其防治措施</w:t>
            </w:r>
          </w:p>
          <w:p w14:paraId="7DE70D13">
            <w:pPr>
              <w:pStyle w:val="6"/>
              <w:spacing w:before="155" w:line="339" w:lineRule="auto"/>
              <w:ind w:left="110" w:right="103" w:firstLine="522"/>
            </w:pPr>
            <w:r>
              <w:rPr>
                <w:spacing w:val="5"/>
              </w:rPr>
              <w:t>项目施工期产生的固废主要为建筑垃圾、废弃设备和施工人员生活</w:t>
            </w:r>
            <w:r>
              <w:rPr>
                <w:spacing w:val="2"/>
              </w:rPr>
              <w:t>垃圾。</w:t>
            </w:r>
          </w:p>
          <w:p w14:paraId="032D617B">
            <w:pPr>
              <w:pStyle w:val="6"/>
              <w:spacing w:before="4" w:line="339" w:lineRule="auto"/>
              <w:ind w:left="103" w:right="35" w:firstLine="527"/>
              <w:jc w:val="both"/>
            </w:pPr>
            <w:r>
              <w:rPr>
                <w:spacing w:val="-1"/>
              </w:rPr>
              <w:t>其中，油罐及油品管道拆除中，清罐委托专业的清罐单位进行清洗，</w:t>
            </w:r>
            <w:r>
              <w:rPr>
                <w:spacing w:val="8"/>
              </w:rPr>
              <w:t>清洁油罐产生的油水混合物、油渣及废棉纱属于危险废物，危废代码：</w:t>
            </w:r>
            <w:r>
              <w:rPr>
                <w:spacing w:val="10"/>
              </w:rPr>
              <w:t xml:space="preserve"> </w:t>
            </w:r>
            <w:r>
              <w:rPr>
                <w:rFonts w:ascii="Times New Roman" w:hAnsi="Times New Roman" w:eastAsia="Times New Roman" w:cs="Times New Roman"/>
              </w:rPr>
              <w:t>HW</w:t>
            </w:r>
            <w:r>
              <w:rPr>
                <w:rFonts w:ascii="Times New Roman" w:hAnsi="Times New Roman" w:eastAsia="Times New Roman" w:cs="Times New Roman"/>
                <w:spacing w:val="7"/>
              </w:rPr>
              <w:t>08 900-249-08</w:t>
            </w:r>
            <w:r>
              <w:rPr>
                <w:rFonts w:ascii="Times New Roman" w:hAnsi="Times New Roman" w:eastAsia="Times New Roman" w:cs="Times New Roman"/>
                <w:spacing w:val="-20"/>
              </w:rPr>
              <w:t xml:space="preserve"> </w:t>
            </w:r>
            <w:r>
              <w:rPr>
                <w:spacing w:val="7"/>
              </w:rPr>
              <w:t>，由清洁单位送有危废处理资质单位处置；油罐、油</w:t>
            </w:r>
            <w:r>
              <w:rPr>
                <w:spacing w:val="9"/>
              </w:rPr>
              <w:t>品管道清洗干净拆除后交废品回收单位处理。</w:t>
            </w:r>
          </w:p>
          <w:p w14:paraId="4F555AB1">
            <w:pPr>
              <w:pStyle w:val="6"/>
              <w:spacing w:before="1" w:line="225" w:lineRule="auto"/>
              <w:ind w:left="629"/>
            </w:pPr>
            <w:r>
              <w:rPr>
                <w:spacing w:val="6"/>
              </w:rPr>
              <w:t>拆除油罐过程，建设单位可参照《企业拆除</w:t>
            </w:r>
            <w:r>
              <w:rPr>
                <w:spacing w:val="5"/>
              </w:rPr>
              <w:t>活动污染防治技术规定</w:t>
            </w:r>
          </w:p>
        </w:tc>
      </w:tr>
    </w:tbl>
    <w:p w14:paraId="44DD6593">
      <w:pPr>
        <w:pStyle w:val="2"/>
        <w:rPr>
          <w:sz w:val="21"/>
        </w:rPr>
      </w:pPr>
    </w:p>
    <w:p w14:paraId="3C77F79B">
      <w:pPr>
        <w:rPr>
          <w:sz w:val="21"/>
          <w:szCs w:val="21"/>
        </w:rPr>
        <w:sectPr>
          <w:footerReference r:id="rId73" w:type="default"/>
          <w:pgSz w:w="11907" w:h="16840"/>
          <w:pgMar w:top="400" w:right="1490" w:bottom="1008" w:left="1489" w:header="0" w:footer="770" w:gutter="0"/>
          <w:cols w:space="720" w:num="1"/>
        </w:sectPr>
      </w:pPr>
    </w:p>
    <w:p w14:paraId="29BCAB81">
      <w:pPr>
        <w:spacing w:before="19"/>
      </w:pPr>
    </w:p>
    <w:p w14:paraId="5A6E2672">
      <w:pPr>
        <w:spacing w:before="19"/>
      </w:pPr>
    </w:p>
    <w:p w14:paraId="30319395">
      <w:pPr>
        <w:spacing w:before="19"/>
      </w:pPr>
    </w:p>
    <w:p w14:paraId="2F938183">
      <w:pPr>
        <w:spacing w:before="18"/>
      </w:pPr>
    </w:p>
    <w:p w14:paraId="6F2E1B40">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3937E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064" w:hRule="atLeast"/>
        </w:trPr>
        <w:tc>
          <w:tcPr>
            <w:tcW w:w="754" w:type="dxa"/>
            <w:tcBorders>
              <w:bottom w:val="single" w:color="000000" w:sz="2" w:space="0"/>
              <w:right w:val="single" w:color="000000" w:sz="2" w:space="0"/>
            </w:tcBorders>
            <w:vAlign w:val="top"/>
          </w:tcPr>
          <w:p w14:paraId="4F11419A">
            <w:pPr>
              <w:rPr>
                <w:rFonts w:ascii="Arial"/>
                <w:sz w:val="21"/>
              </w:rPr>
            </w:pPr>
          </w:p>
        </w:tc>
        <w:tc>
          <w:tcPr>
            <w:tcW w:w="8158" w:type="dxa"/>
            <w:tcBorders>
              <w:left w:val="single" w:color="000000" w:sz="2" w:space="0"/>
              <w:bottom w:val="single" w:color="000000" w:sz="2" w:space="0"/>
            </w:tcBorders>
            <w:vAlign w:val="top"/>
          </w:tcPr>
          <w:p w14:paraId="22239932">
            <w:pPr>
              <w:pStyle w:val="6"/>
              <w:spacing w:before="146" w:line="340" w:lineRule="auto"/>
              <w:ind w:left="107" w:right="32" w:firstLine="12"/>
              <w:jc w:val="both"/>
            </w:pPr>
            <w:r>
              <w:rPr>
                <w:spacing w:val="5"/>
              </w:rPr>
              <w:t>（试行）》组织编制《企业拆除活动污染防治方案》、《拆除活动环境</w:t>
            </w:r>
            <w:r>
              <w:rPr>
                <w:spacing w:val="6"/>
              </w:rPr>
              <w:t>应急预案》等，建设单位可自行组织拆除工作或委托具备相应能力的施</w:t>
            </w:r>
            <w:r>
              <w:rPr>
                <w:spacing w:val="8"/>
              </w:rPr>
              <w:t>工单位开展拆除工作，实施过程中，应当根据现场的情况和土壤、水、</w:t>
            </w:r>
            <w:r>
              <w:rPr>
                <w:spacing w:val="6"/>
              </w:rPr>
              <w:t>大气等污染防治的需要，及时完善和调整《污染防治方案》。拆除过程可充分利用原有雨污分流、废水收集及处理系统，对拆除现场及拆除过程中产生的各类废水（含清洗废水）、污水、积水收集处理，禁止随意排放。没有收集处理系统或原有收集处理系统不可用的，应采取临时收集处理措施。拆除活动中应尽量减少固体废物的产生，油罐需在拆除后</w:t>
            </w:r>
            <w:r>
              <w:rPr>
                <w:spacing w:val="9"/>
              </w:rPr>
              <w:t>委托有组织单位及时清运处置，并做好资料台账记录。</w:t>
            </w:r>
          </w:p>
          <w:p w14:paraId="73EFC111">
            <w:pPr>
              <w:pStyle w:val="6"/>
              <w:spacing w:before="2" w:line="281" w:lineRule="auto"/>
              <w:ind w:left="107" w:right="103" w:firstLine="523"/>
            </w:pPr>
            <w:r>
              <w:rPr>
                <w:spacing w:val="5"/>
              </w:rPr>
              <w:t>经采取上述有效措施后施工期固废对周围环境的影响较小，环保措施可行。</w:t>
            </w:r>
          </w:p>
        </w:tc>
      </w:tr>
      <w:tr w14:paraId="586FC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48" w:hRule="atLeast"/>
        </w:trPr>
        <w:tc>
          <w:tcPr>
            <w:tcW w:w="754" w:type="dxa"/>
            <w:tcBorders>
              <w:top w:val="single" w:color="000000" w:sz="2" w:space="0"/>
              <w:right w:val="single" w:color="000000" w:sz="2" w:space="0"/>
            </w:tcBorders>
            <w:vAlign w:val="top"/>
          </w:tcPr>
          <w:p w14:paraId="68D1A52D">
            <w:pPr>
              <w:spacing w:line="258" w:lineRule="auto"/>
              <w:rPr>
                <w:rFonts w:ascii="Arial"/>
                <w:sz w:val="21"/>
              </w:rPr>
            </w:pPr>
          </w:p>
          <w:p w14:paraId="3F2299CE">
            <w:pPr>
              <w:spacing w:line="259" w:lineRule="auto"/>
              <w:rPr>
                <w:rFonts w:ascii="Arial"/>
                <w:sz w:val="21"/>
              </w:rPr>
            </w:pPr>
          </w:p>
          <w:p w14:paraId="43477266">
            <w:pPr>
              <w:spacing w:line="259" w:lineRule="auto"/>
              <w:rPr>
                <w:rFonts w:ascii="Arial"/>
                <w:sz w:val="21"/>
              </w:rPr>
            </w:pPr>
          </w:p>
          <w:p w14:paraId="69BADF6F">
            <w:pPr>
              <w:spacing w:line="259" w:lineRule="auto"/>
              <w:rPr>
                <w:rFonts w:ascii="Arial"/>
                <w:sz w:val="21"/>
              </w:rPr>
            </w:pPr>
          </w:p>
          <w:p w14:paraId="6FA78FCD">
            <w:pPr>
              <w:spacing w:line="259" w:lineRule="auto"/>
              <w:rPr>
                <w:rFonts w:ascii="Arial"/>
                <w:sz w:val="21"/>
              </w:rPr>
            </w:pPr>
          </w:p>
          <w:p w14:paraId="7DC2BF6D">
            <w:pPr>
              <w:spacing w:line="259" w:lineRule="auto"/>
              <w:rPr>
                <w:rFonts w:ascii="Arial"/>
                <w:sz w:val="21"/>
              </w:rPr>
            </w:pPr>
          </w:p>
          <w:p w14:paraId="5EE37C03">
            <w:pPr>
              <w:spacing w:line="259" w:lineRule="auto"/>
              <w:rPr>
                <w:rFonts w:ascii="Arial"/>
                <w:sz w:val="21"/>
              </w:rPr>
            </w:pPr>
          </w:p>
          <w:p w14:paraId="6D80A926">
            <w:pPr>
              <w:spacing w:line="259" w:lineRule="auto"/>
              <w:rPr>
                <w:rFonts w:ascii="Arial"/>
                <w:sz w:val="21"/>
              </w:rPr>
            </w:pPr>
          </w:p>
          <w:p w14:paraId="7A4867EF">
            <w:pPr>
              <w:spacing w:line="259" w:lineRule="auto"/>
              <w:rPr>
                <w:rFonts w:ascii="Arial"/>
                <w:sz w:val="21"/>
              </w:rPr>
            </w:pPr>
          </w:p>
          <w:p w14:paraId="366F0786">
            <w:pPr>
              <w:spacing w:line="259" w:lineRule="auto"/>
              <w:rPr>
                <w:rFonts w:ascii="Arial"/>
                <w:sz w:val="21"/>
              </w:rPr>
            </w:pPr>
          </w:p>
          <w:p w14:paraId="7E0FA151">
            <w:pPr>
              <w:spacing w:line="259" w:lineRule="auto"/>
              <w:rPr>
                <w:rFonts w:ascii="Arial"/>
                <w:sz w:val="21"/>
              </w:rPr>
            </w:pPr>
          </w:p>
          <w:p w14:paraId="099EE1FD">
            <w:pPr>
              <w:pStyle w:val="6"/>
              <w:spacing w:before="82" w:line="249" w:lineRule="auto"/>
              <w:ind w:left="118" w:right="117"/>
              <w:jc w:val="both"/>
            </w:pPr>
            <w:r>
              <w:rPr>
                <w:spacing w:val="4"/>
              </w:rPr>
              <w:t>运营期环境影响和保护措施</w:t>
            </w:r>
          </w:p>
        </w:tc>
        <w:tc>
          <w:tcPr>
            <w:tcW w:w="8158" w:type="dxa"/>
            <w:tcBorders>
              <w:top w:val="single" w:color="000000" w:sz="2" w:space="0"/>
              <w:left w:val="single" w:color="000000" w:sz="2" w:space="0"/>
            </w:tcBorders>
            <w:vAlign w:val="top"/>
          </w:tcPr>
          <w:p w14:paraId="652C8A48">
            <w:pPr>
              <w:pStyle w:val="6"/>
              <w:spacing w:before="149" w:line="227" w:lineRule="auto"/>
              <w:ind w:left="105"/>
            </w:pPr>
            <w:r>
              <w:rPr>
                <w:rFonts w:ascii="Times New Roman" w:hAnsi="Times New Roman" w:eastAsia="Times New Roman" w:cs="Times New Roman"/>
                <w:b/>
                <w:bCs/>
                <w:spacing w:val="6"/>
              </w:rPr>
              <w:t xml:space="preserve">4.2 </w:t>
            </w:r>
            <w:r>
              <w:rPr>
                <w:b/>
                <w:bCs/>
                <w:spacing w:val="6"/>
              </w:rPr>
              <w:t>运营期环境影响和保护措施</w:t>
            </w:r>
          </w:p>
          <w:p w14:paraId="5E9A2038">
            <w:pPr>
              <w:pStyle w:val="6"/>
              <w:spacing w:before="153" w:line="227" w:lineRule="auto"/>
              <w:ind w:left="105"/>
            </w:pPr>
            <w:r>
              <w:rPr>
                <w:rFonts w:ascii="Times New Roman" w:hAnsi="Times New Roman" w:eastAsia="Times New Roman" w:cs="Times New Roman"/>
                <w:b/>
                <w:bCs/>
                <w:spacing w:val="6"/>
              </w:rPr>
              <w:t xml:space="preserve">4.2.1 </w:t>
            </w:r>
            <w:r>
              <w:rPr>
                <w:b/>
                <w:bCs/>
                <w:spacing w:val="6"/>
              </w:rPr>
              <w:t>废气影响分析及其防治措施</w:t>
            </w:r>
          </w:p>
          <w:p w14:paraId="20F4EE7E">
            <w:pPr>
              <w:pStyle w:val="6"/>
              <w:spacing w:before="153" w:line="227" w:lineRule="auto"/>
              <w:ind w:left="640"/>
            </w:pPr>
            <w:r>
              <w:rPr>
                <w:spacing w:val="7"/>
              </w:rPr>
              <w:t>（</w:t>
            </w:r>
            <w:r>
              <w:rPr>
                <w:rFonts w:ascii="Times New Roman" w:hAnsi="Times New Roman" w:eastAsia="Times New Roman" w:cs="Times New Roman"/>
                <w:spacing w:val="7"/>
              </w:rPr>
              <w:t>1</w:t>
            </w:r>
            <w:r>
              <w:rPr>
                <w:spacing w:val="7"/>
              </w:rPr>
              <w:t>）废气排放源强</w:t>
            </w:r>
          </w:p>
          <w:p w14:paraId="6DED7338">
            <w:pPr>
              <w:pStyle w:val="6"/>
              <w:spacing w:before="150" w:line="340" w:lineRule="auto"/>
              <w:ind w:left="108" w:right="52" w:firstLine="524"/>
            </w:pPr>
            <w:r>
              <w:rPr>
                <w:spacing w:val="5"/>
              </w:rPr>
              <w:t>项目主要大气污染因子为非甲烷总烃，营运期产生废气主要来自于</w:t>
            </w:r>
            <w:r>
              <w:rPr>
                <w:spacing w:val="7"/>
              </w:rPr>
              <w:t>油罐车卸油灌注废气、储油罐贮存呼吸废气以及少量的加油作业废气，</w:t>
            </w:r>
            <w:r>
              <w:rPr>
                <w:spacing w:val="6"/>
              </w:rPr>
              <w:t>均以非甲烷总烃计。另外，加油站运营过程中涉及过往车辆产生的少量</w:t>
            </w:r>
            <w:r>
              <w:rPr>
                <w:spacing w:val="9"/>
              </w:rPr>
              <w:t>汽车尾气、生化池臭气和备用柴油发电机废气。</w:t>
            </w:r>
          </w:p>
          <w:p w14:paraId="4505B60F">
            <w:pPr>
              <w:pStyle w:val="6"/>
              <w:spacing w:before="1" w:line="223" w:lineRule="auto"/>
              <w:ind w:left="628"/>
            </w:pPr>
            <w:r>
              <w:rPr>
                <w:spacing w:val="8"/>
              </w:rPr>
              <w:t>①油罐车卸油灌注废气</w:t>
            </w:r>
          </w:p>
          <w:p w14:paraId="447878AA">
            <w:pPr>
              <w:pStyle w:val="6"/>
              <w:spacing w:before="162" w:line="339" w:lineRule="auto"/>
              <w:ind w:left="108" w:right="35" w:firstLine="524"/>
            </w:pPr>
            <w:r>
              <w:rPr>
                <w:spacing w:val="5"/>
              </w:rPr>
              <w:t>油罐车卸油损耗是指将油品卸料进入油罐，油罐进行装油时所呼出</w:t>
            </w:r>
            <w:r>
              <w:rPr>
                <w:spacing w:val="6"/>
              </w:rPr>
              <w:t>的油蒸气而造成的油品蒸发损失。油罐进油时，由于油面逐渐升高，气体空间逐渐减小，罐内压力增大，当压力超过呼吸阀控制压力时，一定浓度的油蒸气开始从呼吸阀呼出，直到油罐停止收油。项目进料采用淹</w:t>
            </w:r>
            <w:r>
              <w:rPr>
                <w:spacing w:val="9"/>
              </w:rPr>
              <w:t>没输油管法，根据《中国加油站</w:t>
            </w:r>
            <w:r>
              <w:rPr>
                <w:spacing w:val="-42"/>
              </w:rPr>
              <w:t xml:space="preserve"> </w:t>
            </w:r>
            <w:r>
              <w:rPr>
                <w:rFonts w:ascii="Times New Roman" w:hAnsi="Times New Roman" w:eastAsia="Times New Roman" w:cs="Times New Roman"/>
              </w:rPr>
              <w:t>VOC</w:t>
            </w:r>
            <w:r>
              <w:rPr>
                <w:rFonts w:ascii="Times New Roman" w:hAnsi="Times New Roman" w:eastAsia="Times New Roman" w:cs="Times New Roman"/>
                <w:spacing w:val="9"/>
              </w:rPr>
              <w:t xml:space="preserve"> </w:t>
            </w:r>
            <w:r>
              <w:rPr>
                <w:spacing w:val="9"/>
              </w:rPr>
              <w:t>排放污染现状及控制》（环境科</w:t>
            </w:r>
            <w:r>
              <w:t>学</w:t>
            </w:r>
            <w:r>
              <w:rPr>
                <w:spacing w:val="-24"/>
              </w:rPr>
              <w:t xml:space="preserve"> </w:t>
            </w:r>
            <w:r>
              <w:t>·第</w:t>
            </w:r>
            <w:r>
              <w:rPr>
                <w:spacing w:val="-55"/>
              </w:rPr>
              <w:t xml:space="preserve"> </w:t>
            </w:r>
            <w:r>
              <w:rPr>
                <w:rFonts w:ascii="Times New Roman" w:hAnsi="Times New Roman" w:eastAsia="Times New Roman" w:cs="Times New Roman"/>
              </w:rPr>
              <w:t>27</w:t>
            </w:r>
            <w:r>
              <w:rPr>
                <w:rFonts w:ascii="Times New Roman" w:hAnsi="Times New Roman" w:eastAsia="Times New Roman" w:cs="Times New Roman"/>
                <w:spacing w:val="17"/>
                <w:w w:val="101"/>
              </w:rPr>
              <w:t xml:space="preserve"> </w:t>
            </w:r>
            <w:r>
              <w:t>卷第</w:t>
            </w:r>
            <w:r>
              <w:rPr>
                <w:spacing w:val="-44"/>
              </w:rPr>
              <w:t xml:space="preserve"> </w:t>
            </w:r>
            <w:r>
              <w:rPr>
                <w:rFonts w:ascii="Times New Roman" w:hAnsi="Times New Roman" w:eastAsia="Times New Roman" w:cs="Times New Roman"/>
              </w:rPr>
              <w:t>8</w:t>
            </w:r>
            <w:r>
              <w:rPr>
                <w:rFonts w:ascii="Times New Roman" w:hAnsi="Times New Roman" w:eastAsia="Times New Roman" w:cs="Times New Roman"/>
                <w:spacing w:val="18"/>
              </w:rPr>
              <w:t xml:space="preserve"> </w:t>
            </w:r>
            <w:r>
              <w:t xml:space="preserve">期 </w:t>
            </w:r>
            <w:r>
              <w:rPr>
                <w:rFonts w:ascii="Times New Roman" w:hAnsi="Times New Roman" w:eastAsia="Times New Roman" w:cs="Times New Roman"/>
              </w:rPr>
              <w:t>2006</w:t>
            </w:r>
            <w:r>
              <w:rPr>
                <w:rFonts w:ascii="Times New Roman" w:hAnsi="Times New Roman" w:eastAsia="Times New Roman" w:cs="Times New Roman"/>
                <w:spacing w:val="15"/>
                <w:w w:val="101"/>
              </w:rPr>
              <w:t xml:space="preserve"> </w:t>
            </w:r>
            <w:r>
              <w:t>年</w:t>
            </w:r>
            <w:r>
              <w:rPr>
                <w:spacing w:val="-44"/>
              </w:rPr>
              <w:t xml:space="preserve"> </w:t>
            </w:r>
            <w:r>
              <w:rPr>
                <w:rFonts w:ascii="Times New Roman" w:hAnsi="Times New Roman" w:eastAsia="Times New Roman" w:cs="Times New Roman"/>
              </w:rPr>
              <w:t>8</w:t>
            </w:r>
            <w:r>
              <w:rPr>
                <w:rFonts w:ascii="Times New Roman" w:hAnsi="Times New Roman" w:eastAsia="Times New Roman" w:cs="Times New Roman"/>
                <w:spacing w:val="21"/>
              </w:rPr>
              <w:t xml:space="preserve"> </w:t>
            </w:r>
            <w:r>
              <w:t>月</w:t>
            </w:r>
            <w:r>
              <w:rPr>
                <w:spacing w:val="-25"/>
              </w:rPr>
              <w:t>），</w:t>
            </w:r>
            <w:r>
              <w:t>汽油卸油过程中损耗率为</w:t>
            </w:r>
            <w:r>
              <w:rPr>
                <w:spacing w:val="-55"/>
              </w:rPr>
              <w:t xml:space="preserve"> </w:t>
            </w:r>
            <w:r>
              <w:rPr>
                <w:rFonts w:ascii="Times New Roman" w:hAnsi="Times New Roman" w:eastAsia="Times New Roman" w:cs="Times New Roman"/>
              </w:rPr>
              <w:t>2.3kg/t</w:t>
            </w:r>
            <w:r>
              <w:t>，</w:t>
            </w:r>
            <w:r>
              <w:rPr>
                <w:spacing w:val="7"/>
              </w:rPr>
              <w:t>一次油气回收系统回收率取</w:t>
            </w:r>
            <w:r>
              <w:rPr>
                <w:spacing w:val="-47"/>
              </w:rPr>
              <w:t xml:space="preserve"> </w:t>
            </w:r>
            <w:r>
              <w:rPr>
                <w:rFonts w:ascii="Times New Roman" w:hAnsi="Times New Roman" w:eastAsia="Times New Roman" w:cs="Times New Roman"/>
                <w:spacing w:val="7"/>
              </w:rPr>
              <w:t>95%</w:t>
            </w:r>
            <w:r>
              <w:rPr>
                <w:spacing w:val="7"/>
              </w:rPr>
              <w:t>。</w:t>
            </w:r>
          </w:p>
          <w:p w14:paraId="3F28004C">
            <w:pPr>
              <w:pStyle w:val="6"/>
              <w:spacing w:before="3" w:line="290" w:lineRule="auto"/>
              <w:ind w:left="112" w:right="103" w:firstLine="520"/>
            </w:pPr>
            <w:r>
              <w:rPr>
                <w:spacing w:val="7"/>
              </w:rPr>
              <w:t>项目改扩建后预计年周转汽油</w:t>
            </w:r>
            <w:r>
              <w:rPr>
                <w:spacing w:val="-27"/>
              </w:rPr>
              <w:t xml:space="preserve"> </w:t>
            </w:r>
            <w:r>
              <w:rPr>
                <w:rFonts w:ascii="Times New Roman" w:hAnsi="Times New Roman" w:eastAsia="Times New Roman" w:cs="Times New Roman"/>
                <w:spacing w:val="7"/>
              </w:rPr>
              <w:t>1700t</w:t>
            </w:r>
            <w:r>
              <w:rPr>
                <w:rFonts w:ascii="Times New Roman" w:hAnsi="Times New Roman" w:eastAsia="Times New Roman" w:cs="Times New Roman"/>
                <w:spacing w:val="-31"/>
              </w:rPr>
              <w:t xml:space="preserve"> </w:t>
            </w:r>
            <w:r>
              <w:rPr>
                <w:spacing w:val="7"/>
              </w:rPr>
              <w:t>，汽油损耗产生</w:t>
            </w:r>
            <w:r>
              <w:rPr>
                <w:spacing w:val="6"/>
              </w:rPr>
              <w:t>的油气经卸油油气回收系统回收处理。油罐车卸油灌注废气产生排放情</w:t>
            </w:r>
            <w:r>
              <w:rPr>
                <w:spacing w:val="5"/>
              </w:rPr>
              <w:t>况统计结果如</w:t>
            </w:r>
          </w:p>
        </w:tc>
      </w:tr>
    </w:tbl>
    <w:p w14:paraId="2DDE5A71">
      <w:pPr>
        <w:pStyle w:val="2"/>
        <w:rPr>
          <w:sz w:val="21"/>
        </w:rPr>
      </w:pPr>
    </w:p>
    <w:p w14:paraId="35CBDAD9">
      <w:pPr>
        <w:rPr>
          <w:sz w:val="21"/>
          <w:szCs w:val="21"/>
        </w:rPr>
        <w:sectPr>
          <w:footerReference r:id="rId74" w:type="default"/>
          <w:pgSz w:w="11907" w:h="16840"/>
          <w:pgMar w:top="400" w:right="1490" w:bottom="1008" w:left="1489" w:header="0" w:footer="770" w:gutter="0"/>
          <w:cols w:space="720" w:num="1"/>
        </w:sectPr>
      </w:pPr>
    </w:p>
    <w:p w14:paraId="5BCAE56B">
      <w:pPr>
        <w:spacing w:before="19"/>
      </w:pPr>
    </w:p>
    <w:p w14:paraId="1876EBAC">
      <w:pPr>
        <w:spacing w:before="19"/>
      </w:pPr>
    </w:p>
    <w:p w14:paraId="0C1F259D">
      <w:pPr>
        <w:spacing w:before="19"/>
      </w:pPr>
    </w:p>
    <w:p w14:paraId="7BEF045C">
      <w:pPr>
        <w:spacing w:before="18"/>
      </w:pPr>
    </w:p>
    <w:p w14:paraId="5D063EB7">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56394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33" w:hRule="atLeast"/>
        </w:trPr>
        <w:tc>
          <w:tcPr>
            <w:tcW w:w="754" w:type="dxa"/>
            <w:tcBorders>
              <w:right w:val="single" w:color="000000" w:sz="2" w:space="0"/>
            </w:tcBorders>
            <w:vAlign w:val="top"/>
          </w:tcPr>
          <w:p w14:paraId="7F64FB09">
            <w:pPr>
              <w:rPr>
                <w:rFonts w:ascii="Arial"/>
                <w:sz w:val="21"/>
              </w:rPr>
            </w:pPr>
          </w:p>
        </w:tc>
        <w:tc>
          <w:tcPr>
            <w:tcW w:w="8158" w:type="dxa"/>
            <w:tcBorders>
              <w:left w:val="single" w:color="000000" w:sz="2" w:space="0"/>
            </w:tcBorders>
            <w:vAlign w:val="top"/>
          </w:tcPr>
          <w:p w14:paraId="60AAFAA9">
            <w:pPr>
              <w:pStyle w:val="6"/>
              <w:spacing w:before="141" w:line="227" w:lineRule="auto"/>
              <w:ind w:left="116"/>
            </w:pPr>
            <w:r>
              <w:rPr>
                <w:spacing w:val="-2"/>
              </w:rPr>
              <w:t>下表</w:t>
            </w:r>
            <w:r>
              <w:rPr>
                <w:spacing w:val="-52"/>
              </w:rPr>
              <w:t xml:space="preserve"> </w:t>
            </w:r>
            <w:r>
              <w:rPr>
                <w:rFonts w:ascii="Times New Roman" w:hAnsi="Times New Roman" w:eastAsia="Times New Roman" w:cs="Times New Roman"/>
                <w:spacing w:val="-2"/>
              </w:rPr>
              <w:t>4.2-</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w:t>
            </w:r>
            <w:r>
              <w:rPr>
                <w:spacing w:val="-2"/>
              </w:rPr>
              <w:t>。</w:t>
            </w:r>
          </w:p>
          <w:p w14:paraId="2921AFD2">
            <w:pPr>
              <w:pStyle w:val="6"/>
              <w:spacing w:before="150" w:line="226" w:lineRule="auto"/>
              <w:ind w:left="789"/>
              <w:rPr>
                <w:rFonts w:ascii="Times New Roman" w:hAnsi="Times New Roman" w:eastAsia="Times New Roman" w:cs="Times New Roman"/>
              </w:rPr>
            </w:pPr>
            <w:r>
              <w:rPr>
                <w:spacing w:val="6"/>
              </w:rPr>
              <w:t>表</w:t>
            </w:r>
            <w:r>
              <w:rPr>
                <w:spacing w:val="-56"/>
              </w:rPr>
              <w:t xml:space="preserve"> </w:t>
            </w:r>
            <w:r>
              <w:rPr>
                <w:rFonts w:ascii="Times New Roman" w:hAnsi="Times New Roman" w:eastAsia="Times New Roman" w:cs="Times New Roman"/>
                <w:spacing w:val="6"/>
              </w:rPr>
              <w:t>4.2-</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 xml:space="preserve">1    </w:t>
            </w:r>
            <w:r>
              <w:rPr>
                <w:spacing w:val="6"/>
              </w:rPr>
              <w:t>油罐车卸油灌注废气产排情况统计表  单位：</w:t>
            </w:r>
            <w:r>
              <w:rPr>
                <w:rFonts w:ascii="Times New Roman" w:hAnsi="Times New Roman" w:eastAsia="Times New Roman" w:cs="Times New Roman"/>
                <w:spacing w:val="6"/>
              </w:rPr>
              <w:t>t/a</w:t>
            </w:r>
          </w:p>
          <w:p w14:paraId="1032B6B7">
            <w:pPr>
              <w:spacing w:line="100" w:lineRule="auto"/>
              <w:rPr>
                <w:rFonts w:ascii="Arial"/>
                <w:sz w:val="2"/>
              </w:rPr>
            </w:pPr>
          </w:p>
          <w:tbl>
            <w:tblPr>
              <w:tblStyle w:val="5"/>
              <w:tblW w:w="7940"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3"/>
              <w:gridCol w:w="680"/>
              <w:gridCol w:w="1108"/>
              <w:gridCol w:w="916"/>
              <w:gridCol w:w="945"/>
              <w:gridCol w:w="1121"/>
              <w:gridCol w:w="1159"/>
              <w:gridCol w:w="1328"/>
            </w:tblGrid>
            <w:tr w14:paraId="7A9BC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1363" w:type="dxa"/>
                  <w:gridSpan w:val="2"/>
                  <w:vMerge w:val="restart"/>
                  <w:tcBorders>
                    <w:bottom w:val="nil"/>
                    <w:tl2br w:val="single" w:color="000000" w:sz="4" w:space="0"/>
                  </w:tcBorders>
                  <w:vAlign w:val="top"/>
                </w:tcPr>
                <w:p w14:paraId="2B9AB1B9">
                  <w:pPr>
                    <w:pStyle w:val="6"/>
                    <w:spacing w:before="123" w:line="242" w:lineRule="auto"/>
                    <w:ind w:left="115" w:right="183" w:firstLine="629"/>
                    <w:rPr>
                      <w:sz w:val="22"/>
                      <w:szCs w:val="22"/>
                    </w:rPr>
                  </w:pPr>
                  <w:r>
                    <w:rPr>
                      <w:spacing w:val="-6"/>
                      <w:sz w:val="22"/>
                      <w:szCs w:val="22"/>
                    </w:rPr>
                    <w:t>项目</w:t>
                  </w:r>
                  <w:r>
                    <w:rPr>
                      <w:spacing w:val="-4"/>
                      <w:sz w:val="22"/>
                      <w:szCs w:val="22"/>
                    </w:rPr>
                    <w:t>类型</w:t>
                  </w:r>
                </w:p>
              </w:tc>
              <w:tc>
                <w:tcPr>
                  <w:tcW w:w="1108" w:type="dxa"/>
                  <w:vMerge w:val="restart"/>
                  <w:tcBorders>
                    <w:bottom w:val="nil"/>
                  </w:tcBorders>
                  <w:vAlign w:val="top"/>
                </w:tcPr>
                <w:p w14:paraId="71E911E0">
                  <w:pPr>
                    <w:pStyle w:val="6"/>
                    <w:spacing w:before="268" w:line="220" w:lineRule="auto"/>
                    <w:ind w:left="228"/>
                    <w:rPr>
                      <w:sz w:val="22"/>
                      <w:szCs w:val="22"/>
                    </w:rPr>
                  </w:pPr>
                  <w:r>
                    <w:rPr>
                      <w:spacing w:val="-3"/>
                      <w:sz w:val="22"/>
                      <w:szCs w:val="22"/>
                    </w:rPr>
                    <w:t>损耗率</w:t>
                  </w:r>
                </w:p>
              </w:tc>
              <w:tc>
                <w:tcPr>
                  <w:tcW w:w="916" w:type="dxa"/>
                  <w:vMerge w:val="restart"/>
                  <w:tcBorders>
                    <w:bottom w:val="nil"/>
                  </w:tcBorders>
                  <w:vAlign w:val="top"/>
                </w:tcPr>
                <w:p w14:paraId="02869867">
                  <w:pPr>
                    <w:pStyle w:val="6"/>
                    <w:spacing w:before="268" w:line="221" w:lineRule="auto"/>
                    <w:ind w:left="133"/>
                    <w:rPr>
                      <w:sz w:val="22"/>
                      <w:szCs w:val="22"/>
                    </w:rPr>
                  </w:pPr>
                  <w:r>
                    <w:rPr>
                      <w:spacing w:val="-3"/>
                      <w:sz w:val="22"/>
                      <w:szCs w:val="22"/>
                    </w:rPr>
                    <w:t>周转量</w:t>
                  </w:r>
                </w:p>
              </w:tc>
              <w:tc>
                <w:tcPr>
                  <w:tcW w:w="945" w:type="dxa"/>
                  <w:vMerge w:val="restart"/>
                  <w:tcBorders>
                    <w:bottom w:val="nil"/>
                  </w:tcBorders>
                  <w:vAlign w:val="top"/>
                </w:tcPr>
                <w:p w14:paraId="7E582421">
                  <w:pPr>
                    <w:pStyle w:val="6"/>
                    <w:spacing w:before="268" w:line="220" w:lineRule="auto"/>
                    <w:ind w:left="148"/>
                    <w:rPr>
                      <w:sz w:val="22"/>
                      <w:szCs w:val="22"/>
                    </w:rPr>
                  </w:pPr>
                  <w:r>
                    <w:rPr>
                      <w:spacing w:val="-3"/>
                      <w:sz w:val="22"/>
                      <w:szCs w:val="22"/>
                    </w:rPr>
                    <w:t>损耗量</w:t>
                  </w:r>
                </w:p>
              </w:tc>
              <w:tc>
                <w:tcPr>
                  <w:tcW w:w="2280" w:type="dxa"/>
                  <w:gridSpan w:val="2"/>
                  <w:vAlign w:val="top"/>
                </w:tcPr>
                <w:p w14:paraId="00F1B7C8">
                  <w:pPr>
                    <w:pStyle w:val="6"/>
                    <w:spacing w:before="79" w:line="220" w:lineRule="auto"/>
                    <w:ind w:left="269"/>
                    <w:rPr>
                      <w:sz w:val="22"/>
                      <w:szCs w:val="22"/>
                    </w:rPr>
                  </w:pPr>
                  <w:r>
                    <w:rPr>
                      <w:spacing w:val="-2"/>
                      <w:sz w:val="22"/>
                      <w:szCs w:val="22"/>
                    </w:rPr>
                    <w:t>一次油气回收系统</w:t>
                  </w:r>
                </w:p>
              </w:tc>
              <w:tc>
                <w:tcPr>
                  <w:tcW w:w="1328" w:type="dxa"/>
                  <w:vMerge w:val="restart"/>
                  <w:tcBorders>
                    <w:bottom w:val="nil"/>
                  </w:tcBorders>
                  <w:vAlign w:val="top"/>
                </w:tcPr>
                <w:p w14:paraId="0C69BC2B">
                  <w:pPr>
                    <w:pStyle w:val="6"/>
                    <w:spacing w:before="125" w:line="242" w:lineRule="auto"/>
                    <w:ind w:left="450" w:right="109" w:hanging="327"/>
                    <w:rPr>
                      <w:sz w:val="22"/>
                      <w:szCs w:val="22"/>
                    </w:rPr>
                  </w:pPr>
                  <w:r>
                    <w:rPr>
                      <w:spacing w:val="-3"/>
                      <w:sz w:val="22"/>
                      <w:szCs w:val="22"/>
                    </w:rPr>
                    <w:t>油气无组织</w:t>
                  </w:r>
                  <w:r>
                    <w:rPr>
                      <w:spacing w:val="-4"/>
                      <w:sz w:val="22"/>
                      <w:szCs w:val="22"/>
                    </w:rPr>
                    <w:t>排放</w:t>
                  </w:r>
                </w:p>
              </w:tc>
            </w:tr>
            <w:tr w14:paraId="423BC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363" w:type="dxa"/>
                  <w:gridSpan w:val="2"/>
                  <w:vMerge w:val="continue"/>
                  <w:tcBorders>
                    <w:top w:val="nil"/>
                    <w:tl2br w:val="single" w:color="000000" w:sz="4" w:space="0"/>
                  </w:tcBorders>
                  <w:vAlign w:val="top"/>
                </w:tcPr>
                <w:p w14:paraId="40967ED7">
                  <w:pPr>
                    <w:rPr>
                      <w:rFonts w:ascii="Arial"/>
                      <w:sz w:val="21"/>
                    </w:rPr>
                  </w:pPr>
                </w:p>
              </w:tc>
              <w:tc>
                <w:tcPr>
                  <w:tcW w:w="1108" w:type="dxa"/>
                  <w:vMerge w:val="continue"/>
                  <w:tcBorders>
                    <w:top w:val="nil"/>
                  </w:tcBorders>
                  <w:vAlign w:val="top"/>
                </w:tcPr>
                <w:p w14:paraId="5C725CAD">
                  <w:pPr>
                    <w:rPr>
                      <w:rFonts w:ascii="Arial"/>
                      <w:sz w:val="21"/>
                    </w:rPr>
                  </w:pPr>
                </w:p>
              </w:tc>
              <w:tc>
                <w:tcPr>
                  <w:tcW w:w="916" w:type="dxa"/>
                  <w:vMerge w:val="continue"/>
                  <w:tcBorders>
                    <w:top w:val="nil"/>
                  </w:tcBorders>
                  <w:vAlign w:val="top"/>
                </w:tcPr>
                <w:p w14:paraId="4CE17C64">
                  <w:pPr>
                    <w:rPr>
                      <w:rFonts w:ascii="Arial"/>
                      <w:sz w:val="21"/>
                    </w:rPr>
                  </w:pPr>
                </w:p>
              </w:tc>
              <w:tc>
                <w:tcPr>
                  <w:tcW w:w="945" w:type="dxa"/>
                  <w:vMerge w:val="continue"/>
                  <w:tcBorders>
                    <w:top w:val="nil"/>
                  </w:tcBorders>
                  <w:vAlign w:val="top"/>
                </w:tcPr>
                <w:p w14:paraId="57106554">
                  <w:pPr>
                    <w:rPr>
                      <w:rFonts w:ascii="Arial"/>
                      <w:sz w:val="21"/>
                    </w:rPr>
                  </w:pPr>
                </w:p>
              </w:tc>
              <w:tc>
                <w:tcPr>
                  <w:tcW w:w="1121" w:type="dxa"/>
                  <w:vAlign w:val="top"/>
                </w:tcPr>
                <w:p w14:paraId="024E2F62">
                  <w:pPr>
                    <w:pStyle w:val="6"/>
                    <w:spacing w:before="74" w:line="220" w:lineRule="auto"/>
                    <w:ind w:left="259"/>
                    <w:rPr>
                      <w:sz w:val="22"/>
                      <w:szCs w:val="22"/>
                    </w:rPr>
                  </w:pPr>
                  <w:r>
                    <w:rPr>
                      <w:spacing w:val="-10"/>
                      <w:sz w:val="22"/>
                      <w:szCs w:val="22"/>
                    </w:rPr>
                    <w:t>回收率</w:t>
                  </w:r>
                </w:p>
              </w:tc>
              <w:tc>
                <w:tcPr>
                  <w:tcW w:w="1159" w:type="dxa"/>
                  <w:vAlign w:val="top"/>
                </w:tcPr>
                <w:p w14:paraId="773341E8">
                  <w:pPr>
                    <w:pStyle w:val="6"/>
                    <w:spacing w:before="74" w:line="220" w:lineRule="auto"/>
                    <w:ind w:left="278"/>
                    <w:rPr>
                      <w:sz w:val="22"/>
                      <w:szCs w:val="22"/>
                    </w:rPr>
                  </w:pPr>
                  <w:r>
                    <w:rPr>
                      <w:spacing w:val="-10"/>
                      <w:sz w:val="22"/>
                      <w:szCs w:val="22"/>
                    </w:rPr>
                    <w:t>回收量</w:t>
                  </w:r>
                </w:p>
              </w:tc>
              <w:tc>
                <w:tcPr>
                  <w:tcW w:w="1328" w:type="dxa"/>
                  <w:vMerge w:val="continue"/>
                  <w:tcBorders>
                    <w:top w:val="nil"/>
                  </w:tcBorders>
                  <w:vAlign w:val="top"/>
                </w:tcPr>
                <w:p w14:paraId="5111BCCE">
                  <w:pPr>
                    <w:rPr>
                      <w:rFonts w:ascii="Arial"/>
                      <w:sz w:val="21"/>
                    </w:rPr>
                  </w:pPr>
                </w:p>
              </w:tc>
            </w:tr>
            <w:tr w14:paraId="2BA02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683" w:type="dxa"/>
                  <w:vAlign w:val="top"/>
                </w:tcPr>
                <w:p w14:paraId="210567CD">
                  <w:pPr>
                    <w:pStyle w:val="6"/>
                    <w:spacing w:before="75" w:line="222" w:lineRule="auto"/>
                    <w:ind w:left="131"/>
                    <w:rPr>
                      <w:sz w:val="22"/>
                      <w:szCs w:val="22"/>
                    </w:rPr>
                  </w:pPr>
                  <w:r>
                    <w:rPr>
                      <w:spacing w:val="-6"/>
                      <w:sz w:val="22"/>
                      <w:szCs w:val="22"/>
                    </w:rPr>
                    <w:t>卸油</w:t>
                  </w:r>
                </w:p>
              </w:tc>
              <w:tc>
                <w:tcPr>
                  <w:tcW w:w="680" w:type="dxa"/>
                  <w:vAlign w:val="top"/>
                </w:tcPr>
                <w:p w14:paraId="1F1D4451">
                  <w:pPr>
                    <w:pStyle w:val="6"/>
                    <w:spacing w:before="75" w:line="224" w:lineRule="auto"/>
                    <w:ind w:left="123"/>
                    <w:rPr>
                      <w:sz w:val="22"/>
                      <w:szCs w:val="22"/>
                    </w:rPr>
                  </w:pPr>
                  <w:r>
                    <w:rPr>
                      <w:spacing w:val="-4"/>
                      <w:sz w:val="22"/>
                      <w:szCs w:val="22"/>
                    </w:rPr>
                    <w:t>汽油</w:t>
                  </w:r>
                </w:p>
              </w:tc>
              <w:tc>
                <w:tcPr>
                  <w:tcW w:w="1108" w:type="dxa"/>
                  <w:vAlign w:val="top"/>
                </w:tcPr>
                <w:p w14:paraId="4259B04B">
                  <w:pPr>
                    <w:spacing w:before="110" w:line="193" w:lineRule="auto"/>
                    <w:ind w:left="24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2.3kg/t</w:t>
                  </w:r>
                </w:p>
              </w:tc>
              <w:tc>
                <w:tcPr>
                  <w:tcW w:w="916" w:type="dxa"/>
                  <w:vAlign w:val="top"/>
                </w:tcPr>
                <w:p w14:paraId="3C9B3D5E">
                  <w:pPr>
                    <w:spacing w:before="114" w:line="189" w:lineRule="auto"/>
                    <w:ind w:left="260"/>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1700</w:t>
                  </w:r>
                </w:p>
              </w:tc>
              <w:tc>
                <w:tcPr>
                  <w:tcW w:w="945" w:type="dxa"/>
                  <w:vAlign w:val="top"/>
                </w:tcPr>
                <w:p w14:paraId="1AC695C8">
                  <w:pPr>
                    <w:spacing w:before="114" w:line="189" w:lineRule="auto"/>
                    <w:ind w:left="28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3.91</w:t>
                  </w:r>
                </w:p>
              </w:tc>
              <w:tc>
                <w:tcPr>
                  <w:tcW w:w="1121" w:type="dxa"/>
                  <w:vAlign w:val="top"/>
                </w:tcPr>
                <w:p w14:paraId="7E57EC0A">
                  <w:pPr>
                    <w:spacing w:before="114" w:line="189" w:lineRule="auto"/>
                    <w:ind w:left="36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95%</w:t>
                  </w:r>
                </w:p>
              </w:tc>
              <w:tc>
                <w:tcPr>
                  <w:tcW w:w="1159" w:type="dxa"/>
                  <w:vAlign w:val="top"/>
                </w:tcPr>
                <w:p w14:paraId="694A7D53">
                  <w:pPr>
                    <w:spacing w:before="114" w:line="189" w:lineRule="auto"/>
                    <w:ind w:left="33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3.715</w:t>
                  </w:r>
                </w:p>
              </w:tc>
              <w:tc>
                <w:tcPr>
                  <w:tcW w:w="1328" w:type="dxa"/>
                  <w:vAlign w:val="top"/>
                </w:tcPr>
                <w:p w14:paraId="02E7AA63">
                  <w:pPr>
                    <w:spacing w:before="114" w:line="189" w:lineRule="auto"/>
                    <w:ind w:left="42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0.195</w:t>
                  </w:r>
                </w:p>
              </w:tc>
            </w:tr>
          </w:tbl>
          <w:p w14:paraId="41C909D8">
            <w:pPr>
              <w:spacing w:line="260" w:lineRule="auto"/>
              <w:rPr>
                <w:rFonts w:ascii="Arial"/>
                <w:sz w:val="21"/>
              </w:rPr>
            </w:pPr>
          </w:p>
          <w:p w14:paraId="71DF2173">
            <w:pPr>
              <w:spacing w:line="260" w:lineRule="auto"/>
              <w:rPr>
                <w:rFonts w:ascii="Arial"/>
                <w:sz w:val="21"/>
              </w:rPr>
            </w:pPr>
          </w:p>
          <w:p w14:paraId="49CC4FE1">
            <w:pPr>
              <w:pStyle w:val="6"/>
              <w:spacing w:before="82" w:line="340" w:lineRule="auto"/>
              <w:ind w:left="108" w:right="103" w:firstLine="552"/>
              <w:jc w:val="both"/>
            </w:pPr>
            <w:r>
              <w:rPr>
                <w:spacing w:val="4"/>
              </w:rPr>
              <w:t>由上表</w:t>
            </w:r>
            <w:r>
              <w:rPr>
                <w:spacing w:val="-49"/>
              </w:rPr>
              <w:t xml:space="preserve"> </w:t>
            </w:r>
            <w:r>
              <w:rPr>
                <w:rFonts w:ascii="Times New Roman" w:hAnsi="Times New Roman" w:eastAsia="Times New Roman" w:cs="Times New Roman"/>
                <w:spacing w:val="4"/>
              </w:rPr>
              <w:t>4.2-</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 xml:space="preserve">1 </w:t>
            </w:r>
            <w:r>
              <w:rPr>
                <w:spacing w:val="4"/>
              </w:rPr>
              <w:t>可知，项目汽油损耗产生油气量为</w:t>
            </w:r>
            <w:r>
              <w:rPr>
                <w:spacing w:val="-50"/>
              </w:rPr>
              <w:t xml:space="preserve"> </w:t>
            </w:r>
            <w:r>
              <w:rPr>
                <w:rFonts w:ascii="Times New Roman" w:hAnsi="Times New Roman" w:eastAsia="Times New Roman" w:cs="Times New Roman"/>
                <w:spacing w:val="4"/>
              </w:rPr>
              <w:t>3.91t/a</w:t>
            </w:r>
            <w:r>
              <w:rPr>
                <w:rFonts w:ascii="Times New Roman" w:hAnsi="Times New Roman" w:eastAsia="Times New Roman" w:cs="Times New Roman"/>
                <w:spacing w:val="-26"/>
              </w:rPr>
              <w:t xml:space="preserve"> </w:t>
            </w:r>
            <w:r>
              <w:rPr>
                <w:spacing w:val="4"/>
              </w:rPr>
              <w:t>。卸油损耗</w:t>
            </w:r>
            <w:r>
              <w:rPr>
                <w:spacing w:val="6"/>
              </w:rPr>
              <w:t>汽油油气约</w:t>
            </w:r>
            <w:r>
              <w:rPr>
                <w:spacing w:val="-31"/>
              </w:rPr>
              <w:t xml:space="preserve"> </w:t>
            </w:r>
            <w:r>
              <w:rPr>
                <w:rFonts w:ascii="Times New Roman" w:hAnsi="Times New Roman" w:eastAsia="Times New Roman" w:cs="Times New Roman"/>
                <w:spacing w:val="6"/>
              </w:rPr>
              <w:t xml:space="preserve">3.715t/a </w:t>
            </w:r>
            <w:r>
              <w:rPr>
                <w:spacing w:val="6"/>
              </w:rPr>
              <w:t>通过卸油油气回收系统回收至油罐车内，然后运回</w:t>
            </w:r>
            <w:r>
              <w:rPr>
                <w:spacing w:val="4"/>
              </w:rPr>
              <w:t>油库处理；约</w:t>
            </w:r>
            <w:r>
              <w:rPr>
                <w:spacing w:val="-43"/>
              </w:rPr>
              <w:t xml:space="preserve"> </w:t>
            </w:r>
            <w:r>
              <w:rPr>
                <w:rFonts w:ascii="Times New Roman" w:hAnsi="Times New Roman" w:eastAsia="Times New Roman" w:cs="Times New Roman"/>
                <w:spacing w:val="4"/>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 xml:space="preserve">195t/a </w:t>
            </w:r>
            <w:r>
              <w:rPr>
                <w:spacing w:val="4"/>
              </w:rPr>
              <w:t>无组织排放。</w:t>
            </w:r>
          </w:p>
          <w:p w14:paraId="482298B8">
            <w:pPr>
              <w:pStyle w:val="6"/>
              <w:spacing w:before="1" w:line="223" w:lineRule="auto"/>
              <w:ind w:left="627"/>
            </w:pPr>
            <w:r>
              <w:rPr>
                <w:spacing w:val="9"/>
              </w:rPr>
              <w:t>②储油罐贮存呼吸废气</w:t>
            </w:r>
          </w:p>
          <w:p w14:paraId="6C8DB26D">
            <w:pPr>
              <w:pStyle w:val="6"/>
              <w:spacing w:before="153" w:line="340" w:lineRule="auto"/>
              <w:ind w:left="107" w:right="103" w:firstLine="520"/>
            </w:pPr>
            <w:r>
              <w:rPr>
                <w:spacing w:val="4"/>
              </w:rPr>
              <w:t>储油工序会产生油罐“小呼吸</w:t>
            </w:r>
            <w:r>
              <w:rPr>
                <w:spacing w:val="-76"/>
              </w:rPr>
              <w:t xml:space="preserve"> </w:t>
            </w:r>
            <w:r>
              <w:rPr>
                <w:spacing w:val="4"/>
              </w:rPr>
              <w:t>”损失，即随着外界气温、压力在一</w:t>
            </w:r>
            <w:r>
              <w:rPr>
                <w:spacing w:val="6"/>
              </w:rPr>
              <w:t>天内的升降周期变化，罐内气体空间温度、油品蒸发速度、油气浓度和</w:t>
            </w:r>
            <w:r>
              <w:rPr>
                <w:spacing w:val="14"/>
              </w:rPr>
              <w:t>蒸汽压力也随之变化，油罐排出油蒸气和吸入空气过程造成的油气损</w:t>
            </w:r>
            <w:r>
              <w:rPr>
                <w:spacing w:val="6"/>
              </w:rPr>
              <w:t>失。项目采用密闭储罐，并在储罐呼吸阀处设置油气排放处置装置（三</w:t>
            </w:r>
            <w:r>
              <w:rPr>
                <w:spacing w:val="9"/>
              </w:rPr>
              <w:t>次油气回收处置装置</w:t>
            </w:r>
            <w:r>
              <w:rPr>
                <w:spacing w:val="17"/>
              </w:rPr>
              <w:t>），</w:t>
            </w:r>
            <w:r>
              <w:rPr>
                <w:spacing w:val="9"/>
              </w:rPr>
              <w:t>采用膜分离</w:t>
            </w:r>
            <w:r>
              <w:rPr>
                <w:rFonts w:ascii="Times New Roman" w:hAnsi="Times New Roman" w:eastAsia="Times New Roman" w:cs="Times New Roman"/>
                <w:spacing w:val="9"/>
              </w:rPr>
              <w:t>+</w:t>
            </w:r>
            <w:r>
              <w:rPr>
                <w:spacing w:val="9"/>
              </w:rPr>
              <w:t>冷凝技术，剩余未回收的油气经</w:t>
            </w:r>
            <w:r>
              <w:rPr>
                <w:spacing w:val="7"/>
              </w:rPr>
              <w:t>通气管排出，其回收效率</w:t>
            </w:r>
            <w:r>
              <w:rPr>
                <w:spacing w:val="-48"/>
              </w:rPr>
              <w:t xml:space="preserve"> </w:t>
            </w:r>
            <w:r>
              <w:rPr>
                <w:rFonts w:ascii="Times New Roman" w:hAnsi="Times New Roman" w:eastAsia="Times New Roman" w:cs="Times New Roman"/>
                <w:spacing w:val="7"/>
              </w:rPr>
              <w:t>95%</w:t>
            </w:r>
            <w:r>
              <w:rPr>
                <w:rFonts w:ascii="Times New Roman" w:hAnsi="Times New Roman" w:eastAsia="Times New Roman" w:cs="Times New Roman"/>
                <w:spacing w:val="-24"/>
              </w:rPr>
              <w:t xml:space="preserve"> </w:t>
            </w:r>
            <w:r>
              <w:rPr>
                <w:spacing w:val="7"/>
              </w:rPr>
              <w:t>。参考《中国加油站</w:t>
            </w:r>
            <w:r>
              <w:rPr>
                <w:spacing w:val="-58"/>
              </w:rPr>
              <w:t xml:space="preserve"> </w:t>
            </w:r>
            <w:r>
              <w:rPr>
                <w:rFonts w:ascii="Times New Roman" w:hAnsi="Times New Roman" w:eastAsia="Times New Roman" w:cs="Times New Roman"/>
              </w:rPr>
              <w:t>VOC</w:t>
            </w:r>
            <w:r>
              <w:rPr>
                <w:rFonts w:ascii="Times New Roman" w:hAnsi="Times New Roman" w:eastAsia="Times New Roman" w:cs="Times New Roman"/>
                <w:spacing w:val="7"/>
              </w:rPr>
              <w:t xml:space="preserve"> </w:t>
            </w:r>
            <w:r>
              <w:rPr>
                <w:spacing w:val="6"/>
              </w:rPr>
              <w:t>排放污染现状</w:t>
            </w:r>
            <w:r>
              <w:rPr>
                <w:spacing w:val="-1"/>
              </w:rPr>
              <w:t>及控制》（环境科学</w:t>
            </w:r>
            <w:r>
              <w:rPr>
                <w:spacing w:val="-26"/>
              </w:rPr>
              <w:t xml:space="preserve"> </w:t>
            </w:r>
            <w:r>
              <w:rPr>
                <w:spacing w:val="-1"/>
              </w:rPr>
              <w:t>·第</w:t>
            </w:r>
            <w:r>
              <w:rPr>
                <w:spacing w:val="-55"/>
              </w:rPr>
              <w:t xml:space="preserve"> </w:t>
            </w:r>
            <w:r>
              <w:rPr>
                <w:rFonts w:ascii="Times New Roman" w:hAnsi="Times New Roman" w:eastAsia="Times New Roman" w:cs="Times New Roman"/>
                <w:spacing w:val="-1"/>
              </w:rPr>
              <w:t>27</w:t>
            </w:r>
            <w:r>
              <w:rPr>
                <w:rFonts w:ascii="Times New Roman" w:hAnsi="Times New Roman" w:eastAsia="Times New Roman" w:cs="Times New Roman"/>
                <w:spacing w:val="17"/>
                <w:w w:val="101"/>
              </w:rPr>
              <w:t xml:space="preserve"> </w:t>
            </w:r>
            <w:r>
              <w:rPr>
                <w:spacing w:val="-1"/>
              </w:rPr>
              <w:t>卷第</w:t>
            </w:r>
            <w:r>
              <w:rPr>
                <w:spacing w:val="-42"/>
              </w:rPr>
              <w:t xml:space="preserve"> </w:t>
            </w:r>
            <w:r>
              <w:rPr>
                <w:rFonts w:ascii="Times New Roman" w:hAnsi="Times New Roman" w:eastAsia="Times New Roman" w:cs="Times New Roman"/>
                <w:spacing w:val="-1"/>
              </w:rPr>
              <w:t>8</w:t>
            </w:r>
            <w:r>
              <w:rPr>
                <w:rFonts w:ascii="Times New Roman" w:hAnsi="Times New Roman" w:eastAsia="Times New Roman" w:cs="Times New Roman"/>
                <w:spacing w:val="16"/>
              </w:rPr>
              <w:t xml:space="preserve"> </w:t>
            </w:r>
            <w:r>
              <w:rPr>
                <w:spacing w:val="-1"/>
              </w:rPr>
              <w:t>期</w:t>
            </w:r>
            <w:r>
              <w:rPr>
                <w:spacing w:val="-55"/>
              </w:rPr>
              <w:t xml:space="preserve"> </w:t>
            </w:r>
            <w:r>
              <w:rPr>
                <w:rFonts w:ascii="Times New Roman" w:hAnsi="Times New Roman" w:eastAsia="Times New Roman" w:cs="Times New Roman"/>
                <w:spacing w:val="-1"/>
              </w:rPr>
              <w:t>2006</w:t>
            </w:r>
            <w:r>
              <w:rPr>
                <w:rFonts w:ascii="Times New Roman" w:hAnsi="Times New Roman" w:eastAsia="Times New Roman" w:cs="Times New Roman"/>
                <w:spacing w:val="16"/>
              </w:rPr>
              <w:t xml:space="preserve"> </w:t>
            </w:r>
            <w:r>
              <w:rPr>
                <w:spacing w:val="-1"/>
              </w:rPr>
              <w:t>年</w:t>
            </w:r>
            <w:r>
              <w:rPr>
                <w:spacing w:val="-44"/>
              </w:rPr>
              <w:t xml:space="preserve"> </w:t>
            </w:r>
            <w:r>
              <w:rPr>
                <w:rFonts w:ascii="Times New Roman" w:hAnsi="Times New Roman" w:eastAsia="Times New Roman" w:cs="Times New Roman"/>
                <w:spacing w:val="-1"/>
              </w:rPr>
              <w:t>8</w:t>
            </w:r>
            <w:r>
              <w:rPr>
                <w:rFonts w:ascii="Times New Roman" w:hAnsi="Times New Roman" w:eastAsia="Times New Roman" w:cs="Times New Roman"/>
                <w:spacing w:val="21"/>
              </w:rPr>
              <w:t xml:space="preserve"> </w:t>
            </w:r>
            <w:r>
              <w:rPr>
                <w:spacing w:val="-1"/>
              </w:rPr>
              <w:t>月）中的数</w:t>
            </w:r>
            <w:r>
              <w:rPr>
                <w:spacing w:val="-2"/>
              </w:rPr>
              <w:t>据，储存过</w:t>
            </w:r>
            <w:r>
              <w:rPr>
                <w:spacing w:val="4"/>
              </w:rPr>
              <w:t>程中汽油损耗率为</w:t>
            </w:r>
            <w:r>
              <w:rPr>
                <w:spacing w:val="-47"/>
              </w:rPr>
              <w:t xml:space="preserve"> </w:t>
            </w:r>
            <w:r>
              <w:rPr>
                <w:rFonts w:ascii="Times New Roman" w:hAnsi="Times New Roman" w:eastAsia="Times New Roman" w:cs="Times New Roman"/>
                <w:spacing w:val="4"/>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16</w:t>
            </w:r>
            <w:r>
              <w:rPr>
                <w:rFonts w:ascii="Times New Roman" w:hAnsi="Times New Roman" w:eastAsia="Times New Roman" w:cs="Times New Roman"/>
              </w:rPr>
              <w:t>kg</w:t>
            </w:r>
            <w:r>
              <w:rPr>
                <w:rFonts w:ascii="Times New Roman" w:hAnsi="Times New Roman" w:eastAsia="Times New Roman" w:cs="Times New Roman"/>
                <w:spacing w:val="4"/>
              </w:rPr>
              <w:t>/t</w:t>
            </w:r>
            <w:r>
              <w:rPr>
                <w:spacing w:val="4"/>
              </w:rPr>
              <w:t>。</w:t>
            </w:r>
          </w:p>
          <w:p w14:paraId="650651CF">
            <w:pPr>
              <w:pStyle w:val="6"/>
              <w:spacing w:before="2" w:line="339" w:lineRule="auto"/>
              <w:ind w:left="108" w:right="103" w:firstLine="524"/>
              <w:jc w:val="both"/>
            </w:pPr>
            <w:r>
              <w:rPr>
                <w:spacing w:val="7"/>
              </w:rPr>
              <w:t>项目改扩建后预计年周转汽油</w:t>
            </w:r>
            <w:r>
              <w:rPr>
                <w:spacing w:val="-16"/>
              </w:rPr>
              <w:t xml:space="preserve"> </w:t>
            </w:r>
            <w:r>
              <w:rPr>
                <w:rFonts w:ascii="Times New Roman" w:hAnsi="Times New Roman" w:eastAsia="Times New Roman" w:cs="Times New Roman"/>
                <w:spacing w:val="7"/>
              </w:rPr>
              <w:t>1700t</w:t>
            </w:r>
            <w:r>
              <w:rPr>
                <w:rFonts w:ascii="Times New Roman" w:hAnsi="Times New Roman" w:eastAsia="Times New Roman" w:cs="Times New Roman"/>
                <w:spacing w:val="-31"/>
              </w:rPr>
              <w:t xml:space="preserve"> </w:t>
            </w:r>
            <w:r>
              <w:rPr>
                <w:spacing w:val="7"/>
              </w:rPr>
              <w:t>，</w:t>
            </w:r>
            <w:r>
              <w:rPr>
                <w:spacing w:val="115"/>
              </w:rPr>
              <w:t xml:space="preserve"> </w:t>
            </w:r>
            <w:r>
              <w:rPr>
                <w:spacing w:val="7"/>
              </w:rPr>
              <w:t>汽油油罐小呼吸产生的油</w:t>
            </w:r>
            <w:r>
              <w:rPr>
                <w:spacing w:val="6"/>
              </w:rPr>
              <w:t>气经三次油气回收系统回收处理。储油罐贮存呼吸废气产生排放情</w:t>
            </w:r>
            <w:r>
              <w:rPr>
                <w:spacing w:val="5"/>
              </w:rPr>
              <w:t>况统计结果如下表</w:t>
            </w:r>
            <w:r>
              <w:rPr>
                <w:spacing w:val="-53"/>
              </w:rPr>
              <w:t xml:space="preserve"> </w:t>
            </w:r>
            <w:r>
              <w:rPr>
                <w:rFonts w:ascii="Times New Roman" w:hAnsi="Times New Roman" w:eastAsia="Times New Roman" w:cs="Times New Roman"/>
                <w:spacing w:val="5"/>
              </w:rPr>
              <w:t>4.2-2</w:t>
            </w:r>
            <w:r>
              <w:rPr>
                <w:spacing w:val="5"/>
              </w:rPr>
              <w:t>。</w:t>
            </w:r>
          </w:p>
          <w:p w14:paraId="77B7637C">
            <w:pPr>
              <w:pStyle w:val="6"/>
              <w:spacing w:before="1" w:line="225" w:lineRule="auto"/>
              <w:ind w:left="628"/>
              <w:rPr>
                <w:rFonts w:ascii="Times New Roman" w:hAnsi="Times New Roman" w:eastAsia="Times New Roman" w:cs="Times New Roman"/>
              </w:rPr>
            </w:pPr>
            <w:r>
              <w:rPr>
                <w:spacing w:val="7"/>
              </w:rPr>
              <w:t>表</w:t>
            </w:r>
            <w:r>
              <w:rPr>
                <w:spacing w:val="-56"/>
              </w:rPr>
              <w:t xml:space="preserve"> </w:t>
            </w:r>
            <w:r>
              <w:rPr>
                <w:rFonts w:ascii="Times New Roman" w:hAnsi="Times New Roman" w:eastAsia="Times New Roman" w:cs="Times New Roman"/>
                <w:spacing w:val="7"/>
              </w:rPr>
              <w:t xml:space="preserve">4.2-2    </w:t>
            </w:r>
            <w:r>
              <w:rPr>
                <w:spacing w:val="7"/>
              </w:rPr>
              <w:t>储油罐贮存呼吸废气产排情况统计表  单位：</w:t>
            </w:r>
            <w:r>
              <w:rPr>
                <w:rFonts w:ascii="Times New Roman" w:hAnsi="Times New Roman" w:eastAsia="Times New Roman" w:cs="Times New Roman"/>
                <w:spacing w:val="6"/>
              </w:rPr>
              <w:t>t/a</w:t>
            </w:r>
          </w:p>
          <w:p w14:paraId="6208B467">
            <w:pPr>
              <w:spacing w:line="91" w:lineRule="auto"/>
              <w:rPr>
                <w:rFonts w:ascii="Arial"/>
                <w:sz w:val="2"/>
              </w:rPr>
            </w:pPr>
          </w:p>
          <w:tbl>
            <w:tblPr>
              <w:tblStyle w:val="5"/>
              <w:tblW w:w="7940"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3"/>
              <w:gridCol w:w="680"/>
              <w:gridCol w:w="1073"/>
              <w:gridCol w:w="954"/>
              <w:gridCol w:w="1021"/>
              <w:gridCol w:w="1101"/>
              <w:gridCol w:w="1101"/>
              <w:gridCol w:w="1327"/>
            </w:tblGrid>
            <w:tr w14:paraId="1B7F1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1363" w:type="dxa"/>
                  <w:gridSpan w:val="2"/>
                  <w:vMerge w:val="restart"/>
                  <w:tcBorders>
                    <w:bottom w:val="nil"/>
                    <w:tl2br w:val="single" w:color="000000" w:sz="4" w:space="0"/>
                  </w:tcBorders>
                  <w:vAlign w:val="top"/>
                </w:tcPr>
                <w:p w14:paraId="13384BC0">
                  <w:pPr>
                    <w:pStyle w:val="6"/>
                    <w:spacing w:before="123" w:line="242" w:lineRule="auto"/>
                    <w:ind w:left="115" w:right="183" w:firstLine="629"/>
                    <w:rPr>
                      <w:sz w:val="22"/>
                      <w:szCs w:val="22"/>
                    </w:rPr>
                  </w:pPr>
                  <w:r>
                    <w:rPr>
                      <w:spacing w:val="-6"/>
                      <w:sz w:val="22"/>
                      <w:szCs w:val="22"/>
                    </w:rPr>
                    <w:t>项目</w:t>
                  </w:r>
                  <w:r>
                    <w:rPr>
                      <w:spacing w:val="-4"/>
                      <w:sz w:val="22"/>
                      <w:szCs w:val="22"/>
                    </w:rPr>
                    <w:t>类型</w:t>
                  </w:r>
                </w:p>
              </w:tc>
              <w:tc>
                <w:tcPr>
                  <w:tcW w:w="1073" w:type="dxa"/>
                  <w:vMerge w:val="restart"/>
                  <w:tcBorders>
                    <w:bottom w:val="nil"/>
                  </w:tcBorders>
                  <w:vAlign w:val="top"/>
                </w:tcPr>
                <w:p w14:paraId="17B36FAF">
                  <w:pPr>
                    <w:pStyle w:val="6"/>
                    <w:spacing w:before="268" w:line="220" w:lineRule="auto"/>
                    <w:ind w:left="211"/>
                    <w:rPr>
                      <w:sz w:val="22"/>
                      <w:szCs w:val="22"/>
                    </w:rPr>
                  </w:pPr>
                  <w:r>
                    <w:rPr>
                      <w:spacing w:val="-3"/>
                      <w:sz w:val="22"/>
                      <w:szCs w:val="22"/>
                    </w:rPr>
                    <w:t>损耗率</w:t>
                  </w:r>
                </w:p>
              </w:tc>
              <w:tc>
                <w:tcPr>
                  <w:tcW w:w="954" w:type="dxa"/>
                  <w:vMerge w:val="restart"/>
                  <w:tcBorders>
                    <w:bottom w:val="nil"/>
                  </w:tcBorders>
                  <w:vAlign w:val="top"/>
                </w:tcPr>
                <w:p w14:paraId="2E2B574C">
                  <w:pPr>
                    <w:pStyle w:val="6"/>
                    <w:spacing w:before="268" w:line="221" w:lineRule="auto"/>
                    <w:ind w:left="152"/>
                    <w:rPr>
                      <w:sz w:val="22"/>
                      <w:szCs w:val="22"/>
                    </w:rPr>
                  </w:pPr>
                  <w:r>
                    <w:rPr>
                      <w:spacing w:val="-3"/>
                      <w:sz w:val="22"/>
                      <w:szCs w:val="22"/>
                    </w:rPr>
                    <w:t>周转量</w:t>
                  </w:r>
                </w:p>
              </w:tc>
              <w:tc>
                <w:tcPr>
                  <w:tcW w:w="1021" w:type="dxa"/>
                  <w:vMerge w:val="restart"/>
                  <w:tcBorders>
                    <w:bottom w:val="nil"/>
                  </w:tcBorders>
                  <w:vAlign w:val="top"/>
                </w:tcPr>
                <w:p w14:paraId="7B0B67C4">
                  <w:pPr>
                    <w:pStyle w:val="6"/>
                    <w:spacing w:before="268" w:line="220" w:lineRule="auto"/>
                    <w:ind w:left="186"/>
                    <w:rPr>
                      <w:sz w:val="22"/>
                      <w:szCs w:val="22"/>
                    </w:rPr>
                  </w:pPr>
                  <w:r>
                    <w:rPr>
                      <w:spacing w:val="-3"/>
                      <w:sz w:val="22"/>
                      <w:szCs w:val="22"/>
                    </w:rPr>
                    <w:t>损耗量</w:t>
                  </w:r>
                </w:p>
              </w:tc>
              <w:tc>
                <w:tcPr>
                  <w:tcW w:w="2202" w:type="dxa"/>
                  <w:gridSpan w:val="2"/>
                  <w:vAlign w:val="top"/>
                </w:tcPr>
                <w:p w14:paraId="6445256B">
                  <w:pPr>
                    <w:pStyle w:val="6"/>
                    <w:spacing w:before="78" w:line="220" w:lineRule="auto"/>
                    <w:ind w:left="228"/>
                    <w:rPr>
                      <w:sz w:val="22"/>
                      <w:szCs w:val="22"/>
                    </w:rPr>
                  </w:pPr>
                  <w:r>
                    <w:rPr>
                      <w:spacing w:val="-1"/>
                      <w:sz w:val="22"/>
                      <w:szCs w:val="22"/>
                    </w:rPr>
                    <w:t>三次油气回收系统</w:t>
                  </w:r>
                </w:p>
              </w:tc>
              <w:tc>
                <w:tcPr>
                  <w:tcW w:w="1327" w:type="dxa"/>
                  <w:vMerge w:val="restart"/>
                  <w:tcBorders>
                    <w:bottom w:val="nil"/>
                  </w:tcBorders>
                  <w:vAlign w:val="top"/>
                </w:tcPr>
                <w:p w14:paraId="58308C75">
                  <w:pPr>
                    <w:pStyle w:val="6"/>
                    <w:spacing w:before="125" w:line="242" w:lineRule="auto"/>
                    <w:ind w:left="449" w:right="109" w:hanging="327"/>
                    <w:rPr>
                      <w:sz w:val="22"/>
                      <w:szCs w:val="22"/>
                    </w:rPr>
                  </w:pPr>
                  <w:r>
                    <w:rPr>
                      <w:spacing w:val="-3"/>
                      <w:sz w:val="22"/>
                      <w:szCs w:val="22"/>
                    </w:rPr>
                    <w:t>油气有组织</w:t>
                  </w:r>
                  <w:r>
                    <w:rPr>
                      <w:spacing w:val="-4"/>
                      <w:sz w:val="22"/>
                      <w:szCs w:val="22"/>
                    </w:rPr>
                    <w:t>排放</w:t>
                  </w:r>
                </w:p>
              </w:tc>
            </w:tr>
            <w:tr w14:paraId="69F3B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363" w:type="dxa"/>
                  <w:gridSpan w:val="2"/>
                  <w:vMerge w:val="continue"/>
                  <w:tcBorders>
                    <w:top w:val="nil"/>
                    <w:tl2br w:val="single" w:color="000000" w:sz="4" w:space="0"/>
                  </w:tcBorders>
                  <w:vAlign w:val="top"/>
                </w:tcPr>
                <w:p w14:paraId="521850E2">
                  <w:pPr>
                    <w:rPr>
                      <w:rFonts w:ascii="Arial"/>
                      <w:sz w:val="21"/>
                    </w:rPr>
                  </w:pPr>
                </w:p>
              </w:tc>
              <w:tc>
                <w:tcPr>
                  <w:tcW w:w="1073" w:type="dxa"/>
                  <w:vMerge w:val="continue"/>
                  <w:tcBorders>
                    <w:top w:val="nil"/>
                  </w:tcBorders>
                  <w:vAlign w:val="top"/>
                </w:tcPr>
                <w:p w14:paraId="3DFB8C09">
                  <w:pPr>
                    <w:rPr>
                      <w:rFonts w:ascii="Arial"/>
                      <w:sz w:val="21"/>
                    </w:rPr>
                  </w:pPr>
                </w:p>
              </w:tc>
              <w:tc>
                <w:tcPr>
                  <w:tcW w:w="954" w:type="dxa"/>
                  <w:vMerge w:val="continue"/>
                  <w:tcBorders>
                    <w:top w:val="nil"/>
                  </w:tcBorders>
                  <w:vAlign w:val="top"/>
                </w:tcPr>
                <w:p w14:paraId="7FF01668">
                  <w:pPr>
                    <w:rPr>
                      <w:rFonts w:ascii="Arial"/>
                      <w:sz w:val="21"/>
                    </w:rPr>
                  </w:pPr>
                </w:p>
              </w:tc>
              <w:tc>
                <w:tcPr>
                  <w:tcW w:w="1021" w:type="dxa"/>
                  <w:vMerge w:val="continue"/>
                  <w:tcBorders>
                    <w:top w:val="nil"/>
                  </w:tcBorders>
                  <w:vAlign w:val="top"/>
                </w:tcPr>
                <w:p w14:paraId="0BBF7460">
                  <w:pPr>
                    <w:rPr>
                      <w:rFonts w:ascii="Arial"/>
                      <w:sz w:val="21"/>
                    </w:rPr>
                  </w:pPr>
                </w:p>
              </w:tc>
              <w:tc>
                <w:tcPr>
                  <w:tcW w:w="1101" w:type="dxa"/>
                  <w:vAlign w:val="top"/>
                </w:tcPr>
                <w:p w14:paraId="3AC3C4DE">
                  <w:pPr>
                    <w:pStyle w:val="6"/>
                    <w:spacing w:before="75" w:line="220" w:lineRule="auto"/>
                    <w:ind w:left="249"/>
                    <w:rPr>
                      <w:sz w:val="22"/>
                      <w:szCs w:val="22"/>
                    </w:rPr>
                  </w:pPr>
                  <w:r>
                    <w:rPr>
                      <w:spacing w:val="-10"/>
                      <w:sz w:val="22"/>
                      <w:szCs w:val="22"/>
                    </w:rPr>
                    <w:t>回收率</w:t>
                  </w:r>
                </w:p>
              </w:tc>
              <w:tc>
                <w:tcPr>
                  <w:tcW w:w="1101" w:type="dxa"/>
                  <w:vAlign w:val="top"/>
                </w:tcPr>
                <w:p w14:paraId="02EF3E9B">
                  <w:pPr>
                    <w:pStyle w:val="6"/>
                    <w:spacing w:before="75" w:line="220" w:lineRule="auto"/>
                    <w:ind w:left="250"/>
                    <w:rPr>
                      <w:sz w:val="22"/>
                      <w:szCs w:val="22"/>
                    </w:rPr>
                  </w:pPr>
                  <w:r>
                    <w:rPr>
                      <w:spacing w:val="-10"/>
                      <w:sz w:val="22"/>
                      <w:szCs w:val="22"/>
                    </w:rPr>
                    <w:t>回收量</w:t>
                  </w:r>
                </w:p>
              </w:tc>
              <w:tc>
                <w:tcPr>
                  <w:tcW w:w="1327" w:type="dxa"/>
                  <w:vMerge w:val="continue"/>
                  <w:tcBorders>
                    <w:top w:val="nil"/>
                  </w:tcBorders>
                  <w:vAlign w:val="top"/>
                </w:tcPr>
                <w:p w14:paraId="2A73EB11">
                  <w:pPr>
                    <w:rPr>
                      <w:rFonts w:ascii="Arial"/>
                      <w:sz w:val="21"/>
                    </w:rPr>
                  </w:pPr>
                </w:p>
              </w:tc>
            </w:tr>
            <w:tr w14:paraId="50EAD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683" w:type="dxa"/>
                  <w:vAlign w:val="top"/>
                </w:tcPr>
                <w:p w14:paraId="77C511AF">
                  <w:pPr>
                    <w:pStyle w:val="6"/>
                    <w:spacing w:before="37" w:line="221" w:lineRule="auto"/>
                    <w:ind w:left="126"/>
                    <w:rPr>
                      <w:sz w:val="22"/>
                      <w:szCs w:val="22"/>
                    </w:rPr>
                  </w:pPr>
                  <w:r>
                    <w:rPr>
                      <w:spacing w:val="-3"/>
                      <w:sz w:val="22"/>
                      <w:szCs w:val="22"/>
                    </w:rPr>
                    <w:t>储油</w:t>
                  </w:r>
                </w:p>
                <w:p w14:paraId="469FAF17">
                  <w:pPr>
                    <w:pStyle w:val="6"/>
                    <w:spacing w:before="19" w:line="209" w:lineRule="auto"/>
                    <w:ind w:left="139"/>
                    <w:rPr>
                      <w:sz w:val="22"/>
                      <w:szCs w:val="22"/>
                    </w:rPr>
                  </w:pPr>
                  <w:r>
                    <w:rPr>
                      <w:spacing w:val="-10"/>
                      <w:sz w:val="22"/>
                      <w:szCs w:val="22"/>
                    </w:rPr>
                    <w:t>呼吸</w:t>
                  </w:r>
                </w:p>
              </w:tc>
              <w:tc>
                <w:tcPr>
                  <w:tcW w:w="680" w:type="dxa"/>
                  <w:vAlign w:val="top"/>
                </w:tcPr>
                <w:p w14:paraId="62501C08">
                  <w:pPr>
                    <w:pStyle w:val="6"/>
                    <w:spacing w:before="178" w:line="224" w:lineRule="auto"/>
                    <w:ind w:left="123"/>
                    <w:rPr>
                      <w:sz w:val="22"/>
                      <w:szCs w:val="22"/>
                    </w:rPr>
                  </w:pPr>
                  <w:r>
                    <w:rPr>
                      <w:spacing w:val="-4"/>
                      <w:sz w:val="22"/>
                      <w:szCs w:val="22"/>
                    </w:rPr>
                    <w:t>汽油</w:t>
                  </w:r>
                </w:p>
              </w:tc>
              <w:tc>
                <w:tcPr>
                  <w:tcW w:w="1073" w:type="dxa"/>
                  <w:vAlign w:val="top"/>
                </w:tcPr>
                <w:p w14:paraId="5024D608">
                  <w:pPr>
                    <w:spacing w:before="210" w:line="193" w:lineRule="auto"/>
                    <w:ind w:left="17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w:t>
                  </w:r>
                  <w:r>
                    <w:rPr>
                      <w:rFonts w:ascii="Times New Roman" w:hAnsi="Times New Roman" w:eastAsia="Times New Roman" w:cs="Times New Roman"/>
                      <w:spacing w:val="-25"/>
                      <w:sz w:val="22"/>
                      <w:szCs w:val="22"/>
                    </w:rPr>
                    <w:t xml:space="preserve"> </w:t>
                  </w:r>
                  <w:r>
                    <w:rPr>
                      <w:rFonts w:ascii="Times New Roman" w:hAnsi="Times New Roman" w:eastAsia="Times New Roman" w:cs="Times New Roman"/>
                      <w:spacing w:val="-5"/>
                      <w:sz w:val="22"/>
                      <w:szCs w:val="22"/>
                    </w:rPr>
                    <w:t>16kg/t</w:t>
                  </w:r>
                </w:p>
              </w:tc>
              <w:tc>
                <w:tcPr>
                  <w:tcW w:w="954" w:type="dxa"/>
                  <w:vAlign w:val="top"/>
                </w:tcPr>
                <w:p w14:paraId="59AD4005">
                  <w:pPr>
                    <w:spacing w:before="214" w:line="189" w:lineRule="auto"/>
                    <w:ind w:left="278"/>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1700</w:t>
                  </w:r>
                </w:p>
              </w:tc>
              <w:tc>
                <w:tcPr>
                  <w:tcW w:w="1021" w:type="dxa"/>
                  <w:vAlign w:val="top"/>
                </w:tcPr>
                <w:p w14:paraId="3A3E4EA1">
                  <w:pPr>
                    <w:spacing w:before="214" w:line="189" w:lineRule="auto"/>
                    <w:ind w:left="26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0.272</w:t>
                  </w:r>
                </w:p>
              </w:tc>
              <w:tc>
                <w:tcPr>
                  <w:tcW w:w="1101" w:type="dxa"/>
                  <w:vAlign w:val="top"/>
                </w:tcPr>
                <w:p w14:paraId="6F2A8D61">
                  <w:pPr>
                    <w:spacing w:before="214" w:line="189" w:lineRule="auto"/>
                    <w:ind w:left="35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95%</w:t>
                  </w:r>
                </w:p>
              </w:tc>
              <w:tc>
                <w:tcPr>
                  <w:tcW w:w="1101" w:type="dxa"/>
                  <w:vAlign w:val="top"/>
                </w:tcPr>
                <w:p w14:paraId="54903674">
                  <w:pPr>
                    <w:spacing w:before="214" w:line="189" w:lineRule="auto"/>
                    <w:ind w:left="30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0.258</w:t>
                  </w:r>
                </w:p>
              </w:tc>
              <w:tc>
                <w:tcPr>
                  <w:tcW w:w="1327" w:type="dxa"/>
                  <w:vAlign w:val="top"/>
                </w:tcPr>
                <w:p w14:paraId="06D77718">
                  <w:pPr>
                    <w:spacing w:before="214" w:line="189" w:lineRule="auto"/>
                    <w:ind w:left="42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0.014</w:t>
                  </w:r>
                </w:p>
              </w:tc>
            </w:tr>
          </w:tbl>
          <w:p w14:paraId="75D8D0DB">
            <w:pPr>
              <w:pStyle w:val="6"/>
              <w:spacing w:before="177" w:line="220" w:lineRule="auto"/>
              <w:ind w:left="107"/>
              <w:rPr>
                <w:sz w:val="22"/>
                <w:szCs w:val="22"/>
              </w:rPr>
            </w:pPr>
            <w:r>
              <w:rPr>
                <w:spacing w:val="-1"/>
                <w:sz w:val="22"/>
                <w:szCs w:val="22"/>
              </w:rPr>
              <w:t>注：根据</w:t>
            </w:r>
            <w:r>
              <w:rPr>
                <w:spacing w:val="-51"/>
                <w:sz w:val="22"/>
                <w:szCs w:val="22"/>
              </w:rPr>
              <w:t xml:space="preserve"> </w:t>
            </w:r>
            <w:r>
              <w:rPr>
                <w:rFonts w:ascii="Times New Roman" w:hAnsi="Times New Roman" w:eastAsia="Times New Roman" w:cs="Times New Roman"/>
                <w:spacing w:val="-1"/>
                <w:sz w:val="22"/>
                <w:szCs w:val="22"/>
              </w:rPr>
              <w:t>HJ1118-2020</w:t>
            </w:r>
            <w:r>
              <w:rPr>
                <w:rFonts w:ascii="Times New Roman" w:hAnsi="Times New Roman" w:eastAsia="Times New Roman" w:cs="Times New Roman"/>
                <w:spacing w:val="-28"/>
                <w:sz w:val="22"/>
                <w:szCs w:val="22"/>
              </w:rPr>
              <w:t xml:space="preserve"> </w:t>
            </w:r>
            <w:r>
              <w:rPr>
                <w:spacing w:val="-1"/>
                <w:sz w:val="22"/>
                <w:szCs w:val="22"/>
              </w:rPr>
              <w:t>，三次油气回</w:t>
            </w:r>
            <w:r>
              <w:rPr>
                <w:spacing w:val="-2"/>
                <w:sz w:val="22"/>
                <w:szCs w:val="22"/>
              </w:rPr>
              <w:t>收系统通气立管可作为有组织进行管理</w:t>
            </w:r>
          </w:p>
          <w:p w14:paraId="3897ABC3">
            <w:pPr>
              <w:pStyle w:val="6"/>
              <w:spacing w:before="166" w:line="226" w:lineRule="auto"/>
              <w:jc w:val="right"/>
            </w:pPr>
            <w:r>
              <w:rPr>
                <w:spacing w:val="2"/>
              </w:rPr>
              <w:t>由上表可知，项目汽油油罐储存过程小呼吸产生油气量为</w:t>
            </w:r>
            <w:r>
              <w:rPr>
                <w:spacing w:val="-51"/>
              </w:rPr>
              <w:t xml:space="preserve"> </w:t>
            </w:r>
            <w:r>
              <w:rPr>
                <w:rFonts w:ascii="Times New Roman" w:hAnsi="Times New Roman" w:eastAsia="Times New Roman" w:cs="Times New Roman"/>
                <w:spacing w:val="2"/>
              </w:rPr>
              <w:t>0.27</w:t>
            </w:r>
            <w:r>
              <w:rPr>
                <w:rFonts w:ascii="Times New Roman" w:hAnsi="Times New Roman" w:eastAsia="Times New Roman" w:cs="Times New Roman"/>
                <w:spacing w:val="1"/>
              </w:rPr>
              <w:t>2t/a</w:t>
            </w:r>
            <w:r>
              <w:rPr>
                <w:spacing w:val="1"/>
              </w:rPr>
              <w:t>，</w:t>
            </w:r>
          </w:p>
          <w:p w14:paraId="7CDABDB8">
            <w:pPr>
              <w:pStyle w:val="6"/>
              <w:spacing w:before="152" w:line="226" w:lineRule="auto"/>
              <w:ind w:left="108"/>
            </w:pPr>
            <w:r>
              <w:rPr>
                <w:spacing w:val="13"/>
              </w:rPr>
              <w:t>通过三次油气回收处理装置（处置效率不低于</w:t>
            </w:r>
            <w:r>
              <w:rPr>
                <w:spacing w:val="-45"/>
              </w:rPr>
              <w:t xml:space="preserve"> </w:t>
            </w:r>
            <w:r>
              <w:rPr>
                <w:rFonts w:ascii="Times New Roman" w:hAnsi="Times New Roman" w:eastAsia="Times New Roman" w:cs="Times New Roman"/>
                <w:spacing w:val="13"/>
              </w:rPr>
              <w:t>95</w:t>
            </w:r>
            <w:r>
              <w:rPr>
                <w:rFonts w:ascii="Times New Roman" w:hAnsi="Times New Roman" w:eastAsia="Times New Roman" w:cs="Times New Roman"/>
                <w:spacing w:val="12"/>
              </w:rPr>
              <w:t>%</w:t>
            </w:r>
            <w:r>
              <w:rPr>
                <w:spacing w:val="12"/>
              </w:rPr>
              <w:t>）对油品储罐呼吸</w:t>
            </w:r>
          </w:p>
        </w:tc>
      </w:tr>
    </w:tbl>
    <w:p w14:paraId="25BE6CBC">
      <w:pPr>
        <w:pStyle w:val="2"/>
        <w:rPr>
          <w:sz w:val="21"/>
        </w:rPr>
      </w:pPr>
    </w:p>
    <w:p w14:paraId="4C5FB05B">
      <w:pPr>
        <w:rPr>
          <w:sz w:val="21"/>
          <w:szCs w:val="21"/>
        </w:rPr>
        <w:sectPr>
          <w:footerReference r:id="rId75" w:type="default"/>
          <w:pgSz w:w="11907" w:h="16840"/>
          <w:pgMar w:top="400" w:right="1490" w:bottom="1008" w:left="1489" w:header="0" w:footer="770" w:gutter="0"/>
          <w:cols w:space="720" w:num="1"/>
        </w:sectPr>
      </w:pPr>
    </w:p>
    <w:p w14:paraId="7057D71F">
      <w:pPr>
        <w:spacing w:before="19"/>
      </w:pPr>
    </w:p>
    <w:p w14:paraId="61B7D721">
      <w:pPr>
        <w:spacing w:before="19"/>
      </w:pPr>
    </w:p>
    <w:p w14:paraId="2A44E9C4">
      <w:pPr>
        <w:spacing w:before="19"/>
      </w:pPr>
    </w:p>
    <w:p w14:paraId="7773D593">
      <w:pPr>
        <w:spacing w:before="18"/>
      </w:pPr>
    </w:p>
    <w:p w14:paraId="13F3F642">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79F0D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64" w:hRule="atLeast"/>
        </w:trPr>
        <w:tc>
          <w:tcPr>
            <w:tcW w:w="754" w:type="dxa"/>
            <w:tcBorders>
              <w:right w:val="single" w:color="000000" w:sz="2" w:space="0"/>
            </w:tcBorders>
            <w:vAlign w:val="top"/>
          </w:tcPr>
          <w:p w14:paraId="33CC9EA7">
            <w:pPr>
              <w:rPr>
                <w:rFonts w:ascii="Arial"/>
                <w:sz w:val="21"/>
              </w:rPr>
            </w:pPr>
          </w:p>
        </w:tc>
        <w:tc>
          <w:tcPr>
            <w:tcW w:w="8158" w:type="dxa"/>
            <w:tcBorders>
              <w:left w:val="single" w:color="000000" w:sz="2" w:space="0"/>
            </w:tcBorders>
            <w:vAlign w:val="top"/>
          </w:tcPr>
          <w:p w14:paraId="71C44A70">
            <w:pPr>
              <w:pStyle w:val="6"/>
              <w:spacing w:before="141" w:line="339" w:lineRule="auto"/>
              <w:ind w:left="114" w:right="105" w:hanging="2"/>
            </w:pPr>
            <w:r>
              <w:rPr>
                <w:spacing w:val="7"/>
              </w:rPr>
              <w:t>油气进行回收处理，回收量约</w:t>
            </w:r>
            <w:r>
              <w:rPr>
                <w:spacing w:val="-43"/>
              </w:rPr>
              <w:t xml:space="preserve"> </w:t>
            </w:r>
            <w:r>
              <w:rPr>
                <w:rFonts w:ascii="Times New Roman" w:hAnsi="Times New Roman" w:eastAsia="Times New Roman" w:cs="Times New Roman"/>
                <w:spacing w:val="7"/>
              </w:rPr>
              <w:t>0.258t/a</w:t>
            </w:r>
            <w:r>
              <w:rPr>
                <w:rFonts w:ascii="Times New Roman" w:hAnsi="Times New Roman" w:eastAsia="Times New Roman" w:cs="Times New Roman"/>
                <w:spacing w:val="-26"/>
              </w:rPr>
              <w:t xml:space="preserve"> </w:t>
            </w:r>
            <w:r>
              <w:rPr>
                <w:spacing w:val="7"/>
              </w:rPr>
              <w:t>，未回收量约</w:t>
            </w:r>
            <w:r>
              <w:rPr>
                <w:spacing w:val="-45"/>
              </w:rPr>
              <w:t xml:space="preserve"> </w:t>
            </w:r>
            <w:r>
              <w:rPr>
                <w:rFonts w:ascii="Times New Roman" w:hAnsi="Times New Roman" w:eastAsia="Times New Roman" w:cs="Times New Roman"/>
                <w:spacing w:val="7"/>
              </w:rPr>
              <w:t>0.014t/a</w:t>
            </w:r>
            <w:r>
              <w:rPr>
                <w:rFonts w:ascii="Times New Roman" w:hAnsi="Times New Roman" w:eastAsia="Times New Roman" w:cs="Times New Roman"/>
                <w:spacing w:val="19"/>
                <w:w w:val="101"/>
              </w:rPr>
              <w:t xml:space="preserve"> </w:t>
            </w:r>
            <w:r>
              <w:rPr>
                <w:spacing w:val="7"/>
              </w:rPr>
              <w:t>经通气立</w:t>
            </w:r>
            <w:r>
              <w:rPr>
                <w:spacing w:val="6"/>
              </w:rPr>
              <w:t>管排放至外环境。</w:t>
            </w:r>
          </w:p>
          <w:p w14:paraId="6753AEB2">
            <w:pPr>
              <w:pStyle w:val="6"/>
              <w:spacing w:before="1" w:line="223" w:lineRule="auto"/>
              <w:ind w:left="627"/>
            </w:pPr>
            <w:r>
              <w:rPr>
                <w:spacing w:val="8"/>
              </w:rPr>
              <w:t>③加油作业废气</w:t>
            </w:r>
          </w:p>
          <w:p w14:paraId="3017A90E">
            <w:pPr>
              <w:pStyle w:val="6"/>
              <w:spacing w:before="157" w:line="339" w:lineRule="auto"/>
              <w:ind w:left="104" w:right="103" w:firstLine="525"/>
            </w:pPr>
            <w:r>
              <w:rPr>
                <w:spacing w:val="6"/>
              </w:rPr>
              <w:t>加油站非甲烷总烃排放的另一个来源为车辆</w:t>
            </w:r>
            <w:r>
              <w:rPr>
                <w:spacing w:val="5"/>
              </w:rPr>
              <w:t>加油作业。车辆加油过</w:t>
            </w:r>
            <w:r>
              <w:rPr>
                <w:spacing w:val="6"/>
              </w:rPr>
              <w:t>程中排放的油气主要来自于装入的油品逐出汽车油箱内的蒸汽，被逐出</w:t>
            </w:r>
            <w:r>
              <w:rPr>
                <w:spacing w:val="7"/>
              </w:rPr>
              <w:t>的蒸汽量随油品温度、汽车油箱温度、油品蒸汽压力（</w:t>
            </w:r>
            <w:r>
              <w:rPr>
                <w:rFonts w:ascii="Times New Roman" w:hAnsi="Times New Roman" w:eastAsia="Times New Roman" w:cs="Times New Roman"/>
              </w:rPr>
              <w:t>RVP</w:t>
            </w:r>
            <w:r>
              <w:rPr>
                <w:spacing w:val="7"/>
              </w:rPr>
              <w:t>）和装油速</w:t>
            </w:r>
            <w:r>
              <w:rPr>
                <w:spacing w:val="-11"/>
              </w:rPr>
              <w:t>率而变动。根据《中国加油站</w:t>
            </w:r>
            <w:r>
              <w:rPr>
                <w:spacing w:val="-40"/>
              </w:rPr>
              <w:t xml:space="preserve"> </w:t>
            </w:r>
            <w:r>
              <w:rPr>
                <w:rFonts w:ascii="Times New Roman" w:hAnsi="Times New Roman" w:eastAsia="Times New Roman" w:cs="Times New Roman"/>
                <w:spacing w:val="-11"/>
              </w:rPr>
              <w:t>VOC</w:t>
            </w:r>
            <w:r>
              <w:rPr>
                <w:rFonts w:ascii="Times New Roman" w:hAnsi="Times New Roman" w:eastAsia="Times New Roman" w:cs="Times New Roman"/>
                <w:spacing w:val="13"/>
              </w:rPr>
              <w:t xml:space="preserve"> </w:t>
            </w:r>
            <w:r>
              <w:rPr>
                <w:spacing w:val="-11"/>
              </w:rPr>
              <w:t>排放污染现状及控制》（环境科学 ·第</w:t>
            </w:r>
            <w:r>
              <w:rPr>
                <w:rFonts w:ascii="Times New Roman" w:hAnsi="Times New Roman" w:eastAsia="Times New Roman" w:cs="Times New Roman"/>
                <w:spacing w:val="5"/>
              </w:rPr>
              <w:t>27</w:t>
            </w:r>
            <w:r>
              <w:rPr>
                <w:rFonts w:ascii="Times New Roman" w:hAnsi="Times New Roman" w:eastAsia="Times New Roman" w:cs="Times New Roman"/>
                <w:spacing w:val="21"/>
              </w:rPr>
              <w:t xml:space="preserve"> </w:t>
            </w:r>
            <w:r>
              <w:rPr>
                <w:spacing w:val="5"/>
              </w:rPr>
              <w:t>卷第</w:t>
            </w:r>
            <w:r>
              <w:rPr>
                <w:spacing w:val="-40"/>
              </w:rPr>
              <w:t xml:space="preserve"> </w:t>
            </w:r>
            <w:r>
              <w:rPr>
                <w:rFonts w:ascii="Times New Roman" w:hAnsi="Times New Roman" w:eastAsia="Times New Roman" w:cs="Times New Roman"/>
                <w:spacing w:val="5"/>
              </w:rPr>
              <w:t>8</w:t>
            </w:r>
            <w:r>
              <w:rPr>
                <w:rFonts w:ascii="Times New Roman" w:hAnsi="Times New Roman" w:eastAsia="Times New Roman" w:cs="Times New Roman"/>
                <w:spacing w:val="18"/>
                <w:w w:val="101"/>
              </w:rPr>
              <w:t xml:space="preserve"> </w:t>
            </w:r>
            <w:r>
              <w:rPr>
                <w:spacing w:val="5"/>
              </w:rPr>
              <w:t>期</w:t>
            </w:r>
            <w:r>
              <w:rPr>
                <w:spacing w:val="-50"/>
              </w:rPr>
              <w:t xml:space="preserve"> </w:t>
            </w:r>
            <w:r>
              <w:rPr>
                <w:rFonts w:ascii="Times New Roman" w:hAnsi="Times New Roman" w:eastAsia="Times New Roman" w:cs="Times New Roman"/>
                <w:spacing w:val="5"/>
              </w:rPr>
              <w:t>2006</w:t>
            </w:r>
            <w:r>
              <w:rPr>
                <w:rFonts w:ascii="Times New Roman" w:hAnsi="Times New Roman" w:eastAsia="Times New Roman" w:cs="Times New Roman"/>
                <w:spacing w:val="18"/>
                <w:w w:val="101"/>
              </w:rPr>
              <w:t xml:space="preserve"> </w:t>
            </w:r>
            <w:r>
              <w:rPr>
                <w:spacing w:val="5"/>
              </w:rPr>
              <w:t>年</w:t>
            </w:r>
            <w:r>
              <w:rPr>
                <w:spacing w:val="-42"/>
              </w:rPr>
              <w:t xml:space="preserve"> </w:t>
            </w:r>
            <w:r>
              <w:rPr>
                <w:rFonts w:ascii="Times New Roman" w:hAnsi="Times New Roman" w:eastAsia="Times New Roman" w:cs="Times New Roman"/>
                <w:spacing w:val="5"/>
              </w:rPr>
              <w:t>8</w:t>
            </w:r>
            <w:r>
              <w:rPr>
                <w:rFonts w:ascii="Times New Roman" w:hAnsi="Times New Roman" w:eastAsia="Times New Roman" w:cs="Times New Roman"/>
                <w:spacing w:val="21"/>
              </w:rPr>
              <w:t xml:space="preserve"> </w:t>
            </w:r>
            <w:r>
              <w:rPr>
                <w:spacing w:val="5"/>
              </w:rPr>
              <w:t>月</w:t>
            </w:r>
            <w:r>
              <w:rPr>
                <w:spacing w:val="4"/>
              </w:rPr>
              <w:t>），</w:t>
            </w:r>
            <w:r>
              <w:rPr>
                <w:spacing w:val="5"/>
              </w:rPr>
              <w:t>加油过程中汽油损耗率为</w:t>
            </w:r>
            <w:r>
              <w:rPr>
                <w:spacing w:val="-50"/>
              </w:rPr>
              <w:t xml:space="preserve"> </w:t>
            </w:r>
            <w:r>
              <w:rPr>
                <w:rFonts w:ascii="Times New Roman" w:hAnsi="Times New Roman" w:eastAsia="Times New Roman" w:cs="Times New Roman"/>
                <w:spacing w:val="5"/>
              </w:rPr>
              <w:t>2.49</w:t>
            </w:r>
            <w:r>
              <w:rPr>
                <w:rFonts w:ascii="Times New Roman" w:hAnsi="Times New Roman" w:eastAsia="Times New Roman" w:cs="Times New Roman"/>
              </w:rPr>
              <w:t>kg</w:t>
            </w:r>
            <w:r>
              <w:rPr>
                <w:rFonts w:ascii="Times New Roman" w:hAnsi="Times New Roman" w:eastAsia="Times New Roman" w:cs="Times New Roman"/>
                <w:spacing w:val="5"/>
              </w:rPr>
              <w:t>/t</w:t>
            </w:r>
            <w:r>
              <w:rPr>
                <w:rFonts w:ascii="Times New Roman" w:hAnsi="Times New Roman" w:eastAsia="Times New Roman" w:cs="Times New Roman"/>
                <w:spacing w:val="-22"/>
              </w:rPr>
              <w:t xml:space="preserve"> </w:t>
            </w:r>
            <w:r>
              <w:rPr>
                <w:spacing w:val="5"/>
              </w:rPr>
              <w:t>。二次</w:t>
            </w:r>
            <w:r>
              <w:rPr>
                <w:spacing w:val="6"/>
              </w:rPr>
              <w:t>油气回收系统处置效率为</w:t>
            </w:r>
            <w:r>
              <w:rPr>
                <w:spacing w:val="-42"/>
              </w:rPr>
              <w:t xml:space="preserve"> </w:t>
            </w:r>
            <w:r>
              <w:rPr>
                <w:rFonts w:ascii="Times New Roman" w:hAnsi="Times New Roman" w:eastAsia="Times New Roman" w:cs="Times New Roman"/>
                <w:spacing w:val="6"/>
              </w:rPr>
              <w:t>85%</w:t>
            </w:r>
            <w:r>
              <w:rPr>
                <w:spacing w:val="6"/>
              </w:rPr>
              <w:t>～</w:t>
            </w:r>
            <w:r>
              <w:rPr>
                <w:rFonts w:ascii="Times New Roman" w:hAnsi="Times New Roman" w:eastAsia="Times New Roman" w:cs="Times New Roman"/>
                <w:spacing w:val="6"/>
              </w:rPr>
              <w:t>95%</w:t>
            </w:r>
            <w:r>
              <w:rPr>
                <w:rFonts w:ascii="Times New Roman" w:hAnsi="Times New Roman" w:eastAsia="Times New Roman" w:cs="Times New Roman"/>
                <w:spacing w:val="-28"/>
              </w:rPr>
              <w:t xml:space="preserve"> </w:t>
            </w:r>
            <w:r>
              <w:rPr>
                <w:spacing w:val="6"/>
              </w:rPr>
              <w:t>，</w:t>
            </w:r>
            <w:r>
              <w:rPr>
                <w:spacing w:val="5"/>
              </w:rPr>
              <w:t>本评价取</w:t>
            </w:r>
            <w:r>
              <w:rPr>
                <w:spacing w:val="-50"/>
              </w:rPr>
              <w:t xml:space="preserve"> </w:t>
            </w:r>
            <w:r>
              <w:rPr>
                <w:rFonts w:ascii="Times New Roman" w:hAnsi="Times New Roman" w:eastAsia="Times New Roman" w:cs="Times New Roman"/>
                <w:spacing w:val="5"/>
              </w:rPr>
              <w:t>90%</w:t>
            </w:r>
            <w:r>
              <w:rPr>
                <w:spacing w:val="5"/>
              </w:rPr>
              <w:t>。</w:t>
            </w:r>
          </w:p>
          <w:p w14:paraId="25B1104E">
            <w:pPr>
              <w:pStyle w:val="6"/>
              <w:spacing w:before="4" w:line="340" w:lineRule="auto"/>
              <w:ind w:left="108" w:right="103" w:firstLine="524"/>
              <w:jc w:val="both"/>
            </w:pPr>
            <w:r>
              <w:rPr>
                <w:spacing w:val="7"/>
              </w:rPr>
              <w:t>项目改扩建后预计年周转汽油</w:t>
            </w:r>
            <w:r>
              <w:rPr>
                <w:spacing w:val="-27"/>
              </w:rPr>
              <w:t xml:space="preserve"> </w:t>
            </w:r>
            <w:r>
              <w:rPr>
                <w:rFonts w:ascii="Times New Roman" w:hAnsi="Times New Roman" w:eastAsia="Times New Roman" w:cs="Times New Roman"/>
                <w:spacing w:val="7"/>
              </w:rPr>
              <w:t>1700t</w:t>
            </w:r>
            <w:r>
              <w:rPr>
                <w:rFonts w:ascii="Times New Roman" w:hAnsi="Times New Roman" w:eastAsia="Times New Roman" w:cs="Times New Roman"/>
                <w:spacing w:val="-32"/>
              </w:rPr>
              <w:t xml:space="preserve"> </w:t>
            </w:r>
            <w:r>
              <w:rPr>
                <w:spacing w:val="7"/>
              </w:rPr>
              <w:t>，汽油加油</w:t>
            </w:r>
            <w:r>
              <w:rPr>
                <w:spacing w:val="6"/>
              </w:rPr>
              <w:t>过程产生的油气经二次油气回收系统回收处理。加油作业废气产生排放量产生排放情况统</w:t>
            </w:r>
            <w:r>
              <w:rPr>
                <w:spacing w:val="5"/>
              </w:rPr>
              <w:t>计结果如下</w:t>
            </w:r>
            <w:r>
              <w:rPr>
                <w:spacing w:val="-54"/>
              </w:rPr>
              <w:t xml:space="preserve"> </w:t>
            </w:r>
            <w:r>
              <w:rPr>
                <w:rFonts w:ascii="Times New Roman" w:hAnsi="Times New Roman" w:eastAsia="Times New Roman" w:cs="Times New Roman"/>
                <w:spacing w:val="5"/>
              </w:rPr>
              <w:t>4.2-3</w:t>
            </w:r>
            <w:r>
              <w:rPr>
                <w:spacing w:val="5"/>
              </w:rPr>
              <w:t>。</w:t>
            </w:r>
          </w:p>
          <w:p w14:paraId="59A92334">
            <w:pPr>
              <w:pStyle w:val="6"/>
              <w:spacing w:before="1" w:line="225" w:lineRule="auto"/>
              <w:ind w:left="1178"/>
              <w:rPr>
                <w:rFonts w:ascii="Times New Roman" w:hAnsi="Times New Roman" w:eastAsia="Times New Roman" w:cs="Times New Roman"/>
              </w:rPr>
            </w:pPr>
            <w:r>
              <w:rPr>
                <w:spacing w:val="6"/>
              </w:rPr>
              <w:t>表</w:t>
            </w:r>
            <w:r>
              <w:rPr>
                <w:spacing w:val="-37"/>
              </w:rPr>
              <w:t xml:space="preserve"> </w:t>
            </w:r>
            <w:r>
              <w:rPr>
                <w:rFonts w:ascii="Times New Roman" w:hAnsi="Times New Roman" w:eastAsia="Times New Roman" w:cs="Times New Roman"/>
                <w:spacing w:val="6"/>
              </w:rPr>
              <w:t xml:space="preserve">4.2-3    </w:t>
            </w:r>
            <w:r>
              <w:rPr>
                <w:spacing w:val="6"/>
              </w:rPr>
              <w:t>加油作业废气产排情况统计表  单位：</w:t>
            </w:r>
            <w:r>
              <w:rPr>
                <w:rFonts w:ascii="Times New Roman" w:hAnsi="Times New Roman" w:eastAsia="Times New Roman" w:cs="Times New Roman"/>
                <w:spacing w:val="6"/>
              </w:rPr>
              <w:t>t/a</w:t>
            </w:r>
          </w:p>
          <w:p w14:paraId="18C92D58">
            <w:pPr>
              <w:spacing w:line="89" w:lineRule="auto"/>
              <w:rPr>
                <w:rFonts w:ascii="Arial"/>
                <w:sz w:val="2"/>
              </w:rPr>
            </w:pPr>
          </w:p>
          <w:tbl>
            <w:tblPr>
              <w:tblStyle w:val="5"/>
              <w:tblW w:w="7940"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3"/>
              <w:gridCol w:w="680"/>
              <w:gridCol w:w="1078"/>
              <w:gridCol w:w="907"/>
              <w:gridCol w:w="1074"/>
              <w:gridCol w:w="1089"/>
              <w:gridCol w:w="1101"/>
              <w:gridCol w:w="1328"/>
            </w:tblGrid>
            <w:tr w14:paraId="2C984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1363" w:type="dxa"/>
                  <w:gridSpan w:val="2"/>
                  <w:vMerge w:val="restart"/>
                  <w:tcBorders>
                    <w:bottom w:val="nil"/>
                    <w:tl2br w:val="single" w:color="000000" w:sz="4" w:space="0"/>
                  </w:tcBorders>
                  <w:vAlign w:val="top"/>
                </w:tcPr>
                <w:p w14:paraId="6D20D098">
                  <w:pPr>
                    <w:pStyle w:val="6"/>
                    <w:spacing w:before="123" w:line="242" w:lineRule="auto"/>
                    <w:ind w:left="115" w:right="183" w:firstLine="629"/>
                    <w:rPr>
                      <w:sz w:val="22"/>
                      <w:szCs w:val="22"/>
                    </w:rPr>
                  </w:pPr>
                  <w:r>
                    <w:rPr>
                      <w:spacing w:val="-6"/>
                      <w:sz w:val="22"/>
                      <w:szCs w:val="22"/>
                    </w:rPr>
                    <w:t>项目</w:t>
                  </w:r>
                  <w:r>
                    <w:rPr>
                      <w:spacing w:val="-4"/>
                      <w:sz w:val="22"/>
                      <w:szCs w:val="22"/>
                    </w:rPr>
                    <w:t>类型</w:t>
                  </w:r>
                </w:p>
              </w:tc>
              <w:tc>
                <w:tcPr>
                  <w:tcW w:w="1078" w:type="dxa"/>
                  <w:vMerge w:val="restart"/>
                  <w:tcBorders>
                    <w:bottom w:val="nil"/>
                  </w:tcBorders>
                  <w:vAlign w:val="top"/>
                </w:tcPr>
                <w:p w14:paraId="550522DA">
                  <w:pPr>
                    <w:pStyle w:val="6"/>
                    <w:spacing w:before="268" w:line="220" w:lineRule="auto"/>
                    <w:ind w:left="213"/>
                    <w:rPr>
                      <w:sz w:val="22"/>
                      <w:szCs w:val="22"/>
                    </w:rPr>
                  </w:pPr>
                  <w:r>
                    <w:rPr>
                      <w:spacing w:val="-3"/>
                      <w:sz w:val="22"/>
                      <w:szCs w:val="22"/>
                    </w:rPr>
                    <w:t>损耗率</w:t>
                  </w:r>
                </w:p>
              </w:tc>
              <w:tc>
                <w:tcPr>
                  <w:tcW w:w="907" w:type="dxa"/>
                  <w:vMerge w:val="restart"/>
                  <w:tcBorders>
                    <w:bottom w:val="nil"/>
                  </w:tcBorders>
                  <w:vAlign w:val="top"/>
                </w:tcPr>
                <w:p w14:paraId="0E7B47EC">
                  <w:pPr>
                    <w:pStyle w:val="6"/>
                    <w:spacing w:before="267" w:line="221" w:lineRule="auto"/>
                    <w:ind w:left="130"/>
                    <w:rPr>
                      <w:sz w:val="22"/>
                      <w:szCs w:val="22"/>
                    </w:rPr>
                  </w:pPr>
                  <w:r>
                    <w:rPr>
                      <w:spacing w:val="-3"/>
                      <w:sz w:val="22"/>
                      <w:szCs w:val="22"/>
                    </w:rPr>
                    <w:t>周转量</w:t>
                  </w:r>
                </w:p>
              </w:tc>
              <w:tc>
                <w:tcPr>
                  <w:tcW w:w="1074" w:type="dxa"/>
                  <w:vMerge w:val="restart"/>
                  <w:tcBorders>
                    <w:bottom w:val="nil"/>
                  </w:tcBorders>
                  <w:vAlign w:val="top"/>
                </w:tcPr>
                <w:p w14:paraId="7C46D81A">
                  <w:pPr>
                    <w:pStyle w:val="6"/>
                    <w:spacing w:before="268" w:line="220" w:lineRule="auto"/>
                    <w:ind w:left="211"/>
                    <w:rPr>
                      <w:sz w:val="22"/>
                      <w:szCs w:val="22"/>
                    </w:rPr>
                  </w:pPr>
                  <w:r>
                    <w:rPr>
                      <w:spacing w:val="-3"/>
                      <w:sz w:val="22"/>
                      <w:szCs w:val="22"/>
                    </w:rPr>
                    <w:t>损耗量</w:t>
                  </w:r>
                </w:p>
              </w:tc>
              <w:tc>
                <w:tcPr>
                  <w:tcW w:w="2190" w:type="dxa"/>
                  <w:gridSpan w:val="2"/>
                  <w:vAlign w:val="top"/>
                </w:tcPr>
                <w:p w14:paraId="0A510CE6">
                  <w:pPr>
                    <w:pStyle w:val="6"/>
                    <w:spacing w:before="78" w:line="220" w:lineRule="auto"/>
                    <w:ind w:left="225"/>
                    <w:rPr>
                      <w:sz w:val="22"/>
                      <w:szCs w:val="22"/>
                    </w:rPr>
                  </w:pPr>
                  <w:r>
                    <w:rPr>
                      <w:spacing w:val="-2"/>
                      <w:sz w:val="22"/>
                      <w:szCs w:val="22"/>
                    </w:rPr>
                    <w:t>二次油气回收系统</w:t>
                  </w:r>
                </w:p>
              </w:tc>
              <w:tc>
                <w:tcPr>
                  <w:tcW w:w="1328" w:type="dxa"/>
                  <w:vMerge w:val="restart"/>
                  <w:tcBorders>
                    <w:bottom w:val="nil"/>
                  </w:tcBorders>
                  <w:vAlign w:val="top"/>
                </w:tcPr>
                <w:p w14:paraId="39DA497C">
                  <w:pPr>
                    <w:pStyle w:val="6"/>
                    <w:spacing w:before="124" w:line="242" w:lineRule="auto"/>
                    <w:ind w:left="450" w:right="109" w:hanging="327"/>
                    <w:rPr>
                      <w:sz w:val="22"/>
                      <w:szCs w:val="22"/>
                    </w:rPr>
                  </w:pPr>
                  <w:r>
                    <w:rPr>
                      <w:spacing w:val="-3"/>
                      <w:sz w:val="22"/>
                      <w:szCs w:val="22"/>
                    </w:rPr>
                    <w:t>油气无组织</w:t>
                  </w:r>
                  <w:r>
                    <w:rPr>
                      <w:spacing w:val="-4"/>
                      <w:sz w:val="22"/>
                      <w:szCs w:val="22"/>
                    </w:rPr>
                    <w:t>排放</w:t>
                  </w:r>
                </w:p>
              </w:tc>
            </w:tr>
            <w:tr w14:paraId="4622B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363" w:type="dxa"/>
                  <w:gridSpan w:val="2"/>
                  <w:vMerge w:val="continue"/>
                  <w:tcBorders>
                    <w:top w:val="nil"/>
                    <w:tl2br w:val="single" w:color="000000" w:sz="4" w:space="0"/>
                  </w:tcBorders>
                  <w:vAlign w:val="top"/>
                </w:tcPr>
                <w:p w14:paraId="3B0679E7">
                  <w:pPr>
                    <w:rPr>
                      <w:rFonts w:ascii="Arial"/>
                      <w:sz w:val="21"/>
                    </w:rPr>
                  </w:pPr>
                </w:p>
              </w:tc>
              <w:tc>
                <w:tcPr>
                  <w:tcW w:w="1078" w:type="dxa"/>
                  <w:vMerge w:val="continue"/>
                  <w:tcBorders>
                    <w:top w:val="nil"/>
                  </w:tcBorders>
                  <w:vAlign w:val="top"/>
                </w:tcPr>
                <w:p w14:paraId="18F5CFFE">
                  <w:pPr>
                    <w:rPr>
                      <w:rFonts w:ascii="Arial"/>
                      <w:sz w:val="21"/>
                    </w:rPr>
                  </w:pPr>
                </w:p>
              </w:tc>
              <w:tc>
                <w:tcPr>
                  <w:tcW w:w="907" w:type="dxa"/>
                  <w:vMerge w:val="continue"/>
                  <w:tcBorders>
                    <w:top w:val="nil"/>
                  </w:tcBorders>
                  <w:vAlign w:val="top"/>
                </w:tcPr>
                <w:p w14:paraId="67504199">
                  <w:pPr>
                    <w:rPr>
                      <w:rFonts w:ascii="Arial"/>
                      <w:sz w:val="21"/>
                    </w:rPr>
                  </w:pPr>
                </w:p>
              </w:tc>
              <w:tc>
                <w:tcPr>
                  <w:tcW w:w="1074" w:type="dxa"/>
                  <w:vMerge w:val="continue"/>
                  <w:tcBorders>
                    <w:top w:val="nil"/>
                  </w:tcBorders>
                  <w:vAlign w:val="top"/>
                </w:tcPr>
                <w:p w14:paraId="5B14E6BE">
                  <w:pPr>
                    <w:rPr>
                      <w:rFonts w:ascii="Arial"/>
                      <w:sz w:val="21"/>
                    </w:rPr>
                  </w:pPr>
                </w:p>
              </w:tc>
              <w:tc>
                <w:tcPr>
                  <w:tcW w:w="1089" w:type="dxa"/>
                  <w:vAlign w:val="top"/>
                </w:tcPr>
                <w:p w14:paraId="05438565">
                  <w:pPr>
                    <w:pStyle w:val="6"/>
                    <w:spacing w:before="75" w:line="220" w:lineRule="auto"/>
                    <w:ind w:left="243"/>
                    <w:rPr>
                      <w:sz w:val="22"/>
                      <w:szCs w:val="22"/>
                    </w:rPr>
                  </w:pPr>
                  <w:r>
                    <w:rPr>
                      <w:spacing w:val="-10"/>
                      <w:sz w:val="22"/>
                      <w:szCs w:val="22"/>
                    </w:rPr>
                    <w:t>回收率</w:t>
                  </w:r>
                </w:p>
              </w:tc>
              <w:tc>
                <w:tcPr>
                  <w:tcW w:w="1101" w:type="dxa"/>
                  <w:vAlign w:val="top"/>
                </w:tcPr>
                <w:p w14:paraId="17CEFE37">
                  <w:pPr>
                    <w:pStyle w:val="6"/>
                    <w:spacing w:before="75" w:line="220" w:lineRule="auto"/>
                    <w:ind w:left="249"/>
                    <w:rPr>
                      <w:sz w:val="22"/>
                      <w:szCs w:val="22"/>
                    </w:rPr>
                  </w:pPr>
                  <w:r>
                    <w:rPr>
                      <w:spacing w:val="-10"/>
                      <w:sz w:val="22"/>
                      <w:szCs w:val="22"/>
                    </w:rPr>
                    <w:t>回收量</w:t>
                  </w:r>
                </w:p>
              </w:tc>
              <w:tc>
                <w:tcPr>
                  <w:tcW w:w="1328" w:type="dxa"/>
                  <w:vMerge w:val="continue"/>
                  <w:tcBorders>
                    <w:top w:val="nil"/>
                  </w:tcBorders>
                  <w:vAlign w:val="top"/>
                </w:tcPr>
                <w:p w14:paraId="503F1789">
                  <w:pPr>
                    <w:rPr>
                      <w:rFonts w:ascii="Arial"/>
                      <w:sz w:val="21"/>
                    </w:rPr>
                  </w:pPr>
                </w:p>
              </w:tc>
            </w:tr>
            <w:tr w14:paraId="72BE2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683" w:type="dxa"/>
                  <w:vAlign w:val="top"/>
                </w:tcPr>
                <w:p w14:paraId="503EA50A">
                  <w:pPr>
                    <w:pStyle w:val="6"/>
                    <w:spacing w:before="77" w:line="224" w:lineRule="auto"/>
                    <w:ind w:left="127"/>
                    <w:rPr>
                      <w:sz w:val="22"/>
                      <w:szCs w:val="22"/>
                    </w:rPr>
                  </w:pPr>
                  <w:r>
                    <w:rPr>
                      <w:spacing w:val="-4"/>
                      <w:sz w:val="22"/>
                      <w:szCs w:val="22"/>
                    </w:rPr>
                    <w:t>加油</w:t>
                  </w:r>
                </w:p>
              </w:tc>
              <w:tc>
                <w:tcPr>
                  <w:tcW w:w="680" w:type="dxa"/>
                  <w:vAlign w:val="top"/>
                </w:tcPr>
                <w:p w14:paraId="066FFD0D">
                  <w:pPr>
                    <w:pStyle w:val="6"/>
                    <w:spacing w:before="77" w:line="224" w:lineRule="auto"/>
                    <w:ind w:left="123"/>
                    <w:rPr>
                      <w:sz w:val="22"/>
                      <w:szCs w:val="22"/>
                    </w:rPr>
                  </w:pPr>
                  <w:r>
                    <w:rPr>
                      <w:spacing w:val="-4"/>
                      <w:sz w:val="22"/>
                      <w:szCs w:val="22"/>
                    </w:rPr>
                    <w:t>汽油</w:t>
                  </w:r>
                </w:p>
              </w:tc>
              <w:tc>
                <w:tcPr>
                  <w:tcW w:w="1078" w:type="dxa"/>
                  <w:vAlign w:val="top"/>
                </w:tcPr>
                <w:p w14:paraId="32880656">
                  <w:pPr>
                    <w:spacing w:before="111" w:line="193" w:lineRule="auto"/>
                    <w:ind w:left="17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2.49kg/t</w:t>
                  </w:r>
                </w:p>
              </w:tc>
              <w:tc>
                <w:tcPr>
                  <w:tcW w:w="907" w:type="dxa"/>
                  <w:vAlign w:val="top"/>
                </w:tcPr>
                <w:p w14:paraId="3887C781">
                  <w:pPr>
                    <w:spacing w:before="115" w:line="189" w:lineRule="auto"/>
                    <w:ind w:left="25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1700</w:t>
                  </w:r>
                </w:p>
              </w:tc>
              <w:tc>
                <w:tcPr>
                  <w:tcW w:w="1074" w:type="dxa"/>
                  <w:vAlign w:val="top"/>
                </w:tcPr>
                <w:p w14:paraId="4B2E2F94">
                  <w:pPr>
                    <w:spacing w:before="115" w:line="189" w:lineRule="auto"/>
                    <w:ind w:left="29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4.233</w:t>
                  </w:r>
                </w:p>
              </w:tc>
              <w:tc>
                <w:tcPr>
                  <w:tcW w:w="1089" w:type="dxa"/>
                  <w:vAlign w:val="top"/>
                </w:tcPr>
                <w:p w14:paraId="737E86A5">
                  <w:pPr>
                    <w:spacing w:before="115" w:line="189" w:lineRule="auto"/>
                    <w:ind w:left="34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90%</w:t>
                  </w:r>
                </w:p>
              </w:tc>
              <w:tc>
                <w:tcPr>
                  <w:tcW w:w="1101" w:type="dxa"/>
                  <w:vAlign w:val="top"/>
                </w:tcPr>
                <w:p w14:paraId="77CB5269">
                  <w:pPr>
                    <w:spacing w:before="115" w:line="189" w:lineRule="auto"/>
                    <w:ind w:left="31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3.810</w:t>
                  </w:r>
                </w:p>
              </w:tc>
              <w:tc>
                <w:tcPr>
                  <w:tcW w:w="1328" w:type="dxa"/>
                  <w:vAlign w:val="top"/>
                </w:tcPr>
                <w:p w14:paraId="390033AB">
                  <w:pPr>
                    <w:spacing w:before="115" w:line="189" w:lineRule="auto"/>
                    <w:ind w:left="42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0.423</w:t>
                  </w:r>
                </w:p>
              </w:tc>
            </w:tr>
          </w:tbl>
          <w:p w14:paraId="0189D16A">
            <w:pPr>
              <w:spacing w:line="260" w:lineRule="auto"/>
              <w:rPr>
                <w:rFonts w:ascii="Arial"/>
                <w:sz w:val="21"/>
              </w:rPr>
            </w:pPr>
          </w:p>
          <w:p w14:paraId="49217E63">
            <w:pPr>
              <w:spacing w:line="260" w:lineRule="auto"/>
              <w:rPr>
                <w:rFonts w:ascii="Arial"/>
                <w:sz w:val="21"/>
              </w:rPr>
            </w:pPr>
          </w:p>
          <w:p w14:paraId="23B3E170">
            <w:pPr>
              <w:pStyle w:val="6"/>
              <w:spacing w:before="81" w:line="340" w:lineRule="auto"/>
              <w:ind w:left="108" w:right="103" w:firstLine="552"/>
              <w:jc w:val="both"/>
            </w:pPr>
            <w:r>
              <w:rPr>
                <w:spacing w:val="6"/>
              </w:rPr>
              <w:t>由上表可知，项目汽油加油过程产生油气量为</w:t>
            </w:r>
            <w:r>
              <w:rPr>
                <w:spacing w:val="-39"/>
              </w:rPr>
              <w:t xml:space="preserve"> </w:t>
            </w:r>
            <w:r>
              <w:rPr>
                <w:rFonts w:ascii="Times New Roman" w:hAnsi="Times New Roman" w:eastAsia="Times New Roman" w:cs="Times New Roman"/>
                <w:spacing w:val="6"/>
              </w:rPr>
              <w:t>4.233t/a</w:t>
            </w:r>
            <w:r>
              <w:rPr>
                <w:rFonts w:ascii="Times New Roman" w:hAnsi="Times New Roman" w:eastAsia="Times New Roman" w:cs="Times New Roman"/>
                <w:spacing w:val="-26"/>
              </w:rPr>
              <w:t xml:space="preserve"> </w:t>
            </w:r>
            <w:r>
              <w:rPr>
                <w:spacing w:val="6"/>
              </w:rPr>
              <w:t>。车辆加注汽油产生的汽油油气通过二次油气回收管回收至相应油品油罐内（二次油气回收系统回收效率取</w:t>
            </w:r>
            <w:r>
              <w:rPr>
                <w:spacing w:val="-45"/>
              </w:rPr>
              <w:t xml:space="preserve"> </w:t>
            </w:r>
            <w:r>
              <w:rPr>
                <w:rFonts w:ascii="Times New Roman" w:hAnsi="Times New Roman" w:eastAsia="Times New Roman" w:cs="Times New Roman"/>
                <w:spacing w:val="6"/>
              </w:rPr>
              <w:t>90%</w:t>
            </w:r>
            <w:r>
              <w:rPr>
                <w:spacing w:val="33"/>
              </w:rPr>
              <w:t>），</w:t>
            </w:r>
            <w:r>
              <w:rPr>
                <w:spacing w:val="6"/>
              </w:rPr>
              <w:t>回收量约</w:t>
            </w:r>
            <w:r>
              <w:rPr>
                <w:spacing w:val="-47"/>
              </w:rPr>
              <w:t xml:space="preserve"> </w:t>
            </w:r>
            <w:r>
              <w:rPr>
                <w:rFonts w:ascii="Times New Roman" w:hAnsi="Times New Roman" w:eastAsia="Times New Roman" w:cs="Times New Roman"/>
                <w:spacing w:val="6"/>
              </w:rPr>
              <w:t>3.810t/a</w:t>
            </w:r>
            <w:r>
              <w:rPr>
                <w:spacing w:val="5"/>
              </w:rPr>
              <w:t>；约</w:t>
            </w:r>
            <w:r>
              <w:rPr>
                <w:spacing w:val="-48"/>
              </w:rPr>
              <w:t xml:space="preserve"> </w:t>
            </w:r>
            <w:r>
              <w:rPr>
                <w:rFonts w:ascii="Times New Roman" w:hAnsi="Times New Roman" w:eastAsia="Times New Roman" w:cs="Times New Roman"/>
                <w:spacing w:val="5"/>
              </w:rPr>
              <w:t>0.423t/a</w:t>
            </w:r>
            <w:r>
              <w:rPr>
                <w:rFonts w:ascii="Times New Roman" w:hAnsi="Times New Roman" w:eastAsia="Times New Roman" w:cs="Times New Roman"/>
                <w:spacing w:val="20"/>
              </w:rPr>
              <w:t xml:space="preserve"> </w:t>
            </w:r>
            <w:r>
              <w:rPr>
                <w:spacing w:val="5"/>
              </w:rPr>
              <w:t>无组</w:t>
            </w:r>
            <w:r>
              <w:rPr>
                <w:spacing w:val="4"/>
              </w:rPr>
              <w:t>织排放。</w:t>
            </w:r>
          </w:p>
          <w:p w14:paraId="46FEBC2C">
            <w:pPr>
              <w:pStyle w:val="6"/>
              <w:spacing w:before="3" w:line="340" w:lineRule="auto"/>
              <w:ind w:left="108" w:right="103" w:firstLine="523"/>
              <w:jc w:val="both"/>
            </w:pPr>
            <w:r>
              <w:rPr>
                <w:spacing w:val="7"/>
              </w:rPr>
              <w:t>综上所述，加油站汽油油气损耗总产生油气量为</w:t>
            </w:r>
            <w:r>
              <w:rPr>
                <w:spacing w:val="-42"/>
              </w:rPr>
              <w:t xml:space="preserve"> </w:t>
            </w:r>
            <w:r>
              <w:rPr>
                <w:rFonts w:ascii="Times New Roman" w:hAnsi="Times New Roman" w:eastAsia="Times New Roman" w:cs="Times New Roman"/>
                <w:spacing w:val="7"/>
              </w:rPr>
              <w:t>8.415t/a</w:t>
            </w:r>
            <w:r>
              <w:rPr>
                <w:rFonts w:ascii="Times New Roman" w:hAnsi="Times New Roman" w:eastAsia="Times New Roman" w:cs="Times New Roman"/>
                <w:spacing w:val="-24"/>
              </w:rPr>
              <w:t xml:space="preserve"> </w:t>
            </w:r>
            <w:r>
              <w:rPr>
                <w:spacing w:val="6"/>
              </w:rPr>
              <w:t>。损耗的汽油经一次油气回收系统、二次油气回收系统和三次油气回收系统回收后，加油站油气排放总量约</w:t>
            </w:r>
            <w:r>
              <w:rPr>
                <w:spacing w:val="-46"/>
              </w:rPr>
              <w:t xml:space="preserve"> </w:t>
            </w:r>
            <w:r>
              <w:rPr>
                <w:rFonts w:ascii="Times New Roman" w:hAnsi="Times New Roman" w:eastAsia="Times New Roman" w:cs="Times New Roman"/>
                <w:spacing w:val="6"/>
              </w:rPr>
              <w:t>0.632t/a</w:t>
            </w:r>
            <w:r>
              <w:rPr>
                <w:spacing w:val="6"/>
              </w:rPr>
              <w:t>。</w:t>
            </w:r>
          </w:p>
        </w:tc>
      </w:tr>
    </w:tbl>
    <w:p w14:paraId="68DF0419">
      <w:pPr>
        <w:pStyle w:val="2"/>
        <w:rPr>
          <w:sz w:val="21"/>
        </w:rPr>
      </w:pPr>
    </w:p>
    <w:p w14:paraId="64E804FE">
      <w:pPr>
        <w:rPr>
          <w:sz w:val="21"/>
          <w:szCs w:val="21"/>
        </w:rPr>
        <w:sectPr>
          <w:footerReference r:id="rId76" w:type="default"/>
          <w:pgSz w:w="11907" w:h="16840"/>
          <w:pgMar w:top="400" w:right="1490" w:bottom="1008" w:left="1489" w:header="0" w:footer="770" w:gutter="0"/>
          <w:cols w:space="720" w:num="1"/>
        </w:sectPr>
      </w:pPr>
    </w:p>
    <w:p w14:paraId="70EE5E0C">
      <w:pPr>
        <w:spacing w:before="19"/>
      </w:pPr>
    </w:p>
    <w:p w14:paraId="641A0753">
      <w:pPr>
        <w:spacing w:before="19"/>
      </w:pPr>
    </w:p>
    <w:p w14:paraId="784091BB">
      <w:pPr>
        <w:spacing w:before="19"/>
      </w:pPr>
    </w:p>
    <w:p w14:paraId="37533CBE">
      <w:pPr>
        <w:spacing w:before="18"/>
      </w:pPr>
    </w:p>
    <w:p w14:paraId="0DB7A1C2">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69ED8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085" w:hRule="atLeast"/>
        </w:trPr>
        <w:tc>
          <w:tcPr>
            <w:tcW w:w="754" w:type="dxa"/>
            <w:tcBorders>
              <w:right w:val="single" w:color="000000" w:sz="2" w:space="0"/>
            </w:tcBorders>
            <w:vAlign w:val="top"/>
          </w:tcPr>
          <w:p w14:paraId="251ACFE0">
            <w:pPr>
              <w:rPr>
                <w:rFonts w:ascii="Arial"/>
                <w:sz w:val="21"/>
              </w:rPr>
            </w:pPr>
          </w:p>
        </w:tc>
        <w:tc>
          <w:tcPr>
            <w:tcW w:w="8158" w:type="dxa"/>
            <w:tcBorders>
              <w:left w:val="single" w:color="000000" w:sz="2" w:space="0"/>
            </w:tcBorders>
            <w:vAlign w:val="top"/>
          </w:tcPr>
          <w:p w14:paraId="2E602E77">
            <w:pPr>
              <w:pStyle w:val="6"/>
              <w:spacing w:before="140" w:line="226" w:lineRule="auto"/>
              <w:ind w:left="786"/>
            </w:pPr>
            <w:r>
              <w:rPr>
                <w:spacing w:val="7"/>
              </w:rPr>
              <w:t>表</w:t>
            </w:r>
            <w:r>
              <w:rPr>
                <w:spacing w:val="-38"/>
              </w:rPr>
              <w:t xml:space="preserve"> </w:t>
            </w:r>
            <w:r>
              <w:rPr>
                <w:rFonts w:ascii="Times New Roman" w:hAnsi="Times New Roman" w:eastAsia="Times New Roman" w:cs="Times New Roman"/>
                <w:spacing w:val="7"/>
              </w:rPr>
              <w:t xml:space="preserve">4.2-4    </w:t>
            </w:r>
            <w:r>
              <w:rPr>
                <w:spacing w:val="7"/>
              </w:rPr>
              <w:t>加油站非甲烷总烃产生、削减及排放情况一览表</w:t>
            </w:r>
          </w:p>
          <w:p w14:paraId="13EE5244">
            <w:pPr>
              <w:spacing w:line="84" w:lineRule="auto"/>
              <w:rPr>
                <w:rFonts w:ascii="Arial"/>
                <w:sz w:val="2"/>
              </w:rPr>
            </w:pPr>
          </w:p>
          <w:tbl>
            <w:tblPr>
              <w:tblStyle w:val="5"/>
              <w:tblW w:w="7940"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7"/>
              <w:gridCol w:w="1050"/>
              <w:gridCol w:w="1102"/>
              <w:gridCol w:w="1349"/>
              <w:gridCol w:w="1231"/>
              <w:gridCol w:w="1050"/>
              <w:gridCol w:w="1021"/>
            </w:tblGrid>
            <w:tr w14:paraId="0A666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1137" w:type="dxa"/>
                  <w:vAlign w:val="top"/>
                </w:tcPr>
                <w:p w14:paraId="1CED1DEA">
                  <w:pPr>
                    <w:pStyle w:val="6"/>
                    <w:spacing w:before="179" w:line="220" w:lineRule="auto"/>
                    <w:ind w:left="244"/>
                    <w:rPr>
                      <w:sz w:val="22"/>
                      <w:szCs w:val="22"/>
                    </w:rPr>
                  </w:pPr>
                  <w:r>
                    <w:rPr>
                      <w:spacing w:val="-3"/>
                      <w:sz w:val="22"/>
                      <w:szCs w:val="22"/>
                    </w:rPr>
                    <w:t>产生源</w:t>
                  </w:r>
                </w:p>
              </w:tc>
              <w:tc>
                <w:tcPr>
                  <w:tcW w:w="1050" w:type="dxa"/>
                  <w:vAlign w:val="top"/>
                </w:tcPr>
                <w:p w14:paraId="7F8BEFD0">
                  <w:pPr>
                    <w:pStyle w:val="6"/>
                    <w:spacing w:before="179" w:line="220" w:lineRule="auto"/>
                    <w:ind w:left="199"/>
                    <w:rPr>
                      <w:sz w:val="22"/>
                      <w:szCs w:val="22"/>
                    </w:rPr>
                  </w:pPr>
                  <w:r>
                    <w:rPr>
                      <w:spacing w:val="-3"/>
                      <w:sz w:val="22"/>
                      <w:szCs w:val="22"/>
                    </w:rPr>
                    <w:t>产生源</w:t>
                  </w:r>
                </w:p>
              </w:tc>
              <w:tc>
                <w:tcPr>
                  <w:tcW w:w="1102" w:type="dxa"/>
                  <w:vAlign w:val="top"/>
                </w:tcPr>
                <w:p w14:paraId="7EAB75E9">
                  <w:pPr>
                    <w:pStyle w:val="6"/>
                    <w:spacing w:before="38" w:line="223" w:lineRule="auto"/>
                    <w:ind w:left="233" w:right="218" w:hanging="6"/>
                    <w:rPr>
                      <w:sz w:val="22"/>
                      <w:szCs w:val="22"/>
                    </w:rPr>
                  </w:pPr>
                  <w:r>
                    <w:rPr>
                      <w:spacing w:val="-3"/>
                      <w:sz w:val="22"/>
                      <w:szCs w:val="22"/>
                    </w:rPr>
                    <w:t>产生量</w:t>
                  </w:r>
                  <w:r>
                    <w:rPr>
                      <w:spacing w:val="-7"/>
                      <w:sz w:val="22"/>
                      <w:szCs w:val="22"/>
                    </w:rPr>
                    <w:t>（</w:t>
                  </w:r>
                  <w:r>
                    <w:rPr>
                      <w:rFonts w:ascii="Times New Roman" w:hAnsi="Times New Roman" w:eastAsia="Times New Roman" w:cs="Times New Roman"/>
                      <w:spacing w:val="-7"/>
                      <w:sz w:val="22"/>
                      <w:szCs w:val="22"/>
                    </w:rPr>
                    <w:t>t/a</w:t>
                  </w:r>
                  <w:r>
                    <w:rPr>
                      <w:spacing w:val="-7"/>
                      <w:sz w:val="22"/>
                      <w:szCs w:val="22"/>
                    </w:rPr>
                    <w:t>）</w:t>
                  </w:r>
                </w:p>
              </w:tc>
              <w:tc>
                <w:tcPr>
                  <w:tcW w:w="1349" w:type="dxa"/>
                  <w:vAlign w:val="top"/>
                </w:tcPr>
                <w:p w14:paraId="4C5EFC72">
                  <w:pPr>
                    <w:pStyle w:val="6"/>
                    <w:spacing w:before="38" w:line="223" w:lineRule="auto"/>
                    <w:ind w:left="469" w:right="119" w:hanging="317"/>
                    <w:rPr>
                      <w:sz w:val="22"/>
                      <w:szCs w:val="22"/>
                    </w:rPr>
                  </w:pPr>
                  <w:r>
                    <w:rPr>
                      <w:spacing w:val="-6"/>
                      <w:sz w:val="22"/>
                      <w:szCs w:val="22"/>
                    </w:rPr>
                    <w:t>回收方式回</w:t>
                  </w:r>
                  <w:r>
                    <w:rPr>
                      <w:spacing w:val="-8"/>
                      <w:sz w:val="22"/>
                      <w:szCs w:val="22"/>
                    </w:rPr>
                    <w:t>收率</w:t>
                  </w:r>
                </w:p>
              </w:tc>
              <w:tc>
                <w:tcPr>
                  <w:tcW w:w="1231" w:type="dxa"/>
                  <w:vAlign w:val="top"/>
                </w:tcPr>
                <w:p w14:paraId="1605094D">
                  <w:pPr>
                    <w:pStyle w:val="6"/>
                    <w:spacing w:before="38" w:line="223" w:lineRule="auto"/>
                    <w:ind w:left="311" w:right="170" w:hanging="106"/>
                    <w:rPr>
                      <w:sz w:val="22"/>
                      <w:szCs w:val="22"/>
                    </w:rPr>
                  </w:pPr>
                  <w:r>
                    <w:rPr>
                      <w:spacing w:val="-8"/>
                      <w:sz w:val="22"/>
                      <w:szCs w:val="22"/>
                    </w:rPr>
                    <w:t>回收后油</w:t>
                  </w:r>
                  <w:r>
                    <w:rPr>
                      <w:spacing w:val="-9"/>
                      <w:sz w:val="22"/>
                      <w:szCs w:val="22"/>
                    </w:rPr>
                    <w:t>品去向</w:t>
                  </w:r>
                </w:p>
              </w:tc>
              <w:tc>
                <w:tcPr>
                  <w:tcW w:w="1050" w:type="dxa"/>
                  <w:vAlign w:val="top"/>
                </w:tcPr>
                <w:p w14:paraId="6F54F7DC">
                  <w:pPr>
                    <w:pStyle w:val="6"/>
                    <w:spacing w:before="38" w:line="223" w:lineRule="auto"/>
                    <w:ind w:left="209" w:right="190" w:firstLine="15"/>
                    <w:rPr>
                      <w:sz w:val="22"/>
                      <w:szCs w:val="22"/>
                    </w:rPr>
                  </w:pPr>
                  <w:r>
                    <w:rPr>
                      <w:spacing w:val="-11"/>
                      <w:sz w:val="22"/>
                      <w:szCs w:val="22"/>
                    </w:rPr>
                    <w:t>回收量</w:t>
                  </w:r>
                  <w:r>
                    <w:rPr>
                      <w:spacing w:val="-6"/>
                      <w:sz w:val="22"/>
                      <w:szCs w:val="22"/>
                    </w:rPr>
                    <w:t>（</w:t>
                  </w:r>
                  <w:r>
                    <w:rPr>
                      <w:rFonts w:ascii="Times New Roman" w:hAnsi="Times New Roman" w:eastAsia="Times New Roman" w:cs="Times New Roman"/>
                      <w:spacing w:val="-6"/>
                      <w:sz w:val="22"/>
                      <w:szCs w:val="22"/>
                    </w:rPr>
                    <w:t>t/a</w:t>
                  </w:r>
                  <w:r>
                    <w:rPr>
                      <w:spacing w:val="-6"/>
                      <w:sz w:val="22"/>
                      <w:szCs w:val="22"/>
                    </w:rPr>
                    <w:t>）</w:t>
                  </w:r>
                </w:p>
              </w:tc>
              <w:tc>
                <w:tcPr>
                  <w:tcW w:w="1021" w:type="dxa"/>
                  <w:vAlign w:val="top"/>
                </w:tcPr>
                <w:p w14:paraId="797036B5">
                  <w:pPr>
                    <w:pStyle w:val="6"/>
                    <w:spacing w:before="38" w:line="223" w:lineRule="auto"/>
                    <w:ind w:left="193" w:right="177" w:hanging="6"/>
                    <w:rPr>
                      <w:sz w:val="22"/>
                      <w:szCs w:val="22"/>
                    </w:rPr>
                  </w:pPr>
                  <w:r>
                    <w:rPr>
                      <w:spacing w:val="-3"/>
                      <w:sz w:val="22"/>
                      <w:szCs w:val="22"/>
                    </w:rPr>
                    <w:t>排放量</w:t>
                  </w:r>
                  <w:r>
                    <w:rPr>
                      <w:spacing w:val="-7"/>
                      <w:sz w:val="22"/>
                      <w:szCs w:val="22"/>
                    </w:rPr>
                    <w:t>（</w:t>
                  </w:r>
                  <w:r>
                    <w:rPr>
                      <w:rFonts w:ascii="Times New Roman" w:hAnsi="Times New Roman" w:eastAsia="Times New Roman" w:cs="Times New Roman"/>
                      <w:spacing w:val="-7"/>
                      <w:sz w:val="22"/>
                      <w:szCs w:val="22"/>
                    </w:rPr>
                    <w:t>t/a</w:t>
                  </w:r>
                  <w:r>
                    <w:rPr>
                      <w:spacing w:val="-7"/>
                      <w:sz w:val="22"/>
                      <w:szCs w:val="22"/>
                    </w:rPr>
                    <w:t>）</w:t>
                  </w:r>
                </w:p>
              </w:tc>
            </w:tr>
            <w:tr w14:paraId="5901C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1137" w:type="dxa"/>
                  <w:vAlign w:val="top"/>
                </w:tcPr>
                <w:p w14:paraId="52E8595F">
                  <w:pPr>
                    <w:spacing w:line="243" w:lineRule="auto"/>
                    <w:rPr>
                      <w:rFonts w:ascii="Arial"/>
                      <w:sz w:val="21"/>
                    </w:rPr>
                  </w:pPr>
                </w:p>
                <w:p w14:paraId="5E85A1E9">
                  <w:pPr>
                    <w:pStyle w:val="6"/>
                    <w:spacing w:before="71" w:line="221" w:lineRule="auto"/>
                    <w:ind w:left="138"/>
                    <w:rPr>
                      <w:sz w:val="22"/>
                      <w:szCs w:val="22"/>
                    </w:rPr>
                  </w:pPr>
                  <w:r>
                    <w:rPr>
                      <w:spacing w:val="-4"/>
                      <w:sz w:val="22"/>
                      <w:szCs w:val="22"/>
                    </w:rPr>
                    <w:t>卸油作业</w:t>
                  </w:r>
                </w:p>
              </w:tc>
              <w:tc>
                <w:tcPr>
                  <w:tcW w:w="1050" w:type="dxa"/>
                  <w:vAlign w:val="top"/>
                </w:tcPr>
                <w:p w14:paraId="792A550C">
                  <w:pPr>
                    <w:spacing w:line="243" w:lineRule="auto"/>
                    <w:rPr>
                      <w:rFonts w:ascii="Arial"/>
                      <w:sz w:val="21"/>
                    </w:rPr>
                  </w:pPr>
                </w:p>
                <w:p w14:paraId="7D8E684A">
                  <w:pPr>
                    <w:pStyle w:val="6"/>
                    <w:spacing w:before="71" w:line="224" w:lineRule="auto"/>
                    <w:ind w:left="310"/>
                    <w:rPr>
                      <w:sz w:val="22"/>
                      <w:szCs w:val="22"/>
                    </w:rPr>
                  </w:pPr>
                  <w:r>
                    <w:rPr>
                      <w:spacing w:val="-4"/>
                      <w:sz w:val="22"/>
                      <w:szCs w:val="22"/>
                    </w:rPr>
                    <w:t>汽油</w:t>
                  </w:r>
                </w:p>
              </w:tc>
              <w:tc>
                <w:tcPr>
                  <w:tcW w:w="1102" w:type="dxa"/>
                  <w:vAlign w:val="top"/>
                </w:tcPr>
                <w:p w14:paraId="2A7E84F6">
                  <w:pPr>
                    <w:spacing w:line="289" w:lineRule="auto"/>
                    <w:rPr>
                      <w:rFonts w:ascii="Arial"/>
                      <w:sz w:val="21"/>
                    </w:rPr>
                  </w:pPr>
                </w:p>
                <w:p w14:paraId="69D32EDD">
                  <w:pPr>
                    <w:spacing w:before="63" w:line="189" w:lineRule="auto"/>
                    <w:ind w:left="36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3.91</w:t>
                  </w:r>
                </w:p>
              </w:tc>
              <w:tc>
                <w:tcPr>
                  <w:tcW w:w="1349" w:type="dxa"/>
                  <w:vAlign w:val="top"/>
                </w:tcPr>
                <w:p w14:paraId="15264F1D">
                  <w:pPr>
                    <w:pStyle w:val="6"/>
                    <w:spacing w:before="30"/>
                    <w:ind w:left="356" w:right="122" w:hanging="222"/>
                    <w:rPr>
                      <w:sz w:val="22"/>
                      <w:szCs w:val="22"/>
                    </w:rPr>
                  </w:pPr>
                  <w:r>
                    <w:rPr>
                      <w:spacing w:val="-3"/>
                      <w:sz w:val="22"/>
                      <w:szCs w:val="22"/>
                    </w:rPr>
                    <w:t>一次回收系</w:t>
                  </w:r>
                  <w:r>
                    <w:rPr>
                      <w:spacing w:val="-5"/>
                      <w:sz w:val="22"/>
                      <w:szCs w:val="22"/>
                    </w:rPr>
                    <w:t>统回收</w:t>
                  </w:r>
                </w:p>
                <w:p w14:paraId="224B60D4">
                  <w:pPr>
                    <w:pStyle w:val="6"/>
                    <w:spacing w:before="1" w:line="207" w:lineRule="auto"/>
                    <w:ind w:left="264"/>
                    <w:rPr>
                      <w:sz w:val="22"/>
                      <w:szCs w:val="22"/>
                    </w:rPr>
                  </w:pPr>
                  <w:r>
                    <w:rPr>
                      <w:spacing w:val="-3"/>
                      <w:sz w:val="22"/>
                      <w:szCs w:val="22"/>
                    </w:rPr>
                    <w:t>（</w:t>
                  </w:r>
                  <w:r>
                    <w:rPr>
                      <w:rFonts w:ascii="Times New Roman" w:hAnsi="Times New Roman" w:eastAsia="Times New Roman" w:cs="Times New Roman"/>
                      <w:spacing w:val="-3"/>
                      <w:sz w:val="22"/>
                      <w:szCs w:val="22"/>
                    </w:rPr>
                    <w:t>95%</w:t>
                  </w:r>
                  <w:r>
                    <w:rPr>
                      <w:spacing w:val="-3"/>
                      <w:sz w:val="22"/>
                      <w:szCs w:val="22"/>
                    </w:rPr>
                    <w:t>）</w:t>
                  </w:r>
                </w:p>
              </w:tc>
              <w:tc>
                <w:tcPr>
                  <w:tcW w:w="1231" w:type="dxa"/>
                  <w:vAlign w:val="top"/>
                </w:tcPr>
                <w:p w14:paraId="0143BD80">
                  <w:pPr>
                    <w:pStyle w:val="6"/>
                    <w:spacing w:before="174"/>
                    <w:ind w:left="295" w:right="170" w:hanging="90"/>
                    <w:rPr>
                      <w:sz w:val="22"/>
                      <w:szCs w:val="22"/>
                    </w:rPr>
                  </w:pPr>
                  <w:r>
                    <w:rPr>
                      <w:spacing w:val="-8"/>
                      <w:sz w:val="22"/>
                      <w:szCs w:val="22"/>
                    </w:rPr>
                    <w:t>回收至油</w:t>
                  </w:r>
                  <w:r>
                    <w:rPr>
                      <w:spacing w:val="-4"/>
                      <w:sz w:val="22"/>
                      <w:szCs w:val="22"/>
                    </w:rPr>
                    <w:t>罐车内</w:t>
                  </w:r>
                </w:p>
              </w:tc>
              <w:tc>
                <w:tcPr>
                  <w:tcW w:w="1050" w:type="dxa"/>
                  <w:vAlign w:val="top"/>
                </w:tcPr>
                <w:p w14:paraId="2543CB18">
                  <w:pPr>
                    <w:spacing w:line="289" w:lineRule="auto"/>
                    <w:rPr>
                      <w:rFonts w:ascii="Arial"/>
                      <w:sz w:val="21"/>
                    </w:rPr>
                  </w:pPr>
                </w:p>
                <w:p w14:paraId="76D3B50E">
                  <w:pPr>
                    <w:spacing w:before="63" w:line="189" w:lineRule="auto"/>
                    <w:ind w:left="28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3.715</w:t>
                  </w:r>
                </w:p>
              </w:tc>
              <w:tc>
                <w:tcPr>
                  <w:tcW w:w="1021" w:type="dxa"/>
                  <w:vAlign w:val="top"/>
                </w:tcPr>
                <w:p w14:paraId="2BB9BD05">
                  <w:pPr>
                    <w:spacing w:line="289" w:lineRule="auto"/>
                    <w:rPr>
                      <w:rFonts w:ascii="Arial"/>
                      <w:sz w:val="21"/>
                    </w:rPr>
                  </w:pPr>
                </w:p>
                <w:p w14:paraId="2B5F17E0">
                  <w:pPr>
                    <w:spacing w:before="63" w:line="189" w:lineRule="auto"/>
                    <w:ind w:left="26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0.195</w:t>
                  </w:r>
                </w:p>
              </w:tc>
            </w:tr>
            <w:tr w14:paraId="509A3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1137" w:type="dxa"/>
                  <w:vAlign w:val="top"/>
                </w:tcPr>
                <w:p w14:paraId="26EEE1E0">
                  <w:pPr>
                    <w:spacing w:line="244" w:lineRule="auto"/>
                    <w:rPr>
                      <w:rFonts w:ascii="Arial"/>
                      <w:sz w:val="21"/>
                    </w:rPr>
                  </w:pPr>
                </w:p>
                <w:p w14:paraId="17755F3A">
                  <w:pPr>
                    <w:pStyle w:val="6"/>
                    <w:spacing w:before="72" w:line="221" w:lineRule="auto"/>
                    <w:ind w:left="134"/>
                    <w:rPr>
                      <w:sz w:val="22"/>
                      <w:szCs w:val="22"/>
                    </w:rPr>
                  </w:pPr>
                  <w:r>
                    <w:rPr>
                      <w:spacing w:val="-2"/>
                      <w:sz w:val="22"/>
                      <w:szCs w:val="22"/>
                    </w:rPr>
                    <w:t>加油作业</w:t>
                  </w:r>
                </w:p>
              </w:tc>
              <w:tc>
                <w:tcPr>
                  <w:tcW w:w="1050" w:type="dxa"/>
                  <w:vAlign w:val="top"/>
                </w:tcPr>
                <w:p w14:paraId="3404AB66">
                  <w:pPr>
                    <w:spacing w:line="244" w:lineRule="auto"/>
                    <w:rPr>
                      <w:rFonts w:ascii="Arial"/>
                      <w:sz w:val="21"/>
                    </w:rPr>
                  </w:pPr>
                </w:p>
                <w:p w14:paraId="48185FAA">
                  <w:pPr>
                    <w:pStyle w:val="6"/>
                    <w:spacing w:before="72" w:line="224" w:lineRule="auto"/>
                    <w:ind w:left="310"/>
                    <w:rPr>
                      <w:sz w:val="22"/>
                      <w:szCs w:val="22"/>
                    </w:rPr>
                  </w:pPr>
                  <w:r>
                    <w:rPr>
                      <w:spacing w:val="-4"/>
                      <w:sz w:val="22"/>
                      <w:szCs w:val="22"/>
                    </w:rPr>
                    <w:t>汽油</w:t>
                  </w:r>
                </w:p>
              </w:tc>
              <w:tc>
                <w:tcPr>
                  <w:tcW w:w="1102" w:type="dxa"/>
                  <w:vAlign w:val="top"/>
                </w:tcPr>
                <w:p w14:paraId="53F8DCB9">
                  <w:pPr>
                    <w:spacing w:line="290" w:lineRule="auto"/>
                    <w:rPr>
                      <w:rFonts w:ascii="Arial"/>
                      <w:sz w:val="21"/>
                    </w:rPr>
                  </w:pPr>
                </w:p>
                <w:p w14:paraId="7CC693D0">
                  <w:pPr>
                    <w:spacing w:before="64" w:line="189" w:lineRule="auto"/>
                    <w:ind w:left="30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4.233</w:t>
                  </w:r>
                </w:p>
              </w:tc>
              <w:tc>
                <w:tcPr>
                  <w:tcW w:w="1349" w:type="dxa"/>
                  <w:vAlign w:val="top"/>
                </w:tcPr>
                <w:p w14:paraId="50D7732B">
                  <w:pPr>
                    <w:pStyle w:val="6"/>
                    <w:spacing w:before="31"/>
                    <w:ind w:left="358" w:right="122" w:hanging="224"/>
                    <w:rPr>
                      <w:sz w:val="22"/>
                      <w:szCs w:val="22"/>
                    </w:rPr>
                  </w:pPr>
                  <w:r>
                    <w:rPr>
                      <w:spacing w:val="-3"/>
                      <w:sz w:val="22"/>
                      <w:szCs w:val="22"/>
                    </w:rPr>
                    <w:t>二次油气回</w:t>
                  </w:r>
                  <w:r>
                    <w:rPr>
                      <w:spacing w:val="-6"/>
                      <w:sz w:val="22"/>
                      <w:szCs w:val="22"/>
                    </w:rPr>
                    <w:t>收系统</w:t>
                  </w:r>
                </w:p>
                <w:p w14:paraId="56D2F97A">
                  <w:pPr>
                    <w:pStyle w:val="6"/>
                    <w:spacing w:before="1" w:line="205" w:lineRule="auto"/>
                    <w:ind w:left="264"/>
                    <w:rPr>
                      <w:sz w:val="22"/>
                      <w:szCs w:val="22"/>
                    </w:rPr>
                  </w:pPr>
                  <w:r>
                    <w:rPr>
                      <w:spacing w:val="-3"/>
                      <w:sz w:val="22"/>
                      <w:szCs w:val="22"/>
                    </w:rPr>
                    <w:t>（</w:t>
                  </w:r>
                  <w:r>
                    <w:rPr>
                      <w:rFonts w:ascii="Times New Roman" w:hAnsi="Times New Roman" w:eastAsia="Times New Roman" w:cs="Times New Roman"/>
                      <w:spacing w:val="-3"/>
                      <w:sz w:val="22"/>
                      <w:szCs w:val="22"/>
                    </w:rPr>
                    <w:t>90%</w:t>
                  </w:r>
                  <w:r>
                    <w:rPr>
                      <w:spacing w:val="-3"/>
                      <w:sz w:val="22"/>
                      <w:szCs w:val="22"/>
                    </w:rPr>
                    <w:t>）</w:t>
                  </w:r>
                </w:p>
              </w:tc>
              <w:tc>
                <w:tcPr>
                  <w:tcW w:w="1231" w:type="dxa"/>
                  <w:vAlign w:val="top"/>
                </w:tcPr>
                <w:p w14:paraId="7F38B89A">
                  <w:pPr>
                    <w:pStyle w:val="6"/>
                    <w:spacing w:before="173" w:line="242" w:lineRule="auto"/>
                    <w:ind w:left="405" w:right="170" w:hanging="200"/>
                    <w:rPr>
                      <w:sz w:val="22"/>
                      <w:szCs w:val="22"/>
                    </w:rPr>
                  </w:pPr>
                  <w:r>
                    <w:rPr>
                      <w:spacing w:val="-8"/>
                      <w:sz w:val="22"/>
                      <w:szCs w:val="22"/>
                    </w:rPr>
                    <w:t>回收至油</w:t>
                  </w:r>
                  <w:r>
                    <w:rPr>
                      <w:spacing w:val="-5"/>
                      <w:sz w:val="22"/>
                      <w:szCs w:val="22"/>
                    </w:rPr>
                    <w:t>罐内</w:t>
                  </w:r>
                </w:p>
              </w:tc>
              <w:tc>
                <w:tcPr>
                  <w:tcW w:w="1050" w:type="dxa"/>
                  <w:vAlign w:val="top"/>
                </w:tcPr>
                <w:p w14:paraId="211AAE8A">
                  <w:pPr>
                    <w:spacing w:line="290" w:lineRule="auto"/>
                    <w:rPr>
                      <w:rFonts w:ascii="Arial"/>
                      <w:sz w:val="21"/>
                    </w:rPr>
                  </w:pPr>
                </w:p>
                <w:p w14:paraId="02C97658">
                  <w:pPr>
                    <w:spacing w:before="64" w:line="189" w:lineRule="auto"/>
                    <w:ind w:left="28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3.810</w:t>
                  </w:r>
                </w:p>
              </w:tc>
              <w:tc>
                <w:tcPr>
                  <w:tcW w:w="1021" w:type="dxa"/>
                  <w:vAlign w:val="top"/>
                </w:tcPr>
                <w:p w14:paraId="21BF9975">
                  <w:pPr>
                    <w:spacing w:line="290" w:lineRule="auto"/>
                    <w:rPr>
                      <w:rFonts w:ascii="Arial"/>
                      <w:sz w:val="21"/>
                    </w:rPr>
                  </w:pPr>
                </w:p>
                <w:p w14:paraId="5DBD07F9">
                  <w:pPr>
                    <w:spacing w:before="64" w:line="189" w:lineRule="auto"/>
                    <w:ind w:left="26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0.423</w:t>
                  </w:r>
                </w:p>
              </w:tc>
            </w:tr>
            <w:tr w14:paraId="58B8A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1137" w:type="dxa"/>
                  <w:vAlign w:val="top"/>
                </w:tcPr>
                <w:p w14:paraId="5EFBBA81">
                  <w:pPr>
                    <w:spacing w:line="244" w:lineRule="auto"/>
                    <w:rPr>
                      <w:rFonts w:ascii="Arial"/>
                      <w:sz w:val="21"/>
                    </w:rPr>
                  </w:pPr>
                </w:p>
                <w:p w14:paraId="24ACE6C0">
                  <w:pPr>
                    <w:pStyle w:val="6"/>
                    <w:spacing w:before="72" w:line="221" w:lineRule="auto"/>
                    <w:ind w:left="133"/>
                    <w:rPr>
                      <w:sz w:val="22"/>
                      <w:szCs w:val="22"/>
                    </w:rPr>
                  </w:pPr>
                  <w:r>
                    <w:rPr>
                      <w:spacing w:val="-2"/>
                      <w:sz w:val="22"/>
                      <w:szCs w:val="22"/>
                    </w:rPr>
                    <w:t>储油过程</w:t>
                  </w:r>
                </w:p>
              </w:tc>
              <w:tc>
                <w:tcPr>
                  <w:tcW w:w="1050" w:type="dxa"/>
                  <w:vAlign w:val="top"/>
                </w:tcPr>
                <w:p w14:paraId="64D40D93">
                  <w:pPr>
                    <w:spacing w:line="244" w:lineRule="auto"/>
                    <w:rPr>
                      <w:rFonts w:ascii="Arial"/>
                      <w:sz w:val="21"/>
                    </w:rPr>
                  </w:pPr>
                </w:p>
                <w:p w14:paraId="667DF9D2">
                  <w:pPr>
                    <w:pStyle w:val="6"/>
                    <w:spacing w:before="72" w:line="224" w:lineRule="auto"/>
                    <w:ind w:left="310"/>
                    <w:rPr>
                      <w:sz w:val="22"/>
                      <w:szCs w:val="22"/>
                    </w:rPr>
                  </w:pPr>
                  <w:r>
                    <w:rPr>
                      <w:spacing w:val="-4"/>
                      <w:sz w:val="22"/>
                      <w:szCs w:val="22"/>
                    </w:rPr>
                    <w:t>汽油</w:t>
                  </w:r>
                </w:p>
              </w:tc>
              <w:tc>
                <w:tcPr>
                  <w:tcW w:w="1102" w:type="dxa"/>
                  <w:vAlign w:val="top"/>
                </w:tcPr>
                <w:p w14:paraId="24D3EB60">
                  <w:pPr>
                    <w:spacing w:line="290" w:lineRule="auto"/>
                    <w:rPr>
                      <w:rFonts w:ascii="Arial"/>
                      <w:sz w:val="21"/>
                    </w:rPr>
                  </w:pPr>
                </w:p>
                <w:p w14:paraId="2B6D4820">
                  <w:pPr>
                    <w:spacing w:before="64" w:line="189" w:lineRule="auto"/>
                    <w:ind w:left="30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0.272</w:t>
                  </w:r>
                </w:p>
              </w:tc>
              <w:tc>
                <w:tcPr>
                  <w:tcW w:w="1349" w:type="dxa"/>
                  <w:vAlign w:val="top"/>
                </w:tcPr>
                <w:p w14:paraId="70ABA921">
                  <w:pPr>
                    <w:pStyle w:val="6"/>
                    <w:spacing w:before="33"/>
                    <w:ind w:left="359" w:right="122" w:hanging="228"/>
                    <w:rPr>
                      <w:sz w:val="22"/>
                      <w:szCs w:val="22"/>
                    </w:rPr>
                  </w:pPr>
                  <w:r>
                    <w:rPr>
                      <w:spacing w:val="-2"/>
                      <w:sz w:val="22"/>
                      <w:szCs w:val="22"/>
                    </w:rPr>
                    <w:t>三次油气回</w:t>
                  </w:r>
                  <w:r>
                    <w:rPr>
                      <w:spacing w:val="-6"/>
                      <w:sz w:val="22"/>
                      <w:szCs w:val="22"/>
                    </w:rPr>
                    <w:t>收系统</w:t>
                  </w:r>
                </w:p>
                <w:p w14:paraId="316CE9FD">
                  <w:pPr>
                    <w:pStyle w:val="6"/>
                    <w:spacing w:before="1" w:line="203" w:lineRule="auto"/>
                    <w:ind w:left="264"/>
                    <w:rPr>
                      <w:sz w:val="22"/>
                      <w:szCs w:val="22"/>
                    </w:rPr>
                  </w:pPr>
                  <w:r>
                    <w:rPr>
                      <w:spacing w:val="-3"/>
                      <w:sz w:val="22"/>
                      <w:szCs w:val="22"/>
                    </w:rPr>
                    <w:t>（</w:t>
                  </w:r>
                  <w:r>
                    <w:rPr>
                      <w:rFonts w:ascii="Times New Roman" w:hAnsi="Times New Roman" w:eastAsia="Times New Roman" w:cs="Times New Roman"/>
                      <w:spacing w:val="-3"/>
                      <w:sz w:val="22"/>
                      <w:szCs w:val="22"/>
                    </w:rPr>
                    <w:t>95%</w:t>
                  </w:r>
                  <w:r>
                    <w:rPr>
                      <w:spacing w:val="-3"/>
                      <w:sz w:val="22"/>
                      <w:szCs w:val="22"/>
                    </w:rPr>
                    <w:t>）</w:t>
                  </w:r>
                </w:p>
              </w:tc>
              <w:tc>
                <w:tcPr>
                  <w:tcW w:w="1231" w:type="dxa"/>
                  <w:vAlign w:val="top"/>
                </w:tcPr>
                <w:p w14:paraId="2DE8C8A1">
                  <w:pPr>
                    <w:pStyle w:val="6"/>
                    <w:spacing w:before="175" w:line="242" w:lineRule="auto"/>
                    <w:ind w:left="405" w:right="170" w:hanging="200"/>
                    <w:rPr>
                      <w:sz w:val="22"/>
                      <w:szCs w:val="22"/>
                    </w:rPr>
                  </w:pPr>
                  <w:r>
                    <w:rPr>
                      <w:spacing w:val="-8"/>
                      <w:sz w:val="22"/>
                      <w:szCs w:val="22"/>
                    </w:rPr>
                    <w:t>回收至油</w:t>
                  </w:r>
                  <w:r>
                    <w:rPr>
                      <w:spacing w:val="-5"/>
                      <w:sz w:val="22"/>
                      <w:szCs w:val="22"/>
                    </w:rPr>
                    <w:t>罐内</w:t>
                  </w:r>
                </w:p>
              </w:tc>
              <w:tc>
                <w:tcPr>
                  <w:tcW w:w="1050" w:type="dxa"/>
                  <w:vAlign w:val="top"/>
                </w:tcPr>
                <w:p w14:paraId="3E100B2B">
                  <w:pPr>
                    <w:spacing w:line="290" w:lineRule="auto"/>
                    <w:rPr>
                      <w:rFonts w:ascii="Arial"/>
                      <w:sz w:val="21"/>
                    </w:rPr>
                  </w:pPr>
                </w:p>
                <w:p w14:paraId="12C7E326">
                  <w:pPr>
                    <w:spacing w:before="64" w:line="189" w:lineRule="auto"/>
                    <w:ind w:left="28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0.258</w:t>
                  </w:r>
                </w:p>
              </w:tc>
              <w:tc>
                <w:tcPr>
                  <w:tcW w:w="1021" w:type="dxa"/>
                  <w:vAlign w:val="top"/>
                </w:tcPr>
                <w:p w14:paraId="69B07BE3">
                  <w:pPr>
                    <w:spacing w:line="290" w:lineRule="auto"/>
                    <w:rPr>
                      <w:rFonts w:ascii="Arial"/>
                      <w:sz w:val="21"/>
                    </w:rPr>
                  </w:pPr>
                </w:p>
                <w:p w14:paraId="25EC16EA">
                  <w:pPr>
                    <w:spacing w:before="64" w:line="189" w:lineRule="auto"/>
                    <w:ind w:left="26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0.014</w:t>
                  </w:r>
                </w:p>
              </w:tc>
            </w:tr>
            <w:tr w14:paraId="0EF7E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2187" w:type="dxa"/>
                  <w:gridSpan w:val="2"/>
                  <w:vAlign w:val="top"/>
                </w:tcPr>
                <w:p w14:paraId="44B14852">
                  <w:pPr>
                    <w:pStyle w:val="6"/>
                    <w:spacing w:before="37" w:line="208" w:lineRule="auto"/>
                    <w:ind w:left="881"/>
                    <w:rPr>
                      <w:sz w:val="22"/>
                      <w:szCs w:val="22"/>
                    </w:rPr>
                  </w:pPr>
                  <w:r>
                    <w:rPr>
                      <w:spacing w:val="-4"/>
                      <w:sz w:val="22"/>
                      <w:szCs w:val="22"/>
                    </w:rPr>
                    <w:t>合计</w:t>
                  </w:r>
                </w:p>
              </w:tc>
              <w:tc>
                <w:tcPr>
                  <w:tcW w:w="1102" w:type="dxa"/>
                  <w:vAlign w:val="top"/>
                </w:tcPr>
                <w:p w14:paraId="535550CA">
                  <w:pPr>
                    <w:spacing w:before="75" w:line="189" w:lineRule="auto"/>
                    <w:ind w:left="31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8.415</w:t>
                  </w:r>
                </w:p>
              </w:tc>
              <w:tc>
                <w:tcPr>
                  <w:tcW w:w="2580" w:type="dxa"/>
                  <w:gridSpan w:val="2"/>
                  <w:vAlign w:val="top"/>
                </w:tcPr>
                <w:p w14:paraId="7E4254B9">
                  <w:pPr>
                    <w:spacing w:before="71" w:line="193" w:lineRule="auto"/>
                    <w:ind w:left="125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50" w:type="dxa"/>
                  <w:vAlign w:val="top"/>
                </w:tcPr>
                <w:p w14:paraId="6CCA5921">
                  <w:pPr>
                    <w:spacing w:before="75" w:line="189" w:lineRule="auto"/>
                    <w:ind w:left="28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7.783</w:t>
                  </w:r>
                </w:p>
              </w:tc>
              <w:tc>
                <w:tcPr>
                  <w:tcW w:w="1021" w:type="dxa"/>
                  <w:vAlign w:val="top"/>
                </w:tcPr>
                <w:p w14:paraId="7054B489">
                  <w:pPr>
                    <w:spacing w:before="75" w:line="189" w:lineRule="auto"/>
                    <w:ind w:left="26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0.632</w:t>
                  </w:r>
                </w:p>
              </w:tc>
            </w:tr>
          </w:tbl>
          <w:p w14:paraId="30CB047C">
            <w:pPr>
              <w:pStyle w:val="6"/>
              <w:spacing w:before="178" w:line="372" w:lineRule="auto"/>
              <w:ind w:left="105" w:right="100" w:firstLine="1"/>
              <w:rPr>
                <w:sz w:val="22"/>
                <w:szCs w:val="22"/>
              </w:rPr>
            </w:pPr>
            <w:r>
              <w:rPr>
                <w:spacing w:val="-3"/>
                <w:sz w:val="22"/>
                <w:szCs w:val="22"/>
              </w:rPr>
              <w:t>注：根据</w:t>
            </w:r>
            <w:r>
              <w:rPr>
                <w:spacing w:val="-51"/>
                <w:sz w:val="22"/>
                <w:szCs w:val="22"/>
              </w:rPr>
              <w:t xml:space="preserve"> </w:t>
            </w:r>
            <w:r>
              <w:rPr>
                <w:rFonts w:ascii="Times New Roman" w:hAnsi="Times New Roman" w:eastAsia="Times New Roman" w:cs="Times New Roman"/>
                <w:spacing w:val="-3"/>
                <w:sz w:val="22"/>
                <w:szCs w:val="22"/>
              </w:rPr>
              <w:t>HJ1118-2020</w:t>
            </w:r>
            <w:r>
              <w:rPr>
                <w:spacing w:val="-3"/>
                <w:sz w:val="22"/>
                <w:szCs w:val="22"/>
              </w:rPr>
              <w:t>，一次回收系统回收、二次油气回</w:t>
            </w:r>
            <w:r>
              <w:rPr>
                <w:spacing w:val="-4"/>
                <w:sz w:val="22"/>
                <w:szCs w:val="22"/>
              </w:rPr>
              <w:t>收系统通气立管按照无组织</w:t>
            </w:r>
            <w:r>
              <w:rPr>
                <w:spacing w:val="-2"/>
                <w:sz w:val="22"/>
                <w:szCs w:val="22"/>
              </w:rPr>
              <w:t>进行管理</w:t>
            </w:r>
          </w:p>
          <w:p w14:paraId="1FF715AE">
            <w:pPr>
              <w:pStyle w:val="6"/>
              <w:spacing w:before="1" w:line="223" w:lineRule="auto"/>
              <w:ind w:left="627"/>
            </w:pPr>
            <w:r>
              <w:rPr>
                <w:spacing w:val="8"/>
              </w:rPr>
              <w:t>④进出站汽车尾气</w:t>
            </w:r>
          </w:p>
          <w:p w14:paraId="564CDCE9">
            <w:pPr>
              <w:pStyle w:val="6"/>
              <w:spacing w:before="158" w:line="334" w:lineRule="auto"/>
              <w:ind w:left="106" w:right="15" w:firstLine="524"/>
            </w:pPr>
            <w:r>
              <w:rPr>
                <w:spacing w:val="5"/>
              </w:rPr>
              <w:t>本项目在营运过程中，汽车低速行驶进出加油站，加油时车辆处于</w:t>
            </w:r>
            <w:r>
              <w:rPr>
                <w:spacing w:val="3"/>
              </w:rPr>
              <w:t>停止状态，整个过程前后所排放的汽车尾气量较小，主要污染物为</w:t>
            </w:r>
            <w:r>
              <w:rPr>
                <w:spacing w:val="-38"/>
              </w:rPr>
              <w:t xml:space="preserve"> </w:t>
            </w:r>
            <w:r>
              <w:rPr>
                <w:rFonts w:ascii="Times New Roman" w:hAnsi="Times New Roman" w:eastAsia="Times New Roman" w:cs="Times New Roman"/>
              </w:rPr>
              <w:t>CO</w:t>
            </w:r>
            <w:r>
              <w:rPr>
                <w:spacing w:val="3"/>
              </w:rPr>
              <w:t>、</w:t>
            </w:r>
            <w:r>
              <w:t xml:space="preserve"> </w:t>
            </w:r>
            <w:r>
              <w:rPr>
                <w:rFonts w:ascii="Times New Roman" w:hAnsi="Times New Roman" w:eastAsia="Times New Roman" w:cs="Times New Roman"/>
              </w:rPr>
              <w:t>THC</w:t>
            </w:r>
            <w:r>
              <w:rPr>
                <w:rFonts w:ascii="Times New Roman" w:hAnsi="Times New Roman" w:eastAsia="Times New Roman" w:cs="Times New Roman"/>
                <w:spacing w:val="-32"/>
              </w:rPr>
              <w:t xml:space="preserve"> </w:t>
            </w:r>
            <w:r>
              <w:rPr>
                <w:spacing w:val="4"/>
              </w:rPr>
              <w:t>、</w:t>
            </w:r>
            <w:r>
              <w:rPr>
                <w:rFonts w:ascii="Times New Roman" w:hAnsi="Times New Roman" w:eastAsia="Times New Roman" w:cs="Times New Roman"/>
              </w:rPr>
              <w:t>NOx</w:t>
            </w:r>
            <w:r>
              <w:rPr>
                <w:spacing w:val="4"/>
              </w:rPr>
              <w:t>。</w:t>
            </w:r>
          </w:p>
          <w:p w14:paraId="08491CE2">
            <w:pPr>
              <w:pStyle w:val="6"/>
              <w:spacing w:before="21" w:line="224" w:lineRule="auto"/>
              <w:ind w:left="627"/>
            </w:pPr>
            <w:r>
              <w:rPr>
                <w:spacing w:val="8"/>
              </w:rPr>
              <w:t>⑤生化池臭气</w:t>
            </w:r>
          </w:p>
          <w:p w14:paraId="519B32B9">
            <w:pPr>
              <w:pStyle w:val="6"/>
              <w:spacing w:before="154" w:line="340" w:lineRule="auto"/>
              <w:ind w:left="103" w:right="103" w:firstLine="530"/>
            </w:pPr>
            <w:r>
              <w:rPr>
                <w:spacing w:val="5"/>
              </w:rPr>
              <w:t>项目在营运过程中在运行过程中将产生一定量臭气，其主要成分为</w:t>
            </w:r>
            <w:r>
              <w:rPr>
                <w:rFonts w:ascii="Times New Roman" w:hAnsi="Times New Roman" w:eastAsia="Times New Roman" w:cs="Times New Roman"/>
                <w:spacing w:val="8"/>
              </w:rPr>
              <w:t>H</w:t>
            </w:r>
            <w:r>
              <w:rPr>
                <w:rFonts w:ascii="Times New Roman" w:hAnsi="Times New Roman" w:eastAsia="Times New Roman" w:cs="Times New Roman"/>
                <w:spacing w:val="8"/>
                <w:position w:val="-2"/>
                <w:sz w:val="16"/>
                <w:szCs w:val="16"/>
              </w:rPr>
              <w:t>2</w:t>
            </w:r>
            <w:r>
              <w:rPr>
                <w:rFonts w:ascii="Times New Roman" w:hAnsi="Times New Roman" w:eastAsia="Times New Roman" w:cs="Times New Roman"/>
                <w:spacing w:val="-23"/>
                <w:position w:val="-2"/>
                <w:sz w:val="16"/>
                <w:szCs w:val="16"/>
              </w:rPr>
              <w:t xml:space="preserve"> </w:t>
            </w:r>
            <w:r>
              <w:rPr>
                <w:rFonts w:ascii="Times New Roman" w:hAnsi="Times New Roman" w:eastAsia="Times New Roman" w:cs="Times New Roman"/>
                <w:spacing w:val="8"/>
              </w:rPr>
              <w:t>S</w:t>
            </w:r>
            <w:r>
              <w:rPr>
                <w:rFonts w:ascii="Times New Roman" w:hAnsi="Times New Roman" w:eastAsia="Times New Roman" w:cs="Times New Roman"/>
                <w:spacing w:val="-32"/>
              </w:rPr>
              <w:t xml:space="preserve"> </w:t>
            </w:r>
            <w:r>
              <w:rPr>
                <w:spacing w:val="8"/>
              </w:rPr>
              <w:t>、</w:t>
            </w:r>
            <w:r>
              <w:rPr>
                <w:rFonts w:ascii="Times New Roman" w:hAnsi="Times New Roman" w:eastAsia="Times New Roman" w:cs="Times New Roman"/>
              </w:rPr>
              <w:t>NH</w:t>
            </w:r>
            <w:r>
              <w:rPr>
                <w:rFonts w:ascii="Times New Roman" w:hAnsi="Times New Roman" w:eastAsia="Times New Roman" w:cs="Times New Roman"/>
                <w:spacing w:val="8"/>
                <w:position w:val="-2"/>
                <w:sz w:val="16"/>
                <w:szCs w:val="16"/>
              </w:rPr>
              <w:t>3</w:t>
            </w:r>
            <w:r>
              <w:rPr>
                <w:rFonts w:ascii="Times New Roman" w:hAnsi="Times New Roman" w:eastAsia="Times New Roman" w:cs="Times New Roman"/>
                <w:spacing w:val="15"/>
                <w:w w:val="101"/>
                <w:position w:val="-2"/>
                <w:sz w:val="16"/>
                <w:szCs w:val="16"/>
              </w:rPr>
              <w:t xml:space="preserve"> </w:t>
            </w:r>
            <w:r>
              <w:rPr>
                <w:spacing w:val="8"/>
              </w:rPr>
              <w:t>等，若处理不当会对周边环境造成</w:t>
            </w:r>
            <w:r>
              <w:rPr>
                <w:spacing w:val="7"/>
              </w:rPr>
              <w:t>一定的负面影响。项目的</w:t>
            </w:r>
            <w:r>
              <w:rPr>
                <w:spacing w:val="9"/>
              </w:rPr>
              <w:t>生化池为地埋式，平时封闭管理，可通过加强周边绿化。</w:t>
            </w:r>
          </w:p>
          <w:p w14:paraId="2F1F5A85">
            <w:pPr>
              <w:pStyle w:val="6"/>
              <w:spacing w:before="1" w:line="223" w:lineRule="auto"/>
              <w:ind w:left="627"/>
            </w:pPr>
            <w:r>
              <w:rPr>
                <w:spacing w:val="9"/>
              </w:rPr>
              <w:t>⑥备用柴油发电机废气</w:t>
            </w:r>
          </w:p>
          <w:p w14:paraId="328C02FF">
            <w:pPr>
              <w:pStyle w:val="6"/>
              <w:spacing w:before="157" w:line="340" w:lineRule="auto"/>
              <w:ind w:left="108" w:right="103" w:firstLine="524"/>
            </w:pPr>
            <w:r>
              <w:rPr>
                <w:spacing w:val="2"/>
              </w:rPr>
              <w:t>项目使用现有工程</w:t>
            </w:r>
            <w:r>
              <w:rPr>
                <w:spacing w:val="-25"/>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3"/>
              </w:rPr>
              <w:t xml:space="preserve"> </w:t>
            </w:r>
            <w:r>
              <w:rPr>
                <w:spacing w:val="2"/>
              </w:rPr>
              <w:t>台</w:t>
            </w:r>
            <w:r>
              <w:rPr>
                <w:spacing w:val="-50"/>
              </w:rPr>
              <w:t xml:space="preserve"> </w:t>
            </w:r>
            <w:r>
              <w:rPr>
                <w:rFonts w:ascii="Times New Roman" w:hAnsi="Times New Roman" w:eastAsia="Times New Roman" w:cs="Times New Roman"/>
                <w:spacing w:val="2"/>
              </w:rPr>
              <w:t>30</w:t>
            </w:r>
            <w:r>
              <w:rPr>
                <w:rFonts w:ascii="Times New Roman" w:hAnsi="Times New Roman" w:eastAsia="Times New Roman" w:cs="Times New Roman"/>
              </w:rPr>
              <w:t>kW</w:t>
            </w:r>
            <w:r>
              <w:rPr>
                <w:rFonts w:ascii="Times New Roman" w:hAnsi="Times New Roman" w:eastAsia="Times New Roman" w:cs="Times New Roman"/>
                <w:spacing w:val="35"/>
              </w:rPr>
              <w:t xml:space="preserve"> </w:t>
            </w:r>
            <w:r>
              <w:rPr>
                <w:spacing w:val="2"/>
              </w:rPr>
              <w:t>的柴油发电机，作应急备用电源。现</w:t>
            </w:r>
            <w:r>
              <w:rPr>
                <w:spacing w:val="6"/>
              </w:rPr>
              <w:t>有工程设置了专门的柴油发电机房，废气经管道收集后引至站房顶</w:t>
            </w:r>
            <w:r>
              <w:rPr>
                <w:spacing w:val="5"/>
              </w:rPr>
              <w:t>部排</w:t>
            </w:r>
            <w:r>
              <w:rPr>
                <w:spacing w:val="12"/>
              </w:rPr>
              <w:t>放，污染物主要为</w:t>
            </w:r>
            <w:r>
              <w:rPr>
                <w:spacing w:val="-58"/>
              </w:rPr>
              <w:t xml:space="preserve"> </w:t>
            </w:r>
            <w:r>
              <w:rPr>
                <w:rFonts w:ascii="Times New Roman" w:hAnsi="Times New Roman" w:eastAsia="Times New Roman" w:cs="Times New Roman"/>
              </w:rPr>
              <w:t>NOx</w:t>
            </w:r>
            <w:r>
              <w:rPr>
                <w:rFonts w:ascii="Times New Roman" w:hAnsi="Times New Roman" w:eastAsia="Times New Roman" w:cs="Times New Roman"/>
                <w:spacing w:val="-30"/>
              </w:rPr>
              <w:t xml:space="preserve"> </w:t>
            </w:r>
            <w:r>
              <w:rPr>
                <w:spacing w:val="12"/>
              </w:rPr>
              <w:t>、</w:t>
            </w:r>
            <w:r>
              <w:rPr>
                <w:rFonts w:ascii="Times New Roman" w:hAnsi="Times New Roman" w:eastAsia="Times New Roman" w:cs="Times New Roman"/>
              </w:rPr>
              <w:t>THC</w:t>
            </w:r>
            <w:r>
              <w:rPr>
                <w:rFonts w:ascii="Times New Roman" w:hAnsi="Times New Roman" w:eastAsia="Times New Roman" w:cs="Times New Roman"/>
                <w:spacing w:val="-22"/>
              </w:rPr>
              <w:t xml:space="preserve"> </w:t>
            </w:r>
            <w:r>
              <w:rPr>
                <w:spacing w:val="12"/>
              </w:rPr>
              <w:t>。该设备使用频次少，且改扩</w:t>
            </w:r>
            <w:r>
              <w:rPr>
                <w:spacing w:val="11"/>
              </w:rPr>
              <w:t>建前后设</w:t>
            </w:r>
            <w:r>
              <w:rPr>
                <w:spacing w:val="8"/>
              </w:rPr>
              <w:t>备无变化，污染物产生量少，对环境影响较小。</w:t>
            </w:r>
          </w:p>
          <w:p w14:paraId="1CBE35BC">
            <w:pPr>
              <w:pStyle w:val="6"/>
              <w:spacing w:before="1" w:line="225" w:lineRule="auto"/>
              <w:ind w:left="630"/>
            </w:pPr>
            <w:r>
              <w:rPr>
                <w:spacing w:val="8"/>
              </w:rPr>
              <w:t>本项目实施后全站废气产生、治理及排放情况见下表</w:t>
            </w:r>
            <w:r>
              <w:rPr>
                <w:spacing w:val="-54"/>
              </w:rPr>
              <w:t xml:space="preserve"> </w:t>
            </w:r>
            <w:r>
              <w:rPr>
                <w:rFonts w:ascii="Times New Roman" w:hAnsi="Times New Roman" w:eastAsia="Times New Roman" w:cs="Times New Roman"/>
                <w:spacing w:val="8"/>
              </w:rPr>
              <w:t>4.2-5</w:t>
            </w:r>
            <w:r>
              <w:rPr>
                <w:spacing w:val="8"/>
              </w:rPr>
              <w:t>。</w:t>
            </w:r>
          </w:p>
        </w:tc>
      </w:tr>
    </w:tbl>
    <w:p w14:paraId="7603B798">
      <w:pPr>
        <w:pStyle w:val="2"/>
        <w:rPr>
          <w:sz w:val="21"/>
        </w:rPr>
      </w:pPr>
    </w:p>
    <w:p w14:paraId="0999FCE6">
      <w:pPr>
        <w:rPr>
          <w:sz w:val="21"/>
          <w:szCs w:val="21"/>
        </w:rPr>
        <w:sectPr>
          <w:footerReference r:id="rId77" w:type="default"/>
          <w:pgSz w:w="11907" w:h="16840"/>
          <w:pgMar w:top="400" w:right="1490" w:bottom="1008" w:left="1489" w:header="0" w:footer="770" w:gutter="0"/>
          <w:cols w:space="720" w:num="1"/>
        </w:sectPr>
      </w:pPr>
    </w:p>
    <w:p w14:paraId="450B79A2">
      <w:pPr>
        <w:pStyle w:val="2"/>
        <w:spacing w:line="297" w:lineRule="auto"/>
        <w:rPr>
          <w:sz w:val="21"/>
        </w:rPr>
      </w:pPr>
    </w:p>
    <w:p w14:paraId="0A888FC9">
      <w:pPr>
        <w:pStyle w:val="2"/>
        <w:spacing w:line="297" w:lineRule="auto"/>
        <w:rPr>
          <w:sz w:val="21"/>
        </w:rPr>
      </w:pPr>
    </w:p>
    <w:p w14:paraId="0AE07C12">
      <w:pPr>
        <w:pStyle w:val="2"/>
        <w:spacing w:line="297" w:lineRule="auto"/>
        <w:rPr>
          <w:sz w:val="21"/>
        </w:rPr>
      </w:pPr>
    </w:p>
    <w:p w14:paraId="11A241D0">
      <w:pPr>
        <w:pStyle w:val="2"/>
        <w:spacing w:line="297" w:lineRule="auto"/>
        <w:rPr>
          <w:sz w:val="21"/>
        </w:rPr>
      </w:pPr>
    </w:p>
    <w:p w14:paraId="27FEA748">
      <w:pPr>
        <w:spacing w:before="81" w:line="225" w:lineRule="auto"/>
        <w:ind w:left="2685"/>
        <w:rPr>
          <w:rFonts w:ascii="宋体" w:hAnsi="宋体" w:eastAsia="宋体" w:cs="宋体"/>
          <w:sz w:val="25"/>
          <w:szCs w:val="25"/>
        </w:rPr>
      </w:pPr>
      <w:r>
        <w:rPr>
          <w:rFonts w:ascii="宋体" w:hAnsi="宋体" w:eastAsia="宋体" w:cs="宋体"/>
          <w:spacing w:val="8"/>
          <w:sz w:val="25"/>
          <w:szCs w:val="25"/>
        </w:rPr>
        <w:t>表</w:t>
      </w:r>
      <w:r>
        <w:rPr>
          <w:rFonts w:ascii="宋体" w:hAnsi="宋体" w:eastAsia="宋体" w:cs="宋体"/>
          <w:spacing w:val="-56"/>
          <w:sz w:val="25"/>
          <w:szCs w:val="25"/>
        </w:rPr>
        <w:t xml:space="preserve"> </w:t>
      </w:r>
      <w:r>
        <w:rPr>
          <w:rFonts w:ascii="Times New Roman" w:hAnsi="Times New Roman" w:eastAsia="Times New Roman" w:cs="Times New Roman"/>
          <w:spacing w:val="8"/>
          <w:sz w:val="25"/>
          <w:szCs w:val="25"/>
        </w:rPr>
        <w:t xml:space="preserve">4.2-5    </w:t>
      </w:r>
      <w:r>
        <w:rPr>
          <w:rFonts w:ascii="宋体" w:hAnsi="宋体" w:eastAsia="宋体" w:cs="宋体"/>
          <w:spacing w:val="8"/>
          <w:sz w:val="25"/>
          <w:szCs w:val="25"/>
        </w:rPr>
        <w:t>本项目实施后全站废气污染物产生、治理、排放</w:t>
      </w:r>
      <w:r>
        <w:rPr>
          <w:rFonts w:ascii="宋体" w:hAnsi="宋体" w:eastAsia="宋体" w:cs="宋体"/>
          <w:spacing w:val="7"/>
          <w:sz w:val="25"/>
          <w:szCs w:val="25"/>
        </w:rPr>
        <w:t>情况一览表</w:t>
      </w:r>
    </w:p>
    <w:p w14:paraId="3F0EB9F1">
      <w:pPr>
        <w:spacing w:line="94" w:lineRule="auto"/>
        <w:rPr>
          <w:rFonts w:ascii="Arial"/>
          <w:sz w:val="2"/>
        </w:rPr>
      </w:pPr>
    </w:p>
    <w:tbl>
      <w:tblPr>
        <w:tblStyle w:val="5"/>
        <w:tblW w:w="132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7"/>
        <w:gridCol w:w="812"/>
        <w:gridCol w:w="802"/>
        <w:gridCol w:w="709"/>
        <w:gridCol w:w="719"/>
        <w:gridCol w:w="749"/>
        <w:gridCol w:w="710"/>
        <w:gridCol w:w="930"/>
        <w:gridCol w:w="492"/>
        <w:gridCol w:w="653"/>
        <w:gridCol w:w="633"/>
        <w:gridCol w:w="20"/>
        <w:gridCol w:w="490"/>
        <w:gridCol w:w="653"/>
        <w:gridCol w:w="814"/>
        <w:gridCol w:w="814"/>
        <w:gridCol w:w="807"/>
        <w:gridCol w:w="662"/>
        <w:gridCol w:w="1144"/>
      </w:tblGrid>
      <w:tr w14:paraId="3D275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429" w:type="dxa"/>
            <w:gridSpan w:val="2"/>
            <w:vMerge w:val="restart"/>
            <w:tcBorders>
              <w:bottom w:val="nil"/>
            </w:tcBorders>
            <w:vAlign w:val="top"/>
          </w:tcPr>
          <w:p w14:paraId="2C9A5211">
            <w:pPr>
              <w:spacing w:line="241" w:lineRule="auto"/>
              <w:rPr>
                <w:rFonts w:ascii="Arial"/>
                <w:sz w:val="21"/>
              </w:rPr>
            </w:pPr>
          </w:p>
          <w:p w14:paraId="27F67A19">
            <w:pPr>
              <w:spacing w:line="241" w:lineRule="auto"/>
              <w:rPr>
                <w:rFonts w:ascii="Arial"/>
                <w:sz w:val="21"/>
              </w:rPr>
            </w:pPr>
          </w:p>
          <w:p w14:paraId="27A6C326">
            <w:pPr>
              <w:spacing w:line="241" w:lineRule="auto"/>
              <w:rPr>
                <w:rFonts w:ascii="Arial"/>
                <w:sz w:val="21"/>
              </w:rPr>
            </w:pPr>
          </w:p>
          <w:p w14:paraId="5F899E87">
            <w:pPr>
              <w:spacing w:line="242" w:lineRule="auto"/>
              <w:rPr>
                <w:rFonts w:ascii="Arial"/>
                <w:sz w:val="21"/>
              </w:rPr>
            </w:pPr>
          </w:p>
          <w:p w14:paraId="765CF6B5">
            <w:pPr>
              <w:pStyle w:val="6"/>
              <w:spacing w:before="72" w:line="220" w:lineRule="auto"/>
              <w:ind w:left="277"/>
              <w:rPr>
                <w:sz w:val="22"/>
                <w:szCs w:val="22"/>
              </w:rPr>
            </w:pPr>
            <w:r>
              <w:rPr>
                <w:spacing w:val="-2"/>
                <w:sz w:val="22"/>
                <w:szCs w:val="22"/>
              </w:rPr>
              <w:t>产污环节</w:t>
            </w:r>
          </w:p>
        </w:tc>
        <w:tc>
          <w:tcPr>
            <w:tcW w:w="802" w:type="dxa"/>
            <w:vMerge w:val="restart"/>
            <w:tcBorders>
              <w:bottom w:val="nil"/>
            </w:tcBorders>
            <w:vAlign w:val="top"/>
          </w:tcPr>
          <w:p w14:paraId="3DA38669">
            <w:pPr>
              <w:spacing w:line="340" w:lineRule="auto"/>
              <w:rPr>
                <w:rFonts w:ascii="Arial"/>
                <w:sz w:val="21"/>
              </w:rPr>
            </w:pPr>
          </w:p>
          <w:p w14:paraId="733329D4">
            <w:pPr>
              <w:spacing w:line="341" w:lineRule="auto"/>
              <w:rPr>
                <w:rFonts w:ascii="Arial"/>
                <w:sz w:val="21"/>
              </w:rPr>
            </w:pPr>
          </w:p>
          <w:p w14:paraId="7FFCEEF0">
            <w:pPr>
              <w:pStyle w:val="6"/>
              <w:spacing w:before="72"/>
              <w:ind w:left="180" w:right="178" w:firstLine="1"/>
              <w:jc w:val="both"/>
              <w:rPr>
                <w:sz w:val="22"/>
                <w:szCs w:val="22"/>
              </w:rPr>
            </w:pPr>
            <w:r>
              <w:rPr>
                <w:spacing w:val="-5"/>
                <w:sz w:val="22"/>
                <w:szCs w:val="22"/>
              </w:rPr>
              <w:t>污染</w:t>
            </w:r>
            <w:r>
              <w:rPr>
                <w:spacing w:val="-4"/>
                <w:sz w:val="22"/>
                <w:szCs w:val="22"/>
              </w:rPr>
              <w:t>物种</w:t>
            </w:r>
            <w:r>
              <w:rPr>
                <w:spacing w:val="34"/>
                <w:w w:val="131"/>
                <w:sz w:val="22"/>
                <w:szCs w:val="22"/>
              </w:rPr>
              <w:t>类</w:t>
            </w:r>
          </w:p>
        </w:tc>
        <w:tc>
          <w:tcPr>
            <w:tcW w:w="2177" w:type="dxa"/>
            <w:gridSpan w:val="3"/>
            <w:vAlign w:val="top"/>
          </w:tcPr>
          <w:p w14:paraId="29BC0B14">
            <w:pPr>
              <w:pStyle w:val="6"/>
              <w:spacing w:before="36" w:line="210" w:lineRule="auto"/>
              <w:ind w:left="766"/>
              <w:rPr>
                <w:sz w:val="22"/>
                <w:szCs w:val="22"/>
              </w:rPr>
            </w:pPr>
            <w:r>
              <w:rPr>
                <w:spacing w:val="-5"/>
                <w:sz w:val="22"/>
                <w:szCs w:val="22"/>
              </w:rPr>
              <w:t>治理前</w:t>
            </w:r>
          </w:p>
        </w:tc>
        <w:tc>
          <w:tcPr>
            <w:tcW w:w="710" w:type="dxa"/>
            <w:vMerge w:val="restart"/>
            <w:tcBorders>
              <w:bottom w:val="nil"/>
            </w:tcBorders>
            <w:vAlign w:val="top"/>
          </w:tcPr>
          <w:p w14:paraId="1918148A">
            <w:pPr>
              <w:spacing w:line="274" w:lineRule="auto"/>
              <w:rPr>
                <w:rFonts w:ascii="Arial"/>
                <w:sz w:val="21"/>
              </w:rPr>
            </w:pPr>
          </w:p>
          <w:p w14:paraId="60875A76">
            <w:pPr>
              <w:spacing w:line="274" w:lineRule="auto"/>
              <w:rPr>
                <w:rFonts w:ascii="Arial"/>
                <w:sz w:val="21"/>
              </w:rPr>
            </w:pPr>
          </w:p>
          <w:p w14:paraId="7B56F33E">
            <w:pPr>
              <w:spacing w:line="275" w:lineRule="auto"/>
              <w:rPr>
                <w:rFonts w:ascii="Arial"/>
                <w:sz w:val="21"/>
              </w:rPr>
            </w:pPr>
          </w:p>
          <w:p w14:paraId="367F3F22">
            <w:pPr>
              <w:pStyle w:val="6"/>
              <w:spacing w:before="71" w:line="242" w:lineRule="auto"/>
              <w:ind w:left="141" w:right="127" w:hanging="2"/>
              <w:rPr>
                <w:sz w:val="22"/>
                <w:szCs w:val="22"/>
              </w:rPr>
            </w:pPr>
            <w:r>
              <w:rPr>
                <w:spacing w:val="-4"/>
                <w:sz w:val="22"/>
                <w:szCs w:val="22"/>
              </w:rPr>
              <w:t>排放</w:t>
            </w:r>
            <w:r>
              <w:rPr>
                <w:spacing w:val="-5"/>
                <w:sz w:val="22"/>
                <w:szCs w:val="22"/>
              </w:rPr>
              <w:t>形式</w:t>
            </w:r>
          </w:p>
        </w:tc>
        <w:tc>
          <w:tcPr>
            <w:tcW w:w="3218" w:type="dxa"/>
            <w:gridSpan w:val="6"/>
            <w:vAlign w:val="top"/>
          </w:tcPr>
          <w:p w14:paraId="067AEB2A">
            <w:pPr>
              <w:pStyle w:val="6"/>
              <w:spacing w:before="36" w:line="210" w:lineRule="auto"/>
              <w:ind w:left="1177"/>
              <w:rPr>
                <w:sz w:val="22"/>
                <w:szCs w:val="22"/>
              </w:rPr>
            </w:pPr>
            <w:r>
              <w:rPr>
                <w:spacing w:val="-4"/>
                <w:sz w:val="22"/>
                <w:szCs w:val="22"/>
              </w:rPr>
              <w:t>治理设施</w:t>
            </w:r>
          </w:p>
        </w:tc>
        <w:tc>
          <w:tcPr>
            <w:tcW w:w="2281" w:type="dxa"/>
            <w:gridSpan w:val="3"/>
            <w:vAlign w:val="top"/>
          </w:tcPr>
          <w:p w14:paraId="5FB1BDA9">
            <w:pPr>
              <w:pStyle w:val="6"/>
              <w:spacing w:before="36" w:line="210" w:lineRule="auto"/>
              <w:ind w:left="819"/>
              <w:rPr>
                <w:sz w:val="22"/>
                <w:szCs w:val="22"/>
              </w:rPr>
            </w:pPr>
            <w:r>
              <w:rPr>
                <w:spacing w:val="-5"/>
                <w:sz w:val="22"/>
                <w:szCs w:val="22"/>
              </w:rPr>
              <w:t>治理后</w:t>
            </w:r>
          </w:p>
        </w:tc>
        <w:tc>
          <w:tcPr>
            <w:tcW w:w="2613" w:type="dxa"/>
            <w:gridSpan w:val="3"/>
            <w:vAlign w:val="top"/>
          </w:tcPr>
          <w:p w14:paraId="34E3ADF1">
            <w:pPr>
              <w:pStyle w:val="6"/>
              <w:spacing w:before="36" w:line="210" w:lineRule="auto"/>
              <w:ind w:left="871"/>
              <w:rPr>
                <w:sz w:val="22"/>
                <w:szCs w:val="22"/>
              </w:rPr>
            </w:pPr>
            <w:r>
              <w:rPr>
                <w:spacing w:val="-2"/>
                <w:sz w:val="22"/>
                <w:szCs w:val="22"/>
              </w:rPr>
              <w:t>排放标准</w:t>
            </w:r>
          </w:p>
        </w:tc>
      </w:tr>
      <w:tr w14:paraId="6F870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1" w:hRule="atLeast"/>
        </w:trPr>
        <w:tc>
          <w:tcPr>
            <w:tcW w:w="1429" w:type="dxa"/>
            <w:gridSpan w:val="2"/>
            <w:vMerge w:val="continue"/>
            <w:tcBorders>
              <w:top w:val="nil"/>
            </w:tcBorders>
            <w:vAlign w:val="top"/>
          </w:tcPr>
          <w:p w14:paraId="09C4561A">
            <w:pPr>
              <w:rPr>
                <w:rFonts w:ascii="Arial"/>
                <w:sz w:val="21"/>
              </w:rPr>
            </w:pPr>
          </w:p>
        </w:tc>
        <w:tc>
          <w:tcPr>
            <w:tcW w:w="802" w:type="dxa"/>
            <w:vMerge w:val="continue"/>
            <w:tcBorders>
              <w:top w:val="nil"/>
            </w:tcBorders>
            <w:vAlign w:val="top"/>
          </w:tcPr>
          <w:p w14:paraId="672330B4">
            <w:pPr>
              <w:rPr>
                <w:rFonts w:ascii="Arial"/>
                <w:sz w:val="21"/>
              </w:rPr>
            </w:pPr>
          </w:p>
        </w:tc>
        <w:tc>
          <w:tcPr>
            <w:tcW w:w="709" w:type="dxa"/>
            <w:vAlign w:val="top"/>
          </w:tcPr>
          <w:p w14:paraId="2DDCA37D">
            <w:pPr>
              <w:spacing w:line="417" w:lineRule="auto"/>
              <w:rPr>
                <w:rFonts w:ascii="Arial"/>
                <w:sz w:val="21"/>
              </w:rPr>
            </w:pPr>
          </w:p>
          <w:p w14:paraId="300C281F">
            <w:pPr>
              <w:pStyle w:val="6"/>
              <w:spacing w:before="72" w:line="233" w:lineRule="auto"/>
              <w:ind w:left="108" w:right="131" w:firstLine="26"/>
              <w:jc w:val="right"/>
              <w:rPr>
                <w:rFonts w:ascii="Times New Roman" w:hAnsi="Times New Roman" w:eastAsia="Times New Roman" w:cs="Times New Roman"/>
                <w:sz w:val="14"/>
                <w:szCs w:val="14"/>
              </w:rPr>
            </w:pPr>
            <w:r>
              <w:pict>
                <v:shape id="_x0000_s1032" o:spid="_x0000_s1032" o:spt="202" type="#_x0000_t202" style="position:absolute;left:0pt;margin-left:10.4pt;margin-top:47.1pt;height:9.55pt;width:10.5pt;z-index:251670528;mso-width-relative:page;mso-height-relative:page;" filled="f" stroked="f" coordsize="21600,21600">
                  <v:path/>
                  <v:fill on="f" focussize="0,0"/>
                  <v:stroke on="f"/>
                  <v:imagedata o:title=""/>
                  <o:lock v:ext="edit" aspectratio="f"/>
                  <v:textbox inset="0mm,0mm,0mm,0mm">
                    <w:txbxContent>
                      <w:p w14:paraId="5678B1B0">
                        <w:pPr>
                          <w:spacing w:before="20" w:line="150" w:lineRule="exact"/>
                          <w:ind w:left="20"/>
                          <w:rPr>
                            <w:rFonts w:ascii="Times New Roman" w:hAnsi="Times New Roman" w:eastAsia="Times New Roman" w:cs="Times New Roman"/>
                            <w:sz w:val="22"/>
                            <w:szCs w:val="22"/>
                          </w:rPr>
                        </w:pPr>
                        <w:r>
                          <w:rPr>
                            <w:rFonts w:ascii="Times New Roman" w:hAnsi="Times New Roman" w:eastAsia="Times New Roman" w:cs="Times New Roman"/>
                            <w:position w:val="-1"/>
                            <w:sz w:val="22"/>
                            <w:szCs w:val="22"/>
                          </w:rPr>
                          <w:t>m</w:t>
                        </w:r>
                      </w:p>
                    </w:txbxContent>
                  </v:textbox>
                </v:shape>
              </w:pict>
            </w:r>
            <w:r>
              <w:rPr>
                <w:spacing w:val="-4"/>
                <w:sz w:val="22"/>
                <w:szCs w:val="22"/>
              </w:rPr>
              <w:t>产生浓度</w:t>
            </w:r>
            <w:r>
              <w:rPr>
                <w:rFonts w:ascii="Times New Roman" w:hAnsi="Times New Roman" w:eastAsia="Times New Roman" w:cs="Times New Roman"/>
                <w:spacing w:val="22"/>
                <w:sz w:val="22"/>
                <w:szCs w:val="22"/>
              </w:rPr>
              <w:t>mg/</w:t>
            </w:r>
            <w:r>
              <w:rPr>
                <w:rFonts w:ascii="Times New Roman" w:hAnsi="Times New Roman" w:eastAsia="Times New Roman" w:cs="Times New Roman"/>
                <w:sz w:val="22"/>
                <w:szCs w:val="22"/>
              </w:rPr>
              <w:t xml:space="preserve"> </w:t>
            </w:r>
            <w:r>
              <w:rPr>
                <w:rFonts w:ascii="Times New Roman" w:hAnsi="Times New Roman" w:eastAsia="Times New Roman" w:cs="Times New Roman"/>
                <w:sz w:val="14"/>
                <w:szCs w:val="14"/>
              </w:rPr>
              <w:t>3</w:t>
            </w:r>
          </w:p>
        </w:tc>
        <w:tc>
          <w:tcPr>
            <w:tcW w:w="719" w:type="dxa"/>
            <w:vAlign w:val="top"/>
          </w:tcPr>
          <w:p w14:paraId="2D5A7119">
            <w:pPr>
              <w:spacing w:line="271" w:lineRule="auto"/>
              <w:rPr>
                <w:rFonts w:ascii="Arial"/>
                <w:sz w:val="21"/>
              </w:rPr>
            </w:pPr>
          </w:p>
          <w:p w14:paraId="2E121C48">
            <w:pPr>
              <w:spacing w:line="271" w:lineRule="auto"/>
              <w:rPr>
                <w:rFonts w:ascii="Arial"/>
                <w:sz w:val="21"/>
              </w:rPr>
            </w:pPr>
          </w:p>
          <w:p w14:paraId="2C398966">
            <w:pPr>
              <w:pStyle w:val="6"/>
              <w:spacing w:before="72"/>
              <w:ind w:left="140" w:right="134"/>
              <w:jc w:val="both"/>
              <w:rPr>
                <w:rFonts w:ascii="Times New Roman" w:hAnsi="Times New Roman" w:eastAsia="Times New Roman" w:cs="Times New Roman"/>
                <w:sz w:val="22"/>
                <w:szCs w:val="22"/>
              </w:rPr>
            </w:pPr>
            <w:r>
              <w:rPr>
                <w:spacing w:val="-4"/>
                <w:sz w:val="22"/>
                <w:szCs w:val="22"/>
              </w:rPr>
              <w:t>产生</w:t>
            </w:r>
            <w:r>
              <w:rPr>
                <w:spacing w:val="-3"/>
                <w:sz w:val="22"/>
                <w:szCs w:val="22"/>
              </w:rPr>
              <w:t>速率</w:t>
            </w:r>
            <w:r>
              <w:rPr>
                <w:rFonts w:ascii="Times New Roman" w:hAnsi="Times New Roman" w:eastAsia="Times New Roman" w:cs="Times New Roman"/>
                <w:sz w:val="22"/>
                <w:szCs w:val="22"/>
              </w:rPr>
              <w:t>kg</w:t>
            </w:r>
            <w:r>
              <w:rPr>
                <w:rFonts w:ascii="Times New Roman" w:hAnsi="Times New Roman" w:eastAsia="Times New Roman" w:cs="Times New Roman"/>
                <w:spacing w:val="8"/>
                <w:sz w:val="22"/>
                <w:szCs w:val="22"/>
              </w:rPr>
              <w:t>/h</w:t>
            </w:r>
          </w:p>
        </w:tc>
        <w:tc>
          <w:tcPr>
            <w:tcW w:w="749" w:type="dxa"/>
            <w:vAlign w:val="top"/>
          </w:tcPr>
          <w:p w14:paraId="67707581">
            <w:pPr>
              <w:spacing w:line="333" w:lineRule="auto"/>
              <w:rPr>
                <w:rFonts w:ascii="Arial"/>
                <w:sz w:val="21"/>
              </w:rPr>
            </w:pPr>
          </w:p>
          <w:p w14:paraId="0465438B">
            <w:pPr>
              <w:spacing w:line="333" w:lineRule="auto"/>
              <w:rPr>
                <w:rFonts w:ascii="Arial"/>
                <w:sz w:val="21"/>
              </w:rPr>
            </w:pPr>
          </w:p>
          <w:p w14:paraId="3421A89F">
            <w:pPr>
              <w:pStyle w:val="6"/>
              <w:spacing w:before="72" w:line="245" w:lineRule="auto"/>
              <w:ind w:left="129" w:right="123" w:firstLine="28"/>
              <w:rPr>
                <w:rFonts w:ascii="Times New Roman" w:hAnsi="Times New Roman" w:eastAsia="Times New Roman" w:cs="Times New Roman"/>
                <w:sz w:val="22"/>
                <w:szCs w:val="22"/>
              </w:rPr>
            </w:pPr>
            <w:r>
              <w:rPr>
                <w:spacing w:val="-4"/>
                <w:sz w:val="22"/>
                <w:szCs w:val="22"/>
              </w:rPr>
              <w:t>产生</w:t>
            </w:r>
            <w:r>
              <w:rPr>
                <w:spacing w:val="-3"/>
                <w:sz w:val="22"/>
                <w:szCs w:val="22"/>
              </w:rPr>
              <w:t>量</w:t>
            </w:r>
            <w:r>
              <w:rPr>
                <w:spacing w:val="-54"/>
                <w:sz w:val="22"/>
                <w:szCs w:val="22"/>
              </w:rPr>
              <w:t xml:space="preserve"> </w:t>
            </w:r>
            <w:r>
              <w:rPr>
                <w:rFonts w:ascii="Times New Roman" w:hAnsi="Times New Roman" w:eastAsia="Times New Roman" w:cs="Times New Roman"/>
                <w:spacing w:val="-3"/>
                <w:sz w:val="22"/>
                <w:szCs w:val="22"/>
              </w:rPr>
              <w:t>t/a</w:t>
            </w:r>
          </w:p>
        </w:tc>
        <w:tc>
          <w:tcPr>
            <w:tcW w:w="710" w:type="dxa"/>
            <w:vMerge w:val="continue"/>
            <w:tcBorders>
              <w:top w:val="nil"/>
            </w:tcBorders>
            <w:vAlign w:val="top"/>
          </w:tcPr>
          <w:p w14:paraId="1CBAC754">
            <w:pPr>
              <w:rPr>
                <w:rFonts w:ascii="Arial"/>
                <w:sz w:val="21"/>
              </w:rPr>
            </w:pPr>
          </w:p>
        </w:tc>
        <w:tc>
          <w:tcPr>
            <w:tcW w:w="930" w:type="dxa"/>
            <w:vAlign w:val="top"/>
          </w:tcPr>
          <w:p w14:paraId="5A42310A">
            <w:pPr>
              <w:spacing w:line="334" w:lineRule="auto"/>
              <w:rPr>
                <w:rFonts w:ascii="Arial"/>
                <w:sz w:val="21"/>
              </w:rPr>
            </w:pPr>
          </w:p>
          <w:p w14:paraId="64E7F937">
            <w:pPr>
              <w:spacing w:line="334" w:lineRule="auto"/>
              <w:rPr>
                <w:rFonts w:ascii="Arial"/>
                <w:sz w:val="21"/>
              </w:rPr>
            </w:pPr>
          </w:p>
          <w:p w14:paraId="0EBF4AC2">
            <w:pPr>
              <w:pStyle w:val="6"/>
              <w:spacing w:before="71" w:line="242" w:lineRule="auto"/>
              <w:ind w:left="251" w:right="239" w:firstLine="1"/>
              <w:rPr>
                <w:sz w:val="22"/>
                <w:szCs w:val="22"/>
              </w:rPr>
            </w:pPr>
            <w:r>
              <w:rPr>
                <w:spacing w:val="-7"/>
                <w:sz w:val="22"/>
                <w:szCs w:val="22"/>
              </w:rPr>
              <w:t>治理</w:t>
            </w:r>
            <w:r>
              <w:rPr>
                <w:spacing w:val="-6"/>
                <w:sz w:val="22"/>
                <w:szCs w:val="22"/>
              </w:rPr>
              <w:t>设施</w:t>
            </w:r>
          </w:p>
        </w:tc>
        <w:tc>
          <w:tcPr>
            <w:tcW w:w="492" w:type="dxa"/>
            <w:vAlign w:val="top"/>
          </w:tcPr>
          <w:p w14:paraId="5154A907">
            <w:pPr>
              <w:pStyle w:val="6"/>
              <w:spacing w:before="203" w:line="224" w:lineRule="auto"/>
              <w:ind w:left="145"/>
              <w:rPr>
                <w:sz w:val="22"/>
                <w:szCs w:val="22"/>
              </w:rPr>
            </w:pPr>
            <w:r>
              <w:rPr>
                <w:sz w:val="22"/>
                <w:szCs w:val="22"/>
              </w:rPr>
              <w:t>处</w:t>
            </w:r>
          </w:p>
          <w:p w14:paraId="7E3BF9C3">
            <w:pPr>
              <w:pStyle w:val="6"/>
              <w:spacing w:before="18" w:line="230" w:lineRule="auto"/>
              <w:ind w:left="143"/>
              <w:rPr>
                <w:sz w:val="22"/>
                <w:szCs w:val="22"/>
              </w:rPr>
            </w:pPr>
            <w:r>
              <w:rPr>
                <w:sz w:val="22"/>
                <w:szCs w:val="22"/>
              </w:rPr>
              <w:t>理</w:t>
            </w:r>
          </w:p>
          <w:p w14:paraId="47512BC8">
            <w:pPr>
              <w:pStyle w:val="6"/>
              <w:spacing w:before="10" w:line="222" w:lineRule="auto"/>
              <w:ind w:left="149"/>
              <w:rPr>
                <w:sz w:val="22"/>
                <w:szCs w:val="22"/>
              </w:rPr>
            </w:pPr>
            <w:r>
              <w:rPr>
                <w:sz w:val="22"/>
                <w:szCs w:val="22"/>
              </w:rPr>
              <w:t>能</w:t>
            </w:r>
          </w:p>
          <w:p w14:paraId="5B12CD8E">
            <w:pPr>
              <w:pStyle w:val="6"/>
              <w:spacing w:before="21" w:line="220" w:lineRule="auto"/>
              <w:ind w:left="170"/>
              <w:rPr>
                <w:sz w:val="22"/>
                <w:szCs w:val="22"/>
              </w:rPr>
            </w:pPr>
            <w:r>
              <w:rPr>
                <w:sz w:val="22"/>
                <w:szCs w:val="22"/>
              </w:rPr>
              <w:t>力</w:t>
            </w:r>
          </w:p>
          <w:p w14:paraId="446BE8DA">
            <w:pPr>
              <w:spacing w:before="25" w:line="127" w:lineRule="auto"/>
              <w:ind w:left="122" w:right="117" w:firstLine="176"/>
              <w:rPr>
                <w:rFonts w:ascii="Times New Roman" w:hAnsi="Times New Roman" w:eastAsia="Times New Roman" w:cs="Times New Roman"/>
                <w:sz w:val="22"/>
                <w:szCs w:val="22"/>
              </w:rPr>
            </w:pPr>
            <w:r>
              <w:rPr>
                <w:rFonts w:ascii="Times New Roman" w:hAnsi="Times New Roman" w:eastAsia="Times New Roman" w:cs="Times New Roman"/>
                <w:spacing w:val="-5"/>
                <w:sz w:val="14"/>
                <w:szCs w:val="14"/>
              </w:rPr>
              <w:t>3</w:t>
            </w:r>
            <w:r>
              <w:rPr>
                <w:rFonts w:ascii="Times New Roman" w:hAnsi="Times New Roman" w:eastAsia="Times New Roman" w:cs="Times New Roman"/>
                <w:sz w:val="14"/>
                <w:szCs w:val="14"/>
              </w:rPr>
              <w:t xml:space="preserve"> </w:t>
            </w:r>
            <w:r>
              <w:rPr>
                <w:rFonts w:ascii="Times New Roman" w:hAnsi="Times New Roman" w:eastAsia="Times New Roman" w:cs="Times New Roman"/>
                <w:sz w:val="22"/>
                <w:szCs w:val="22"/>
              </w:rPr>
              <w:t>m</w:t>
            </w:r>
          </w:p>
          <w:p w14:paraId="4E6E9421">
            <w:pPr>
              <w:spacing w:before="48" w:line="193" w:lineRule="auto"/>
              <w:ind w:left="156"/>
              <w:rPr>
                <w:rFonts w:ascii="Times New Roman" w:hAnsi="Times New Roman" w:eastAsia="Times New Roman" w:cs="Times New Roman"/>
                <w:sz w:val="22"/>
                <w:szCs w:val="22"/>
              </w:rPr>
            </w:pPr>
            <w:r>
              <w:rPr>
                <w:rFonts w:ascii="Times New Roman" w:hAnsi="Times New Roman" w:eastAsia="Times New Roman" w:cs="Times New Roman"/>
                <w:sz w:val="22"/>
                <w:szCs w:val="22"/>
              </w:rPr>
              <w:t>/h</w:t>
            </w:r>
          </w:p>
        </w:tc>
        <w:tc>
          <w:tcPr>
            <w:tcW w:w="653" w:type="dxa"/>
            <w:vAlign w:val="top"/>
          </w:tcPr>
          <w:p w14:paraId="773576D2">
            <w:pPr>
              <w:spacing w:line="383" w:lineRule="auto"/>
              <w:rPr>
                <w:rFonts w:ascii="Arial"/>
                <w:sz w:val="21"/>
              </w:rPr>
            </w:pPr>
          </w:p>
          <w:p w14:paraId="29BADCE7">
            <w:pPr>
              <w:pStyle w:val="6"/>
              <w:spacing w:before="72"/>
              <w:ind w:left="130" w:right="117" w:firstLine="97"/>
              <w:jc w:val="both"/>
              <w:rPr>
                <w:rFonts w:ascii="Times New Roman" w:hAnsi="Times New Roman" w:eastAsia="Times New Roman" w:cs="Times New Roman"/>
                <w:sz w:val="22"/>
                <w:szCs w:val="22"/>
              </w:rPr>
            </w:pPr>
            <w:r>
              <w:rPr>
                <w:spacing w:val="-16"/>
                <w:sz w:val="22"/>
                <w:szCs w:val="22"/>
              </w:rPr>
              <w:t>收</w:t>
            </w:r>
            <w:r>
              <w:rPr>
                <w:spacing w:val="26"/>
                <w:w w:val="125"/>
                <w:sz w:val="22"/>
                <w:szCs w:val="22"/>
              </w:rPr>
              <w:t>集效</w:t>
            </w:r>
            <w:r>
              <w:rPr>
                <w:spacing w:val="-5"/>
                <w:sz w:val="22"/>
                <w:szCs w:val="22"/>
              </w:rPr>
              <w:t>率</w:t>
            </w:r>
            <w:r>
              <w:rPr>
                <w:rFonts w:ascii="Times New Roman" w:hAnsi="Times New Roman" w:eastAsia="Times New Roman" w:cs="Times New Roman"/>
                <w:spacing w:val="-5"/>
                <w:sz w:val="22"/>
                <w:szCs w:val="22"/>
              </w:rPr>
              <w:t>%</w:t>
            </w:r>
          </w:p>
        </w:tc>
        <w:tc>
          <w:tcPr>
            <w:tcW w:w="633" w:type="dxa"/>
            <w:vAlign w:val="top"/>
          </w:tcPr>
          <w:p w14:paraId="22304A70">
            <w:pPr>
              <w:spacing w:line="383" w:lineRule="auto"/>
              <w:rPr>
                <w:rFonts w:ascii="Arial"/>
                <w:sz w:val="21"/>
              </w:rPr>
            </w:pPr>
          </w:p>
          <w:p w14:paraId="02F46EEA">
            <w:pPr>
              <w:pStyle w:val="6"/>
              <w:spacing w:before="72"/>
              <w:ind w:left="130" w:right="97" w:firstLine="93"/>
              <w:jc w:val="both"/>
              <w:rPr>
                <w:rFonts w:ascii="Times New Roman" w:hAnsi="Times New Roman" w:eastAsia="Times New Roman" w:cs="Times New Roman"/>
                <w:sz w:val="22"/>
                <w:szCs w:val="22"/>
              </w:rPr>
            </w:pPr>
            <w:r>
              <w:rPr>
                <w:spacing w:val="-13"/>
                <w:sz w:val="22"/>
                <w:szCs w:val="22"/>
              </w:rPr>
              <w:t>处</w:t>
            </w:r>
            <w:r>
              <w:rPr>
                <w:spacing w:val="26"/>
                <w:w w:val="125"/>
                <w:sz w:val="22"/>
                <w:szCs w:val="22"/>
              </w:rPr>
              <w:t>理效</w:t>
            </w:r>
            <w:r>
              <w:rPr>
                <w:spacing w:val="-5"/>
                <w:sz w:val="22"/>
                <w:szCs w:val="22"/>
              </w:rPr>
              <w:t>率</w:t>
            </w:r>
            <w:r>
              <w:rPr>
                <w:rFonts w:ascii="Times New Roman" w:hAnsi="Times New Roman" w:eastAsia="Times New Roman" w:cs="Times New Roman"/>
                <w:spacing w:val="-5"/>
                <w:sz w:val="22"/>
                <w:szCs w:val="22"/>
              </w:rPr>
              <w:t>%</w:t>
            </w:r>
          </w:p>
        </w:tc>
        <w:tc>
          <w:tcPr>
            <w:tcW w:w="510" w:type="dxa"/>
            <w:gridSpan w:val="2"/>
            <w:textDirection w:val="tbRlV"/>
            <w:vAlign w:val="top"/>
          </w:tcPr>
          <w:p w14:paraId="536BED33">
            <w:pPr>
              <w:pStyle w:val="6"/>
              <w:spacing w:before="126" w:line="208" w:lineRule="auto"/>
              <w:ind w:left="30"/>
              <w:rPr>
                <w:sz w:val="22"/>
                <w:szCs w:val="22"/>
              </w:rPr>
            </w:pPr>
            <w:r>
              <w:rPr>
                <w:spacing w:val="20"/>
                <w:w w:val="116"/>
                <w:sz w:val="22"/>
                <w:szCs w:val="22"/>
              </w:rPr>
              <w:t>是否为可行技术</w:t>
            </w:r>
          </w:p>
        </w:tc>
        <w:tc>
          <w:tcPr>
            <w:tcW w:w="653" w:type="dxa"/>
            <w:vAlign w:val="top"/>
          </w:tcPr>
          <w:p w14:paraId="18CF4FCE">
            <w:pPr>
              <w:pStyle w:val="6"/>
              <w:spacing w:before="203" w:line="222" w:lineRule="auto"/>
              <w:ind w:left="221"/>
              <w:rPr>
                <w:sz w:val="22"/>
                <w:szCs w:val="22"/>
              </w:rPr>
            </w:pPr>
            <w:r>
              <w:rPr>
                <w:sz w:val="22"/>
                <w:szCs w:val="22"/>
              </w:rPr>
              <w:t>排</w:t>
            </w:r>
          </w:p>
          <w:p w14:paraId="25C37AC3">
            <w:pPr>
              <w:pStyle w:val="6"/>
              <w:spacing w:before="20" w:line="222" w:lineRule="auto"/>
              <w:ind w:left="221"/>
              <w:rPr>
                <w:sz w:val="22"/>
                <w:szCs w:val="22"/>
              </w:rPr>
            </w:pPr>
            <w:r>
              <w:rPr>
                <w:sz w:val="22"/>
                <w:szCs w:val="22"/>
              </w:rPr>
              <w:t>放</w:t>
            </w:r>
          </w:p>
          <w:p w14:paraId="5AA73AB5">
            <w:pPr>
              <w:pStyle w:val="6"/>
              <w:spacing w:before="22" w:line="224" w:lineRule="auto"/>
              <w:ind w:left="221"/>
              <w:rPr>
                <w:sz w:val="22"/>
                <w:szCs w:val="22"/>
              </w:rPr>
            </w:pPr>
            <w:r>
              <w:rPr>
                <w:sz w:val="22"/>
                <w:szCs w:val="22"/>
              </w:rPr>
              <w:t>浓</w:t>
            </w:r>
          </w:p>
          <w:p w14:paraId="752C7457">
            <w:pPr>
              <w:pStyle w:val="6"/>
              <w:spacing w:before="17" w:line="232" w:lineRule="auto"/>
              <w:ind w:left="152" w:right="149" w:firstLine="94"/>
              <w:jc w:val="right"/>
              <w:rPr>
                <w:rFonts w:ascii="Times New Roman" w:hAnsi="Times New Roman" w:eastAsia="Times New Roman" w:cs="Times New Roman"/>
                <w:sz w:val="14"/>
                <w:szCs w:val="14"/>
              </w:rPr>
            </w:pPr>
            <w:r>
              <w:pict>
                <v:shape id="_x0000_s1033" o:spid="_x0000_s1033" o:spt="202" type="#_x0000_t202" style="position:absolute;left:0pt;margin-left:9.1pt;margin-top:30.2pt;height:9.55pt;width:10.5pt;z-index:251669504;mso-width-relative:page;mso-height-relative:page;" filled="f" stroked="f" coordsize="21600,21600">
                  <v:path/>
                  <v:fill on="f" focussize="0,0"/>
                  <v:stroke on="f"/>
                  <v:imagedata o:title=""/>
                  <o:lock v:ext="edit" aspectratio="f"/>
                  <v:textbox inset="0mm,0mm,0mm,0mm">
                    <w:txbxContent>
                      <w:p w14:paraId="742DCCC5">
                        <w:pPr>
                          <w:spacing w:before="20" w:line="150" w:lineRule="exact"/>
                          <w:ind w:left="20"/>
                          <w:rPr>
                            <w:rFonts w:ascii="Times New Roman" w:hAnsi="Times New Roman" w:eastAsia="Times New Roman" w:cs="Times New Roman"/>
                            <w:sz w:val="22"/>
                            <w:szCs w:val="22"/>
                          </w:rPr>
                        </w:pPr>
                        <w:r>
                          <w:rPr>
                            <w:rFonts w:ascii="Times New Roman" w:hAnsi="Times New Roman" w:eastAsia="Times New Roman" w:cs="Times New Roman"/>
                            <w:position w:val="-1"/>
                            <w:sz w:val="22"/>
                            <w:szCs w:val="22"/>
                          </w:rPr>
                          <w:t>m</w:t>
                        </w:r>
                      </w:p>
                    </w:txbxContent>
                  </v:textbox>
                </v:shape>
              </w:pict>
            </w:r>
            <w:r>
              <w:rPr>
                <w:spacing w:val="-7"/>
                <w:sz w:val="22"/>
                <w:szCs w:val="22"/>
              </w:rPr>
              <w:t>度</w:t>
            </w:r>
            <w:r>
              <w:rPr>
                <w:rFonts w:ascii="Times New Roman" w:hAnsi="Times New Roman" w:eastAsia="Times New Roman" w:cs="Times New Roman"/>
                <w:spacing w:val="-1"/>
                <w:sz w:val="22"/>
                <w:szCs w:val="22"/>
              </w:rPr>
              <w:t>mg/</w:t>
            </w:r>
            <w:r>
              <w:rPr>
                <w:rFonts w:ascii="Times New Roman" w:hAnsi="Times New Roman" w:eastAsia="Times New Roman" w:cs="Times New Roman"/>
                <w:sz w:val="22"/>
                <w:szCs w:val="22"/>
              </w:rPr>
              <w:t xml:space="preserve"> </w:t>
            </w:r>
            <w:r>
              <w:rPr>
                <w:rFonts w:ascii="Times New Roman" w:hAnsi="Times New Roman" w:eastAsia="Times New Roman" w:cs="Times New Roman"/>
                <w:sz w:val="14"/>
                <w:szCs w:val="14"/>
              </w:rPr>
              <w:t>3</w:t>
            </w:r>
          </w:p>
        </w:tc>
        <w:tc>
          <w:tcPr>
            <w:tcW w:w="814" w:type="dxa"/>
            <w:vAlign w:val="top"/>
          </w:tcPr>
          <w:p w14:paraId="75F315B3">
            <w:pPr>
              <w:spacing w:line="271" w:lineRule="auto"/>
              <w:rPr>
                <w:rFonts w:ascii="Arial"/>
                <w:sz w:val="21"/>
              </w:rPr>
            </w:pPr>
          </w:p>
          <w:p w14:paraId="1ED648B2">
            <w:pPr>
              <w:spacing w:line="271" w:lineRule="auto"/>
              <w:rPr>
                <w:rFonts w:ascii="Arial"/>
                <w:sz w:val="21"/>
              </w:rPr>
            </w:pPr>
          </w:p>
          <w:p w14:paraId="0B09D838">
            <w:pPr>
              <w:pStyle w:val="6"/>
              <w:spacing w:before="72"/>
              <w:ind w:left="191" w:right="178"/>
              <w:jc w:val="both"/>
              <w:rPr>
                <w:rFonts w:ascii="Times New Roman" w:hAnsi="Times New Roman" w:eastAsia="Times New Roman" w:cs="Times New Roman"/>
                <w:sz w:val="22"/>
                <w:szCs w:val="22"/>
              </w:rPr>
            </w:pPr>
            <w:r>
              <w:rPr>
                <w:spacing w:val="-4"/>
                <w:sz w:val="22"/>
                <w:szCs w:val="22"/>
              </w:rPr>
              <w:t>排放</w:t>
            </w:r>
            <w:r>
              <w:rPr>
                <w:spacing w:val="-5"/>
                <w:sz w:val="22"/>
                <w:szCs w:val="22"/>
              </w:rPr>
              <w:t>速率</w:t>
            </w:r>
            <w:r>
              <w:rPr>
                <w:rFonts w:ascii="Times New Roman" w:hAnsi="Times New Roman" w:eastAsia="Times New Roman" w:cs="Times New Roman"/>
                <w:sz w:val="22"/>
                <w:szCs w:val="22"/>
              </w:rPr>
              <w:t>kg</w:t>
            </w:r>
            <w:r>
              <w:rPr>
                <w:rFonts w:ascii="Times New Roman" w:hAnsi="Times New Roman" w:eastAsia="Times New Roman" w:cs="Times New Roman"/>
                <w:spacing w:val="8"/>
                <w:sz w:val="22"/>
                <w:szCs w:val="22"/>
              </w:rPr>
              <w:t>/h</w:t>
            </w:r>
          </w:p>
        </w:tc>
        <w:tc>
          <w:tcPr>
            <w:tcW w:w="814" w:type="dxa"/>
            <w:vAlign w:val="top"/>
          </w:tcPr>
          <w:p w14:paraId="27FAD051">
            <w:pPr>
              <w:spacing w:line="400" w:lineRule="auto"/>
              <w:rPr>
                <w:rFonts w:ascii="Arial"/>
                <w:sz w:val="21"/>
              </w:rPr>
            </w:pPr>
          </w:p>
          <w:p w14:paraId="0B2E73F8">
            <w:pPr>
              <w:pStyle w:val="6"/>
              <w:tabs>
                <w:tab w:val="left" w:pos="296"/>
              </w:tabs>
              <w:spacing w:before="72"/>
              <w:ind w:left="192" w:right="178" w:firstLine="1"/>
              <w:jc w:val="both"/>
              <w:rPr>
                <w:rFonts w:ascii="Times New Roman" w:hAnsi="Times New Roman" w:eastAsia="Times New Roman" w:cs="Times New Roman"/>
                <w:sz w:val="22"/>
                <w:szCs w:val="22"/>
              </w:rPr>
            </w:pPr>
            <w:r>
              <w:rPr>
                <w:spacing w:val="-5"/>
                <w:sz w:val="22"/>
                <w:szCs w:val="22"/>
              </w:rPr>
              <w:t>污染</w:t>
            </w:r>
            <w:r>
              <w:rPr>
                <w:spacing w:val="-4"/>
                <w:sz w:val="22"/>
                <w:szCs w:val="22"/>
              </w:rPr>
              <w:t>物排放量</w:t>
            </w:r>
            <w:r>
              <w:rPr>
                <w:rFonts w:ascii="Times New Roman" w:hAnsi="Times New Roman" w:eastAsia="Times New Roman" w:cs="Times New Roman"/>
                <w:sz w:val="22"/>
                <w:szCs w:val="22"/>
              </w:rPr>
              <w:tab/>
            </w:r>
            <w:r>
              <w:rPr>
                <w:rFonts w:ascii="Times New Roman" w:hAnsi="Times New Roman" w:eastAsia="Times New Roman" w:cs="Times New Roman"/>
                <w:sz w:val="22"/>
                <w:szCs w:val="22"/>
              </w:rPr>
              <w:t>t/a</w:t>
            </w:r>
          </w:p>
        </w:tc>
        <w:tc>
          <w:tcPr>
            <w:tcW w:w="807" w:type="dxa"/>
            <w:vAlign w:val="top"/>
          </w:tcPr>
          <w:p w14:paraId="2994BB9E">
            <w:pPr>
              <w:spacing w:line="270" w:lineRule="auto"/>
              <w:rPr>
                <w:rFonts w:ascii="Arial"/>
                <w:sz w:val="21"/>
              </w:rPr>
            </w:pPr>
          </w:p>
          <w:p w14:paraId="07B4AA39">
            <w:pPr>
              <w:spacing w:line="271" w:lineRule="auto"/>
              <w:rPr>
                <w:rFonts w:ascii="Arial"/>
                <w:sz w:val="21"/>
              </w:rPr>
            </w:pPr>
          </w:p>
          <w:p w14:paraId="382395EE">
            <w:pPr>
              <w:pStyle w:val="6"/>
              <w:spacing w:before="72" w:line="238" w:lineRule="auto"/>
              <w:ind w:left="110" w:right="103" w:firstLine="78"/>
              <w:jc w:val="both"/>
              <w:rPr>
                <w:rFonts w:ascii="Times New Roman" w:hAnsi="Times New Roman" w:eastAsia="Times New Roman" w:cs="Times New Roman"/>
                <w:sz w:val="14"/>
                <w:szCs w:val="14"/>
              </w:rPr>
            </w:pPr>
            <w:r>
              <w:rPr>
                <w:spacing w:val="-4"/>
                <w:sz w:val="22"/>
                <w:szCs w:val="22"/>
              </w:rPr>
              <w:t>浓度</w:t>
            </w:r>
            <w:r>
              <w:rPr>
                <w:spacing w:val="36"/>
                <w:sz w:val="22"/>
                <w:szCs w:val="22"/>
              </w:rPr>
              <w:t>限值</w:t>
            </w:r>
            <w:r>
              <w:rPr>
                <w:rFonts w:ascii="Times New Roman" w:hAnsi="Times New Roman" w:eastAsia="Times New Roman" w:cs="Times New Roman"/>
                <w:spacing w:val="-1"/>
                <w:sz w:val="22"/>
                <w:szCs w:val="22"/>
              </w:rPr>
              <w:t>mg/m</w:t>
            </w:r>
            <w:r>
              <w:rPr>
                <w:rFonts w:ascii="Times New Roman" w:hAnsi="Times New Roman" w:eastAsia="Times New Roman" w:cs="Times New Roman"/>
                <w:spacing w:val="-1"/>
                <w:position w:val="6"/>
                <w:sz w:val="14"/>
                <w:szCs w:val="14"/>
              </w:rPr>
              <w:t>3</w:t>
            </w:r>
          </w:p>
        </w:tc>
        <w:tc>
          <w:tcPr>
            <w:tcW w:w="662" w:type="dxa"/>
            <w:vAlign w:val="top"/>
          </w:tcPr>
          <w:p w14:paraId="585442B9">
            <w:pPr>
              <w:spacing w:line="271" w:lineRule="auto"/>
              <w:rPr>
                <w:rFonts w:ascii="Arial"/>
                <w:sz w:val="21"/>
              </w:rPr>
            </w:pPr>
          </w:p>
          <w:p w14:paraId="4801EDA4">
            <w:pPr>
              <w:spacing w:line="271" w:lineRule="auto"/>
              <w:rPr>
                <w:rFonts w:ascii="Arial"/>
                <w:sz w:val="21"/>
              </w:rPr>
            </w:pPr>
          </w:p>
          <w:p w14:paraId="32AF878B">
            <w:pPr>
              <w:pStyle w:val="6"/>
              <w:spacing w:before="72"/>
              <w:ind w:left="129" w:right="99" w:hanging="11"/>
              <w:jc w:val="both"/>
              <w:rPr>
                <w:rFonts w:ascii="Times New Roman" w:hAnsi="Times New Roman" w:eastAsia="Times New Roman" w:cs="Times New Roman"/>
                <w:sz w:val="22"/>
                <w:szCs w:val="22"/>
              </w:rPr>
            </w:pPr>
            <w:r>
              <w:rPr>
                <w:spacing w:val="-3"/>
                <w:sz w:val="22"/>
                <w:szCs w:val="22"/>
              </w:rPr>
              <w:t>速率</w:t>
            </w:r>
            <w:r>
              <w:rPr>
                <w:spacing w:val="-12"/>
                <w:sz w:val="22"/>
                <w:szCs w:val="22"/>
              </w:rPr>
              <w:t>限值</w:t>
            </w:r>
            <w:r>
              <w:rPr>
                <w:rFonts w:ascii="Times New Roman" w:hAnsi="Times New Roman" w:eastAsia="Times New Roman" w:cs="Times New Roman"/>
                <w:sz w:val="22"/>
                <w:szCs w:val="22"/>
              </w:rPr>
              <w:t>kg</w:t>
            </w:r>
            <w:r>
              <w:rPr>
                <w:rFonts w:ascii="Times New Roman" w:hAnsi="Times New Roman" w:eastAsia="Times New Roman" w:cs="Times New Roman"/>
                <w:spacing w:val="2"/>
                <w:sz w:val="22"/>
                <w:szCs w:val="22"/>
              </w:rPr>
              <w:t>/h</w:t>
            </w:r>
          </w:p>
        </w:tc>
        <w:tc>
          <w:tcPr>
            <w:tcW w:w="1144" w:type="dxa"/>
            <w:vAlign w:val="top"/>
          </w:tcPr>
          <w:p w14:paraId="0AFF8FA3">
            <w:pPr>
              <w:spacing w:line="269" w:lineRule="auto"/>
              <w:rPr>
                <w:rFonts w:ascii="Arial"/>
                <w:sz w:val="21"/>
              </w:rPr>
            </w:pPr>
          </w:p>
          <w:p w14:paraId="02C572DD">
            <w:pPr>
              <w:spacing w:line="269" w:lineRule="auto"/>
              <w:rPr>
                <w:rFonts w:ascii="Arial"/>
                <w:sz w:val="21"/>
              </w:rPr>
            </w:pPr>
          </w:p>
          <w:p w14:paraId="29B93ED8">
            <w:pPr>
              <w:spacing w:line="270" w:lineRule="auto"/>
              <w:rPr>
                <w:rFonts w:ascii="Arial"/>
                <w:sz w:val="21"/>
              </w:rPr>
            </w:pPr>
          </w:p>
          <w:p w14:paraId="52868F07">
            <w:pPr>
              <w:pStyle w:val="6"/>
              <w:spacing w:before="71" w:line="221" w:lineRule="auto"/>
              <w:ind w:left="137"/>
              <w:rPr>
                <w:sz w:val="22"/>
                <w:szCs w:val="22"/>
              </w:rPr>
            </w:pPr>
            <w:r>
              <w:rPr>
                <w:spacing w:val="-3"/>
                <w:sz w:val="22"/>
                <w:szCs w:val="22"/>
              </w:rPr>
              <w:t>标准名称</w:t>
            </w:r>
          </w:p>
        </w:tc>
      </w:tr>
      <w:tr w14:paraId="64715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617" w:type="dxa"/>
            <w:vMerge w:val="restart"/>
            <w:tcBorders>
              <w:bottom w:val="nil"/>
            </w:tcBorders>
            <w:textDirection w:val="tbRlV"/>
            <w:vAlign w:val="top"/>
          </w:tcPr>
          <w:p w14:paraId="71D70B52">
            <w:pPr>
              <w:pStyle w:val="6"/>
              <w:spacing w:before="193" w:line="212" w:lineRule="auto"/>
              <w:ind w:left="1043"/>
              <w:rPr>
                <w:sz w:val="22"/>
                <w:szCs w:val="22"/>
              </w:rPr>
            </w:pPr>
            <w:r>
              <w:rPr>
                <w:spacing w:val="33"/>
                <w:sz w:val="22"/>
                <w:szCs w:val="22"/>
              </w:rPr>
              <w:t>汽油</w:t>
            </w:r>
          </w:p>
        </w:tc>
        <w:tc>
          <w:tcPr>
            <w:tcW w:w="812" w:type="dxa"/>
            <w:vAlign w:val="top"/>
          </w:tcPr>
          <w:p w14:paraId="666F18C3">
            <w:pPr>
              <w:spacing w:line="242" w:lineRule="auto"/>
              <w:rPr>
                <w:rFonts w:ascii="Arial"/>
                <w:sz w:val="21"/>
              </w:rPr>
            </w:pPr>
          </w:p>
          <w:p w14:paraId="703AC5EC">
            <w:pPr>
              <w:pStyle w:val="6"/>
              <w:spacing w:before="72" w:line="222" w:lineRule="auto"/>
              <w:ind w:left="188"/>
              <w:rPr>
                <w:sz w:val="22"/>
                <w:szCs w:val="22"/>
              </w:rPr>
            </w:pPr>
            <w:r>
              <w:rPr>
                <w:spacing w:val="-6"/>
                <w:sz w:val="22"/>
                <w:szCs w:val="22"/>
              </w:rPr>
              <w:t>卸油</w:t>
            </w:r>
          </w:p>
        </w:tc>
        <w:tc>
          <w:tcPr>
            <w:tcW w:w="802" w:type="dxa"/>
            <w:vAlign w:val="top"/>
          </w:tcPr>
          <w:p w14:paraId="6309A782">
            <w:pPr>
              <w:pStyle w:val="6"/>
              <w:spacing w:before="30" w:line="221" w:lineRule="auto"/>
              <w:ind w:left="184"/>
              <w:rPr>
                <w:sz w:val="22"/>
                <w:szCs w:val="22"/>
              </w:rPr>
            </w:pPr>
            <w:r>
              <w:rPr>
                <w:spacing w:val="-6"/>
                <w:sz w:val="22"/>
                <w:szCs w:val="22"/>
              </w:rPr>
              <w:t>非甲</w:t>
            </w:r>
          </w:p>
          <w:p w14:paraId="7D4E5C67">
            <w:pPr>
              <w:pStyle w:val="6"/>
              <w:spacing w:before="22" w:line="223" w:lineRule="auto"/>
              <w:ind w:left="291" w:right="178" w:hanging="110"/>
              <w:rPr>
                <w:sz w:val="22"/>
                <w:szCs w:val="22"/>
              </w:rPr>
            </w:pPr>
            <w:r>
              <w:rPr>
                <w:spacing w:val="-4"/>
                <w:sz w:val="22"/>
                <w:szCs w:val="22"/>
              </w:rPr>
              <w:t>烷总</w:t>
            </w:r>
            <w:r>
              <w:rPr>
                <w:sz w:val="22"/>
                <w:szCs w:val="22"/>
              </w:rPr>
              <w:t>烃</w:t>
            </w:r>
          </w:p>
        </w:tc>
        <w:tc>
          <w:tcPr>
            <w:tcW w:w="709" w:type="dxa"/>
            <w:vAlign w:val="top"/>
          </w:tcPr>
          <w:p w14:paraId="7872BAB6">
            <w:pPr>
              <w:spacing w:line="285" w:lineRule="auto"/>
              <w:rPr>
                <w:rFonts w:ascii="Arial"/>
                <w:sz w:val="21"/>
              </w:rPr>
            </w:pPr>
          </w:p>
          <w:p w14:paraId="56BB0C37">
            <w:pPr>
              <w:spacing w:before="63" w:line="193" w:lineRule="auto"/>
              <w:ind w:left="31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19" w:type="dxa"/>
            <w:tcBorders>
              <w:bottom w:val="single" w:color="000000" w:sz="2" w:space="0"/>
              <w:right w:val="single" w:color="000000" w:sz="2" w:space="0"/>
            </w:tcBorders>
            <w:vAlign w:val="top"/>
          </w:tcPr>
          <w:p w14:paraId="4A1F5C5D">
            <w:pPr>
              <w:spacing w:line="289" w:lineRule="auto"/>
              <w:rPr>
                <w:rFonts w:ascii="Arial"/>
                <w:sz w:val="21"/>
              </w:rPr>
            </w:pPr>
          </w:p>
          <w:p w14:paraId="0D12AE77">
            <w:pPr>
              <w:spacing w:before="63" w:line="189" w:lineRule="auto"/>
              <w:ind w:left="11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0.446</w:t>
            </w:r>
          </w:p>
        </w:tc>
        <w:tc>
          <w:tcPr>
            <w:tcW w:w="749" w:type="dxa"/>
            <w:tcBorders>
              <w:left w:val="single" w:color="000000" w:sz="2" w:space="0"/>
              <w:bottom w:val="single" w:color="000000" w:sz="2" w:space="0"/>
            </w:tcBorders>
            <w:vAlign w:val="top"/>
          </w:tcPr>
          <w:p w14:paraId="31B3F687">
            <w:pPr>
              <w:spacing w:line="289" w:lineRule="auto"/>
              <w:rPr>
                <w:rFonts w:ascii="Arial"/>
                <w:sz w:val="21"/>
              </w:rPr>
            </w:pPr>
          </w:p>
          <w:p w14:paraId="518CF064">
            <w:pPr>
              <w:spacing w:before="63" w:line="189" w:lineRule="auto"/>
              <w:ind w:left="18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3.91</w:t>
            </w:r>
          </w:p>
        </w:tc>
        <w:tc>
          <w:tcPr>
            <w:tcW w:w="710" w:type="dxa"/>
            <w:vAlign w:val="top"/>
          </w:tcPr>
          <w:p w14:paraId="1CB278EB">
            <w:pPr>
              <w:pStyle w:val="6"/>
              <w:spacing w:before="171" w:line="244" w:lineRule="auto"/>
              <w:ind w:left="253" w:right="127" w:hanging="112"/>
              <w:rPr>
                <w:sz w:val="22"/>
                <w:szCs w:val="22"/>
              </w:rPr>
            </w:pPr>
            <w:r>
              <w:rPr>
                <w:spacing w:val="-5"/>
                <w:sz w:val="22"/>
                <w:szCs w:val="22"/>
              </w:rPr>
              <w:t>无组</w:t>
            </w:r>
            <w:r>
              <w:rPr>
                <w:sz w:val="22"/>
                <w:szCs w:val="22"/>
              </w:rPr>
              <w:t>织</w:t>
            </w:r>
          </w:p>
        </w:tc>
        <w:tc>
          <w:tcPr>
            <w:tcW w:w="930" w:type="dxa"/>
            <w:vAlign w:val="top"/>
          </w:tcPr>
          <w:p w14:paraId="3EFD877C">
            <w:pPr>
              <w:pStyle w:val="6"/>
              <w:spacing w:before="30" w:line="220" w:lineRule="auto"/>
              <w:ind w:left="143"/>
              <w:rPr>
                <w:sz w:val="22"/>
                <w:szCs w:val="22"/>
              </w:rPr>
            </w:pPr>
            <w:r>
              <w:rPr>
                <w:spacing w:val="-4"/>
                <w:sz w:val="22"/>
                <w:szCs w:val="22"/>
              </w:rPr>
              <w:t>一次油</w:t>
            </w:r>
          </w:p>
          <w:p w14:paraId="5FBF8624">
            <w:pPr>
              <w:pStyle w:val="6"/>
              <w:spacing w:before="23" w:line="223" w:lineRule="auto"/>
              <w:ind w:left="251" w:right="128" w:hanging="111"/>
              <w:rPr>
                <w:sz w:val="22"/>
                <w:szCs w:val="22"/>
              </w:rPr>
            </w:pPr>
            <w:r>
              <w:rPr>
                <w:spacing w:val="-4"/>
                <w:sz w:val="22"/>
                <w:szCs w:val="22"/>
              </w:rPr>
              <w:t>气回收</w:t>
            </w:r>
            <w:r>
              <w:rPr>
                <w:spacing w:val="-6"/>
                <w:sz w:val="22"/>
                <w:szCs w:val="22"/>
              </w:rPr>
              <w:t>系统</w:t>
            </w:r>
          </w:p>
        </w:tc>
        <w:tc>
          <w:tcPr>
            <w:tcW w:w="492" w:type="dxa"/>
            <w:vAlign w:val="top"/>
          </w:tcPr>
          <w:p w14:paraId="49355E2C">
            <w:pPr>
              <w:spacing w:line="285" w:lineRule="auto"/>
              <w:rPr>
                <w:rFonts w:ascii="Arial"/>
                <w:sz w:val="21"/>
              </w:rPr>
            </w:pPr>
          </w:p>
          <w:p w14:paraId="1FF25FC1">
            <w:pPr>
              <w:spacing w:before="63" w:line="193" w:lineRule="auto"/>
              <w:ind w:left="21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53" w:type="dxa"/>
            <w:vAlign w:val="top"/>
          </w:tcPr>
          <w:p w14:paraId="057E597D">
            <w:pPr>
              <w:spacing w:line="289" w:lineRule="auto"/>
              <w:rPr>
                <w:rFonts w:ascii="Arial"/>
                <w:sz w:val="21"/>
              </w:rPr>
            </w:pPr>
          </w:p>
          <w:p w14:paraId="77DFA675">
            <w:pPr>
              <w:spacing w:before="63" w:line="189" w:lineRule="auto"/>
              <w:ind w:left="182"/>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633" w:type="dxa"/>
            <w:vAlign w:val="top"/>
          </w:tcPr>
          <w:p w14:paraId="301D6EED">
            <w:pPr>
              <w:spacing w:line="289" w:lineRule="auto"/>
              <w:rPr>
                <w:rFonts w:ascii="Arial"/>
                <w:sz w:val="21"/>
              </w:rPr>
            </w:pPr>
          </w:p>
          <w:p w14:paraId="0466BED8">
            <w:pPr>
              <w:spacing w:before="63" w:line="189" w:lineRule="auto"/>
              <w:ind w:left="22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95</w:t>
            </w:r>
          </w:p>
        </w:tc>
        <w:tc>
          <w:tcPr>
            <w:tcW w:w="510" w:type="dxa"/>
            <w:gridSpan w:val="2"/>
            <w:vAlign w:val="top"/>
          </w:tcPr>
          <w:p w14:paraId="7EAAAAF3">
            <w:pPr>
              <w:spacing w:line="242" w:lineRule="auto"/>
              <w:rPr>
                <w:rFonts w:ascii="Arial"/>
                <w:sz w:val="21"/>
              </w:rPr>
            </w:pPr>
          </w:p>
          <w:p w14:paraId="145B6BEA">
            <w:pPr>
              <w:pStyle w:val="6"/>
              <w:spacing w:before="72" w:line="224" w:lineRule="auto"/>
              <w:ind w:left="164"/>
              <w:rPr>
                <w:sz w:val="22"/>
                <w:szCs w:val="22"/>
              </w:rPr>
            </w:pPr>
            <w:r>
              <w:rPr>
                <w:sz w:val="22"/>
                <w:szCs w:val="22"/>
              </w:rPr>
              <w:t>是</w:t>
            </w:r>
          </w:p>
        </w:tc>
        <w:tc>
          <w:tcPr>
            <w:tcW w:w="653" w:type="dxa"/>
            <w:vAlign w:val="top"/>
          </w:tcPr>
          <w:p w14:paraId="169DB8A8">
            <w:pPr>
              <w:spacing w:line="285" w:lineRule="auto"/>
              <w:rPr>
                <w:rFonts w:ascii="Arial"/>
                <w:sz w:val="21"/>
              </w:rPr>
            </w:pPr>
          </w:p>
          <w:p w14:paraId="76291D9E">
            <w:pPr>
              <w:spacing w:before="63" w:line="193" w:lineRule="auto"/>
              <w:ind w:left="2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14" w:type="dxa"/>
            <w:tcBorders>
              <w:bottom w:val="single" w:color="000000" w:sz="2" w:space="0"/>
              <w:right w:val="single" w:color="000000" w:sz="2" w:space="0"/>
            </w:tcBorders>
            <w:vAlign w:val="top"/>
          </w:tcPr>
          <w:p w14:paraId="0333100A">
            <w:pPr>
              <w:spacing w:line="289" w:lineRule="auto"/>
              <w:rPr>
                <w:rFonts w:ascii="Arial"/>
                <w:sz w:val="21"/>
              </w:rPr>
            </w:pPr>
          </w:p>
          <w:p w14:paraId="3A2C5863">
            <w:pPr>
              <w:spacing w:before="63" w:line="189" w:lineRule="auto"/>
              <w:ind w:left="16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0.022</w:t>
            </w:r>
          </w:p>
        </w:tc>
        <w:tc>
          <w:tcPr>
            <w:tcW w:w="814" w:type="dxa"/>
            <w:tcBorders>
              <w:left w:val="single" w:color="000000" w:sz="2" w:space="0"/>
              <w:bottom w:val="single" w:color="000000" w:sz="2" w:space="0"/>
            </w:tcBorders>
            <w:vAlign w:val="top"/>
          </w:tcPr>
          <w:p w14:paraId="2BB317F5">
            <w:pPr>
              <w:spacing w:line="289" w:lineRule="auto"/>
              <w:rPr>
                <w:rFonts w:ascii="Arial"/>
                <w:sz w:val="21"/>
              </w:rPr>
            </w:pPr>
          </w:p>
          <w:p w14:paraId="083DA85A">
            <w:pPr>
              <w:spacing w:before="63" w:line="189" w:lineRule="auto"/>
              <w:ind w:left="16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0.195</w:t>
            </w:r>
          </w:p>
        </w:tc>
        <w:tc>
          <w:tcPr>
            <w:tcW w:w="807" w:type="dxa"/>
            <w:vAlign w:val="top"/>
          </w:tcPr>
          <w:p w14:paraId="58D3B372">
            <w:pPr>
              <w:spacing w:line="289" w:lineRule="auto"/>
              <w:rPr>
                <w:rFonts w:ascii="Arial"/>
                <w:sz w:val="21"/>
              </w:rPr>
            </w:pPr>
          </w:p>
          <w:p w14:paraId="36AD0B09">
            <w:pPr>
              <w:spacing w:before="63" w:line="189" w:lineRule="auto"/>
              <w:ind w:left="26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w:t>
            </w:r>
          </w:p>
        </w:tc>
        <w:tc>
          <w:tcPr>
            <w:tcW w:w="662" w:type="dxa"/>
            <w:vAlign w:val="top"/>
          </w:tcPr>
          <w:p w14:paraId="54BBD6CE">
            <w:pPr>
              <w:spacing w:line="285" w:lineRule="auto"/>
              <w:rPr>
                <w:rFonts w:ascii="Arial"/>
                <w:sz w:val="21"/>
              </w:rPr>
            </w:pPr>
          </w:p>
          <w:p w14:paraId="68A35525">
            <w:pPr>
              <w:spacing w:before="63" w:line="193" w:lineRule="auto"/>
              <w:ind w:left="29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44" w:type="dxa"/>
            <w:vMerge w:val="restart"/>
            <w:tcBorders>
              <w:bottom w:val="nil"/>
            </w:tcBorders>
            <w:vAlign w:val="top"/>
          </w:tcPr>
          <w:p w14:paraId="729CE6F4">
            <w:pPr>
              <w:spacing w:line="412" w:lineRule="auto"/>
              <w:rPr>
                <w:rFonts w:ascii="Arial"/>
                <w:sz w:val="21"/>
              </w:rPr>
            </w:pPr>
          </w:p>
          <w:p w14:paraId="2CD75211">
            <w:pPr>
              <w:pStyle w:val="6"/>
              <w:spacing w:before="71"/>
              <w:ind w:left="116" w:right="105" w:firstLine="21"/>
              <w:jc w:val="both"/>
              <w:rPr>
                <w:rFonts w:ascii="Times New Roman" w:hAnsi="Times New Roman" w:eastAsia="Times New Roman" w:cs="Times New Roman"/>
                <w:sz w:val="22"/>
                <w:szCs w:val="22"/>
              </w:rPr>
            </w:pPr>
            <w:r>
              <w:rPr>
                <w:spacing w:val="-3"/>
                <w:sz w:val="22"/>
                <w:szCs w:val="22"/>
              </w:rPr>
              <w:t>《加油站</w:t>
            </w:r>
            <w:r>
              <w:rPr>
                <w:spacing w:val="3"/>
                <w:sz w:val="22"/>
                <w:szCs w:val="22"/>
              </w:rPr>
              <w:t>大气污染物排放标</w:t>
            </w:r>
            <w:r>
              <w:rPr>
                <w:spacing w:val="-11"/>
                <w:sz w:val="22"/>
                <w:szCs w:val="22"/>
              </w:rPr>
              <w:t>准》（</w:t>
            </w:r>
            <w:r>
              <w:rPr>
                <w:rFonts w:ascii="Times New Roman" w:hAnsi="Times New Roman" w:eastAsia="Times New Roman" w:cs="Times New Roman"/>
                <w:spacing w:val="-11"/>
                <w:sz w:val="22"/>
                <w:szCs w:val="22"/>
              </w:rPr>
              <w:t>GB</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3"/>
                <w:sz w:val="22"/>
                <w:szCs w:val="22"/>
              </w:rPr>
              <w:t>20952-20</w:t>
            </w:r>
          </w:p>
          <w:p w14:paraId="11EB3A5B">
            <w:pPr>
              <w:pStyle w:val="6"/>
              <w:spacing w:line="232" w:lineRule="auto"/>
              <w:ind w:left="353"/>
              <w:rPr>
                <w:sz w:val="22"/>
                <w:szCs w:val="22"/>
              </w:rPr>
            </w:pPr>
            <w:r>
              <w:rPr>
                <w:rFonts w:ascii="Times New Roman" w:hAnsi="Times New Roman" w:eastAsia="Times New Roman" w:cs="Times New Roman"/>
                <w:spacing w:val="-2"/>
                <w:sz w:val="22"/>
                <w:szCs w:val="22"/>
              </w:rPr>
              <w:t>20</w:t>
            </w:r>
            <w:r>
              <w:rPr>
                <w:spacing w:val="-2"/>
                <w:sz w:val="22"/>
                <w:szCs w:val="22"/>
              </w:rPr>
              <w:t>）</w:t>
            </w:r>
          </w:p>
        </w:tc>
      </w:tr>
      <w:tr w14:paraId="37D7A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trPr>
        <w:tc>
          <w:tcPr>
            <w:tcW w:w="617" w:type="dxa"/>
            <w:vMerge w:val="continue"/>
            <w:tcBorders>
              <w:top w:val="nil"/>
              <w:bottom w:val="nil"/>
            </w:tcBorders>
            <w:textDirection w:val="tbRlV"/>
            <w:vAlign w:val="top"/>
          </w:tcPr>
          <w:p w14:paraId="2F44EC6D">
            <w:pPr>
              <w:rPr>
                <w:rFonts w:ascii="Arial"/>
                <w:sz w:val="21"/>
              </w:rPr>
            </w:pPr>
          </w:p>
        </w:tc>
        <w:tc>
          <w:tcPr>
            <w:tcW w:w="812" w:type="dxa"/>
            <w:vAlign w:val="top"/>
          </w:tcPr>
          <w:p w14:paraId="253B401E">
            <w:pPr>
              <w:spacing w:line="243" w:lineRule="auto"/>
              <w:rPr>
                <w:rFonts w:ascii="Arial"/>
                <w:sz w:val="21"/>
              </w:rPr>
            </w:pPr>
          </w:p>
          <w:p w14:paraId="7915FD88">
            <w:pPr>
              <w:pStyle w:val="6"/>
              <w:spacing w:before="72" w:line="224" w:lineRule="auto"/>
              <w:ind w:left="183"/>
              <w:rPr>
                <w:sz w:val="22"/>
                <w:szCs w:val="22"/>
              </w:rPr>
            </w:pPr>
            <w:r>
              <w:rPr>
                <w:spacing w:val="-4"/>
                <w:sz w:val="22"/>
                <w:szCs w:val="22"/>
              </w:rPr>
              <w:t>加油</w:t>
            </w:r>
          </w:p>
        </w:tc>
        <w:tc>
          <w:tcPr>
            <w:tcW w:w="802" w:type="dxa"/>
            <w:vAlign w:val="top"/>
          </w:tcPr>
          <w:p w14:paraId="2510380E">
            <w:pPr>
              <w:pStyle w:val="6"/>
              <w:spacing w:before="33" w:line="221" w:lineRule="auto"/>
              <w:ind w:left="184"/>
              <w:rPr>
                <w:sz w:val="22"/>
                <w:szCs w:val="22"/>
              </w:rPr>
            </w:pPr>
            <w:r>
              <w:rPr>
                <w:spacing w:val="-6"/>
                <w:sz w:val="22"/>
                <w:szCs w:val="22"/>
              </w:rPr>
              <w:t>非甲</w:t>
            </w:r>
          </w:p>
          <w:p w14:paraId="2E640958">
            <w:pPr>
              <w:pStyle w:val="6"/>
              <w:spacing w:before="22" w:line="222" w:lineRule="auto"/>
              <w:ind w:left="291" w:right="178" w:hanging="110"/>
              <w:rPr>
                <w:sz w:val="22"/>
                <w:szCs w:val="22"/>
              </w:rPr>
            </w:pPr>
            <w:r>
              <w:rPr>
                <w:spacing w:val="-4"/>
                <w:sz w:val="22"/>
                <w:szCs w:val="22"/>
              </w:rPr>
              <w:t>烷总</w:t>
            </w:r>
            <w:r>
              <w:rPr>
                <w:sz w:val="22"/>
                <w:szCs w:val="22"/>
              </w:rPr>
              <w:t>烃</w:t>
            </w:r>
          </w:p>
        </w:tc>
        <w:tc>
          <w:tcPr>
            <w:tcW w:w="709" w:type="dxa"/>
            <w:vAlign w:val="top"/>
          </w:tcPr>
          <w:p w14:paraId="09343803">
            <w:pPr>
              <w:spacing w:line="285" w:lineRule="auto"/>
              <w:rPr>
                <w:rFonts w:ascii="Arial"/>
                <w:sz w:val="21"/>
              </w:rPr>
            </w:pPr>
          </w:p>
          <w:p w14:paraId="75E54107">
            <w:pPr>
              <w:spacing w:before="64" w:line="193" w:lineRule="auto"/>
              <w:ind w:left="31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19" w:type="dxa"/>
            <w:tcBorders>
              <w:top w:val="single" w:color="000000" w:sz="2" w:space="0"/>
              <w:bottom w:val="single" w:color="000000" w:sz="2" w:space="0"/>
              <w:right w:val="single" w:color="000000" w:sz="2" w:space="0"/>
            </w:tcBorders>
            <w:vAlign w:val="top"/>
          </w:tcPr>
          <w:p w14:paraId="54168213">
            <w:pPr>
              <w:spacing w:line="290" w:lineRule="auto"/>
              <w:rPr>
                <w:rFonts w:ascii="Arial"/>
                <w:sz w:val="21"/>
              </w:rPr>
            </w:pPr>
          </w:p>
          <w:p w14:paraId="7E26EA3D">
            <w:pPr>
              <w:spacing w:before="63" w:line="189" w:lineRule="auto"/>
              <w:ind w:left="11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0.483</w:t>
            </w:r>
          </w:p>
        </w:tc>
        <w:tc>
          <w:tcPr>
            <w:tcW w:w="749" w:type="dxa"/>
            <w:tcBorders>
              <w:top w:val="single" w:color="000000" w:sz="2" w:space="0"/>
              <w:left w:val="single" w:color="000000" w:sz="2" w:space="0"/>
              <w:bottom w:val="single" w:color="000000" w:sz="2" w:space="0"/>
            </w:tcBorders>
            <w:vAlign w:val="top"/>
          </w:tcPr>
          <w:p w14:paraId="5BC06CE5">
            <w:pPr>
              <w:spacing w:line="290" w:lineRule="auto"/>
              <w:rPr>
                <w:rFonts w:ascii="Arial"/>
                <w:sz w:val="21"/>
              </w:rPr>
            </w:pPr>
          </w:p>
          <w:p w14:paraId="6F0C4686">
            <w:pPr>
              <w:spacing w:before="63" w:line="189" w:lineRule="auto"/>
              <w:ind w:left="12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4.233</w:t>
            </w:r>
          </w:p>
        </w:tc>
        <w:tc>
          <w:tcPr>
            <w:tcW w:w="710" w:type="dxa"/>
            <w:vAlign w:val="top"/>
          </w:tcPr>
          <w:p w14:paraId="0385ABBB">
            <w:pPr>
              <w:pStyle w:val="6"/>
              <w:spacing w:before="175" w:line="244" w:lineRule="auto"/>
              <w:ind w:left="253" w:right="127" w:hanging="112"/>
              <w:rPr>
                <w:sz w:val="22"/>
                <w:szCs w:val="22"/>
              </w:rPr>
            </w:pPr>
            <w:r>
              <w:rPr>
                <w:spacing w:val="-5"/>
                <w:sz w:val="22"/>
                <w:szCs w:val="22"/>
              </w:rPr>
              <w:t>无组</w:t>
            </w:r>
            <w:r>
              <w:rPr>
                <w:sz w:val="22"/>
                <w:szCs w:val="22"/>
              </w:rPr>
              <w:t>织</w:t>
            </w:r>
          </w:p>
        </w:tc>
        <w:tc>
          <w:tcPr>
            <w:tcW w:w="930" w:type="dxa"/>
            <w:vAlign w:val="top"/>
          </w:tcPr>
          <w:p w14:paraId="7DFADD2E">
            <w:pPr>
              <w:pStyle w:val="6"/>
              <w:spacing w:before="33" w:line="220" w:lineRule="auto"/>
              <w:ind w:left="143"/>
              <w:rPr>
                <w:sz w:val="22"/>
                <w:szCs w:val="22"/>
              </w:rPr>
            </w:pPr>
            <w:r>
              <w:rPr>
                <w:spacing w:val="-4"/>
                <w:sz w:val="22"/>
                <w:szCs w:val="22"/>
              </w:rPr>
              <w:t>二次油</w:t>
            </w:r>
          </w:p>
          <w:p w14:paraId="45D7FBD2">
            <w:pPr>
              <w:pStyle w:val="6"/>
              <w:spacing w:before="23" w:line="222" w:lineRule="auto"/>
              <w:ind w:left="251" w:right="128" w:hanging="111"/>
              <w:rPr>
                <w:sz w:val="22"/>
                <w:szCs w:val="22"/>
              </w:rPr>
            </w:pPr>
            <w:r>
              <w:rPr>
                <w:spacing w:val="-4"/>
                <w:sz w:val="22"/>
                <w:szCs w:val="22"/>
              </w:rPr>
              <w:t>气回收</w:t>
            </w:r>
            <w:r>
              <w:rPr>
                <w:spacing w:val="-6"/>
                <w:sz w:val="22"/>
                <w:szCs w:val="22"/>
              </w:rPr>
              <w:t>系统</w:t>
            </w:r>
          </w:p>
        </w:tc>
        <w:tc>
          <w:tcPr>
            <w:tcW w:w="492" w:type="dxa"/>
            <w:vAlign w:val="top"/>
          </w:tcPr>
          <w:p w14:paraId="69BA858D">
            <w:pPr>
              <w:spacing w:line="285" w:lineRule="auto"/>
              <w:rPr>
                <w:rFonts w:ascii="Arial"/>
                <w:sz w:val="21"/>
              </w:rPr>
            </w:pPr>
          </w:p>
          <w:p w14:paraId="04ED2B9C">
            <w:pPr>
              <w:spacing w:before="64" w:line="193" w:lineRule="auto"/>
              <w:ind w:left="21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53" w:type="dxa"/>
            <w:vAlign w:val="top"/>
          </w:tcPr>
          <w:p w14:paraId="19F0E2F0">
            <w:pPr>
              <w:spacing w:line="289" w:lineRule="auto"/>
              <w:rPr>
                <w:rFonts w:ascii="Arial"/>
                <w:sz w:val="21"/>
              </w:rPr>
            </w:pPr>
          </w:p>
          <w:p w14:paraId="74D115FE">
            <w:pPr>
              <w:spacing w:before="64" w:line="189" w:lineRule="auto"/>
              <w:ind w:left="182"/>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633" w:type="dxa"/>
            <w:vAlign w:val="top"/>
          </w:tcPr>
          <w:p w14:paraId="75598E63">
            <w:pPr>
              <w:spacing w:line="290" w:lineRule="auto"/>
              <w:rPr>
                <w:rFonts w:ascii="Arial"/>
                <w:sz w:val="21"/>
              </w:rPr>
            </w:pPr>
          </w:p>
          <w:p w14:paraId="4298C304">
            <w:pPr>
              <w:spacing w:before="63" w:line="189" w:lineRule="auto"/>
              <w:ind w:left="22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90</w:t>
            </w:r>
          </w:p>
        </w:tc>
        <w:tc>
          <w:tcPr>
            <w:tcW w:w="510" w:type="dxa"/>
            <w:gridSpan w:val="2"/>
            <w:vAlign w:val="top"/>
          </w:tcPr>
          <w:p w14:paraId="5704F259">
            <w:pPr>
              <w:spacing w:line="243" w:lineRule="auto"/>
              <w:rPr>
                <w:rFonts w:ascii="Arial"/>
                <w:sz w:val="21"/>
              </w:rPr>
            </w:pPr>
          </w:p>
          <w:p w14:paraId="21314D4A">
            <w:pPr>
              <w:pStyle w:val="6"/>
              <w:spacing w:before="72" w:line="224" w:lineRule="auto"/>
              <w:ind w:left="164"/>
              <w:rPr>
                <w:sz w:val="22"/>
                <w:szCs w:val="22"/>
              </w:rPr>
            </w:pPr>
            <w:r>
              <w:rPr>
                <w:sz w:val="22"/>
                <w:szCs w:val="22"/>
              </w:rPr>
              <w:t>是</w:t>
            </w:r>
          </w:p>
        </w:tc>
        <w:tc>
          <w:tcPr>
            <w:tcW w:w="653" w:type="dxa"/>
            <w:vAlign w:val="top"/>
          </w:tcPr>
          <w:p w14:paraId="1AD4350A">
            <w:pPr>
              <w:spacing w:line="285" w:lineRule="auto"/>
              <w:rPr>
                <w:rFonts w:ascii="Arial"/>
                <w:sz w:val="21"/>
              </w:rPr>
            </w:pPr>
          </w:p>
          <w:p w14:paraId="7EA30217">
            <w:pPr>
              <w:spacing w:before="64" w:line="193" w:lineRule="auto"/>
              <w:ind w:left="2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14" w:type="dxa"/>
            <w:tcBorders>
              <w:top w:val="single" w:color="000000" w:sz="2" w:space="0"/>
              <w:bottom w:val="single" w:color="000000" w:sz="2" w:space="0"/>
              <w:right w:val="single" w:color="000000" w:sz="2" w:space="0"/>
            </w:tcBorders>
            <w:vAlign w:val="top"/>
          </w:tcPr>
          <w:p w14:paraId="21600384">
            <w:pPr>
              <w:spacing w:line="290" w:lineRule="auto"/>
              <w:rPr>
                <w:rFonts w:ascii="Arial"/>
                <w:sz w:val="21"/>
              </w:rPr>
            </w:pPr>
          </w:p>
          <w:p w14:paraId="64477063">
            <w:pPr>
              <w:spacing w:before="63" w:line="189" w:lineRule="auto"/>
              <w:ind w:left="16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0.048</w:t>
            </w:r>
          </w:p>
        </w:tc>
        <w:tc>
          <w:tcPr>
            <w:tcW w:w="814" w:type="dxa"/>
            <w:tcBorders>
              <w:top w:val="single" w:color="000000" w:sz="2" w:space="0"/>
              <w:left w:val="single" w:color="000000" w:sz="2" w:space="0"/>
              <w:bottom w:val="single" w:color="000000" w:sz="2" w:space="0"/>
            </w:tcBorders>
            <w:vAlign w:val="top"/>
          </w:tcPr>
          <w:p w14:paraId="5CE7909E">
            <w:pPr>
              <w:spacing w:line="290" w:lineRule="auto"/>
              <w:rPr>
                <w:rFonts w:ascii="Arial"/>
                <w:sz w:val="21"/>
              </w:rPr>
            </w:pPr>
          </w:p>
          <w:p w14:paraId="30547DB0">
            <w:pPr>
              <w:spacing w:before="63" w:line="189" w:lineRule="auto"/>
              <w:ind w:left="16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0.423</w:t>
            </w:r>
          </w:p>
        </w:tc>
        <w:tc>
          <w:tcPr>
            <w:tcW w:w="807" w:type="dxa"/>
            <w:vAlign w:val="top"/>
          </w:tcPr>
          <w:p w14:paraId="561D82C6">
            <w:pPr>
              <w:spacing w:line="290" w:lineRule="auto"/>
              <w:rPr>
                <w:rFonts w:ascii="Arial"/>
                <w:sz w:val="21"/>
              </w:rPr>
            </w:pPr>
          </w:p>
          <w:p w14:paraId="06745431">
            <w:pPr>
              <w:spacing w:before="63" w:line="189" w:lineRule="auto"/>
              <w:ind w:left="26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w:t>
            </w:r>
          </w:p>
        </w:tc>
        <w:tc>
          <w:tcPr>
            <w:tcW w:w="662" w:type="dxa"/>
            <w:vAlign w:val="top"/>
          </w:tcPr>
          <w:p w14:paraId="6411D912">
            <w:pPr>
              <w:spacing w:line="285" w:lineRule="auto"/>
              <w:rPr>
                <w:rFonts w:ascii="Arial"/>
                <w:sz w:val="21"/>
              </w:rPr>
            </w:pPr>
          </w:p>
          <w:p w14:paraId="75A50F5A">
            <w:pPr>
              <w:spacing w:before="64" w:line="193" w:lineRule="auto"/>
              <w:ind w:left="29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44" w:type="dxa"/>
            <w:vMerge w:val="continue"/>
            <w:tcBorders>
              <w:top w:val="nil"/>
              <w:bottom w:val="nil"/>
            </w:tcBorders>
            <w:vAlign w:val="top"/>
          </w:tcPr>
          <w:p w14:paraId="18CBA92C">
            <w:pPr>
              <w:rPr>
                <w:rFonts w:ascii="Arial"/>
                <w:sz w:val="21"/>
              </w:rPr>
            </w:pPr>
          </w:p>
        </w:tc>
      </w:tr>
      <w:tr w14:paraId="3EDA1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0" w:hRule="atLeast"/>
        </w:trPr>
        <w:tc>
          <w:tcPr>
            <w:tcW w:w="617" w:type="dxa"/>
            <w:vMerge w:val="continue"/>
            <w:tcBorders>
              <w:top w:val="nil"/>
            </w:tcBorders>
            <w:textDirection w:val="tbRlV"/>
            <w:vAlign w:val="top"/>
          </w:tcPr>
          <w:p w14:paraId="3CFFE8F0">
            <w:pPr>
              <w:rPr>
                <w:rFonts w:ascii="Arial"/>
                <w:sz w:val="21"/>
              </w:rPr>
            </w:pPr>
          </w:p>
        </w:tc>
        <w:tc>
          <w:tcPr>
            <w:tcW w:w="812" w:type="dxa"/>
            <w:vAlign w:val="top"/>
          </w:tcPr>
          <w:p w14:paraId="37E7242C">
            <w:pPr>
              <w:spacing w:line="246" w:lineRule="auto"/>
              <w:rPr>
                <w:rFonts w:ascii="Arial"/>
                <w:sz w:val="21"/>
              </w:rPr>
            </w:pPr>
          </w:p>
          <w:p w14:paraId="69FED73E">
            <w:pPr>
              <w:pStyle w:val="6"/>
              <w:spacing w:before="71" w:line="221" w:lineRule="auto"/>
              <w:ind w:left="183"/>
              <w:rPr>
                <w:sz w:val="22"/>
                <w:szCs w:val="22"/>
              </w:rPr>
            </w:pPr>
            <w:r>
              <w:rPr>
                <w:spacing w:val="-3"/>
                <w:sz w:val="22"/>
                <w:szCs w:val="22"/>
              </w:rPr>
              <w:t>储油</w:t>
            </w:r>
          </w:p>
        </w:tc>
        <w:tc>
          <w:tcPr>
            <w:tcW w:w="802" w:type="dxa"/>
            <w:vAlign w:val="top"/>
          </w:tcPr>
          <w:p w14:paraId="445192EE">
            <w:pPr>
              <w:pStyle w:val="6"/>
              <w:spacing w:before="35" w:line="221" w:lineRule="auto"/>
              <w:ind w:left="184"/>
              <w:rPr>
                <w:sz w:val="22"/>
                <w:szCs w:val="22"/>
              </w:rPr>
            </w:pPr>
            <w:r>
              <w:rPr>
                <w:spacing w:val="-6"/>
                <w:sz w:val="22"/>
                <w:szCs w:val="22"/>
              </w:rPr>
              <w:t>非甲</w:t>
            </w:r>
          </w:p>
          <w:p w14:paraId="6CC144D0">
            <w:pPr>
              <w:pStyle w:val="6"/>
              <w:spacing w:before="21" w:line="222" w:lineRule="auto"/>
              <w:ind w:left="291" w:right="178" w:hanging="110"/>
              <w:rPr>
                <w:sz w:val="22"/>
                <w:szCs w:val="22"/>
              </w:rPr>
            </w:pPr>
            <w:r>
              <w:rPr>
                <w:spacing w:val="-4"/>
                <w:sz w:val="22"/>
                <w:szCs w:val="22"/>
              </w:rPr>
              <w:t>烷总</w:t>
            </w:r>
            <w:r>
              <w:rPr>
                <w:sz w:val="22"/>
                <w:szCs w:val="22"/>
              </w:rPr>
              <w:t>烃</w:t>
            </w:r>
          </w:p>
        </w:tc>
        <w:tc>
          <w:tcPr>
            <w:tcW w:w="709" w:type="dxa"/>
            <w:vAlign w:val="top"/>
          </w:tcPr>
          <w:p w14:paraId="78381A35">
            <w:pPr>
              <w:spacing w:line="287" w:lineRule="auto"/>
              <w:rPr>
                <w:rFonts w:ascii="Arial"/>
                <w:sz w:val="21"/>
              </w:rPr>
            </w:pPr>
          </w:p>
          <w:p w14:paraId="0CA1C41E">
            <w:pPr>
              <w:spacing w:before="64" w:line="193" w:lineRule="auto"/>
              <w:ind w:left="31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19" w:type="dxa"/>
            <w:tcBorders>
              <w:top w:val="single" w:color="000000" w:sz="2" w:space="0"/>
              <w:right w:val="single" w:color="000000" w:sz="2" w:space="0"/>
            </w:tcBorders>
            <w:vAlign w:val="top"/>
          </w:tcPr>
          <w:p w14:paraId="73C9DE83">
            <w:pPr>
              <w:spacing w:line="292" w:lineRule="auto"/>
              <w:rPr>
                <w:rFonts w:ascii="Arial"/>
                <w:sz w:val="21"/>
              </w:rPr>
            </w:pPr>
          </w:p>
          <w:p w14:paraId="428C0958">
            <w:pPr>
              <w:spacing w:before="63" w:line="189" w:lineRule="auto"/>
              <w:ind w:left="11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0.031</w:t>
            </w:r>
          </w:p>
        </w:tc>
        <w:tc>
          <w:tcPr>
            <w:tcW w:w="749" w:type="dxa"/>
            <w:tcBorders>
              <w:top w:val="single" w:color="000000" w:sz="2" w:space="0"/>
              <w:left w:val="single" w:color="000000" w:sz="2" w:space="0"/>
            </w:tcBorders>
            <w:vAlign w:val="top"/>
          </w:tcPr>
          <w:p w14:paraId="6EEDF2FB">
            <w:pPr>
              <w:spacing w:line="292" w:lineRule="auto"/>
              <w:rPr>
                <w:rFonts w:ascii="Arial"/>
                <w:sz w:val="21"/>
              </w:rPr>
            </w:pPr>
          </w:p>
          <w:p w14:paraId="686D241F">
            <w:pPr>
              <w:spacing w:before="63" w:line="189" w:lineRule="auto"/>
              <w:ind w:left="13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0.272</w:t>
            </w:r>
          </w:p>
        </w:tc>
        <w:tc>
          <w:tcPr>
            <w:tcW w:w="710" w:type="dxa"/>
            <w:vAlign w:val="top"/>
          </w:tcPr>
          <w:p w14:paraId="07F28D38">
            <w:pPr>
              <w:pStyle w:val="6"/>
              <w:spacing w:before="177" w:line="244" w:lineRule="auto"/>
              <w:ind w:left="253" w:right="127" w:hanging="113"/>
              <w:rPr>
                <w:sz w:val="22"/>
                <w:szCs w:val="22"/>
              </w:rPr>
            </w:pPr>
            <w:r>
              <w:rPr>
                <w:spacing w:val="-4"/>
                <w:sz w:val="22"/>
                <w:szCs w:val="22"/>
              </w:rPr>
              <w:t>有组</w:t>
            </w:r>
            <w:r>
              <w:rPr>
                <w:sz w:val="22"/>
                <w:szCs w:val="22"/>
              </w:rPr>
              <w:t>织</w:t>
            </w:r>
          </w:p>
        </w:tc>
        <w:tc>
          <w:tcPr>
            <w:tcW w:w="930" w:type="dxa"/>
            <w:vAlign w:val="top"/>
          </w:tcPr>
          <w:p w14:paraId="76EE8CD2">
            <w:pPr>
              <w:pStyle w:val="6"/>
              <w:spacing w:before="36" w:line="220" w:lineRule="auto"/>
              <w:ind w:left="139"/>
              <w:rPr>
                <w:sz w:val="22"/>
                <w:szCs w:val="22"/>
              </w:rPr>
            </w:pPr>
            <w:r>
              <w:rPr>
                <w:spacing w:val="-3"/>
                <w:sz w:val="22"/>
                <w:szCs w:val="22"/>
              </w:rPr>
              <w:t>三次油</w:t>
            </w:r>
          </w:p>
          <w:p w14:paraId="0B295730">
            <w:pPr>
              <w:pStyle w:val="6"/>
              <w:spacing w:before="22" w:line="222" w:lineRule="auto"/>
              <w:ind w:left="251" w:right="128" w:hanging="111"/>
              <w:rPr>
                <w:sz w:val="22"/>
                <w:szCs w:val="22"/>
              </w:rPr>
            </w:pPr>
            <w:r>
              <w:rPr>
                <w:spacing w:val="-4"/>
                <w:sz w:val="22"/>
                <w:szCs w:val="22"/>
              </w:rPr>
              <w:t>气回收</w:t>
            </w:r>
            <w:r>
              <w:rPr>
                <w:spacing w:val="-6"/>
                <w:sz w:val="22"/>
                <w:szCs w:val="22"/>
              </w:rPr>
              <w:t>系统</w:t>
            </w:r>
          </w:p>
        </w:tc>
        <w:tc>
          <w:tcPr>
            <w:tcW w:w="492" w:type="dxa"/>
            <w:vAlign w:val="top"/>
          </w:tcPr>
          <w:p w14:paraId="372231F7">
            <w:pPr>
              <w:spacing w:line="287" w:lineRule="auto"/>
              <w:rPr>
                <w:rFonts w:ascii="Arial"/>
                <w:sz w:val="21"/>
              </w:rPr>
            </w:pPr>
          </w:p>
          <w:p w14:paraId="5733804C">
            <w:pPr>
              <w:spacing w:before="64" w:line="193" w:lineRule="auto"/>
              <w:ind w:left="21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53" w:type="dxa"/>
            <w:vAlign w:val="top"/>
          </w:tcPr>
          <w:p w14:paraId="793E8006">
            <w:pPr>
              <w:spacing w:line="292" w:lineRule="auto"/>
              <w:rPr>
                <w:rFonts w:ascii="Arial"/>
                <w:sz w:val="21"/>
              </w:rPr>
            </w:pPr>
          </w:p>
          <w:p w14:paraId="543CCEEA">
            <w:pPr>
              <w:spacing w:before="63" w:line="189" w:lineRule="auto"/>
              <w:ind w:left="182"/>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633" w:type="dxa"/>
            <w:vAlign w:val="top"/>
          </w:tcPr>
          <w:p w14:paraId="5BE563F4">
            <w:pPr>
              <w:spacing w:line="292" w:lineRule="auto"/>
              <w:rPr>
                <w:rFonts w:ascii="Arial"/>
                <w:sz w:val="21"/>
              </w:rPr>
            </w:pPr>
          </w:p>
          <w:p w14:paraId="4C42D527">
            <w:pPr>
              <w:spacing w:before="63" w:line="189" w:lineRule="auto"/>
              <w:ind w:left="22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95</w:t>
            </w:r>
          </w:p>
        </w:tc>
        <w:tc>
          <w:tcPr>
            <w:tcW w:w="510" w:type="dxa"/>
            <w:gridSpan w:val="2"/>
            <w:vAlign w:val="top"/>
          </w:tcPr>
          <w:p w14:paraId="72FA339C">
            <w:pPr>
              <w:spacing w:line="245" w:lineRule="auto"/>
              <w:rPr>
                <w:rFonts w:ascii="Arial"/>
                <w:sz w:val="21"/>
              </w:rPr>
            </w:pPr>
          </w:p>
          <w:p w14:paraId="3552F2A7">
            <w:pPr>
              <w:pStyle w:val="6"/>
              <w:spacing w:before="72" w:line="224" w:lineRule="auto"/>
              <w:ind w:left="164"/>
              <w:rPr>
                <w:sz w:val="22"/>
                <w:szCs w:val="22"/>
              </w:rPr>
            </w:pPr>
            <w:r>
              <w:rPr>
                <w:sz w:val="22"/>
                <w:szCs w:val="22"/>
              </w:rPr>
              <w:t>是</w:t>
            </w:r>
          </w:p>
        </w:tc>
        <w:tc>
          <w:tcPr>
            <w:tcW w:w="653" w:type="dxa"/>
            <w:vAlign w:val="top"/>
          </w:tcPr>
          <w:p w14:paraId="1242C18D">
            <w:pPr>
              <w:spacing w:line="287" w:lineRule="auto"/>
              <w:rPr>
                <w:rFonts w:ascii="Arial"/>
                <w:sz w:val="21"/>
              </w:rPr>
            </w:pPr>
          </w:p>
          <w:p w14:paraId="55BE2F8C">
            <w:pPr>
              <w:spacing w:before="64" w:line="193" w:lineRule="auto"/>
              <w:ind w:left="2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14" w:type="dxa"/>
            <w:tcBorders>
              <w:top w:val="single" w:color="000000" w:sz="2" w:space="0"/>
              <w:right w:val="single" w:color="000000" w:sz="2" w:space="0"/>
            </w:tcBorders>
            <w:vAlign w:val="top"/>
          </w:tcPr>
          <w:p w14:paraId="5B7C3C15">
            <w:pPr>
              <w:spacing w:line="292" w:lineRule="auto"/>
              <w:rPr>
                <w:rFonts w:ascii="Arial"/>
                <w:sz w:val="21"/>
              </w:rPr>
            </w:pPr>
          </w:p>
          <w:p w14:paraId="1251BF85">
            <w:pPr>
              <w:spacing w:before="63" w:line="189" w:lineRule="auto"/>
              <w:ind w:left="16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0.002</w:t>
            </w:r>
          </w:p>
        </w:tc>
        <w:tc>
          <w:tcPr>
            <w:tcW w:w="814" w:type="dxa"/>
            <w:tcBorders>
              <w:top w:val="single" w:color="000000" w:sz="2" w:space="0"/>
              <w:left w:val="single" w:color="000000" w:sz="2" w:space="0"/>
            </w:tcBorders>
            <w:vAlign w:val="top"/>
          </w:tcPr>
          <w:p w14:paraId="3B329C20">
            <w:pPr>
              <w:spacing w:line="292" w:lineRule="auto"/>
              <w:rPr>
                <w:rFonts w:ascii="Arial"/>
                <w:sz w:val="21"/>
              </w:rPr>
            </w:pPr>
          </w:p>
          <w:p w14:paraId="57BA250C">
            <w:pPr>
              <w:spacing w:before="63" w:line="189" w:lineRule="auto"/>
              <w:ind w:left="16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0.014</w:t>
            </w:r>
          </w:p>
        </w:tc>
        <w:tc>
          <w:tcPr>
            <w:tcW w:w="807" w:type="dxa"/>
            <w:vAlign w:val="top"/>
          </w:tcPr>
          <w:p w14:paraId="382C223A">
            <w:pPr>
              <w:spacing w:line="292" w:lineRule="auto"/>
              <w:rPr>
                <w:rFonts w:ascii="Arial"/>
                <w:sz w:val="21"/>
              </w:rPr>
            </w:pPr>
          </w:p>
          <w:p w14:paraId="34DBA9DD">
            <w:pPr>
              <w:spacing w:before="63" w:line="189" w:lineRule="auto"/>
              <w:ind w:left="13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25000</w:t>
            </w:r>
          </w:p>
        </w:tc>
        <w:tc>
          <w:tcPr>
            <w:tcW w:w="662" w:type="dxa"/>
            <w:vAlign w:val="top"/>
          </w:tcPr>
          <w:p w14:paraId="0D3B1162">
            <w:pPr>
              <w:spacing w:line="287" w:lineRule="auto"/>
              <w:rPr>
                <w:rFonts w:ascii="Arial"/>
                <w:sz w:val="21"/>
              </w:rPr>
            </w:pPr>
          </w:p>
          <w:p w14:paraId="499F28FA">
            <w:pPr>
              <w:spacing w:before="64" w:line="193" w:lineRule="auto"/>
              <w:ind w:left="29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44" w:type="dxa"/>
            <w:vMerge w:val="continue"/>
            <w:tcBorders>
              <w:top w:val="nil"/>
            </w:tcBorders>
            <w:vAlign w:val="top"/>
          </w:tcPr>
          <w:p w14:paraId="0D79FE31">
            <w:pPr>
              <w:rPr>
                <w:rFonts w:ascii="Arial"/>
                <w:sz w:val="21"/>
              </w:rPr>
            </w:pPr>
          </w:p>
        </w:tc>
      </w:tr>
      <w:tr w14:paraId="3BCB5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1429" w:type="dxa"/>
            <w:gridSpan w:val="2"/>
            <w:vAlign w:val="top"/>
          </w:tcPr>
          <w:p w14:paraId="2FB1A229">
            <w:pPr>
              <w:pStyle w:val="6"/>
              <w:spacing w:before="162" w:line="242" w:lineRule="auto"/>
              <w:ind w:left="495" w:right="158" w:hanging="330"/>
              <w:rPr>
                <w:sz w:val="22"/>
                <w:szCs w:val="22"/>
              </w:rPr>
            </w:pPr>
            <w:r>
              <w:rPr>
                <w:spacing w:val="-2"/>
                <w:sz w:val="22"/>
                <w:szCs w:val="22"/>
              </w:rPr>
              <w:t>进出站汽车</w:t>
            </w:r>
            <w:r>
              <w:rPr>
                <w:spacing w:val="-4"/>
                <w:sz w:val="22"/>
                <w:szCs w:val="22"/>
              </w:rPr>
              <w:t>尾气</w:t>
            </w:r>
          </w:p>
        </w:tc>
        <w:tc>
          <w:tcPr>
            <w:tcW w:w="802" w:type="dxa"/>
            <w:vAlign w:val="top"/>
          </w:tcPr>
          <w:p w14:paraId="2FB16638">
            <w:pPr>
              <w:pStyle w:val="6"/>
              <w:spacing w:before="75" w:line="181" w:lineRule="auto"/>
              <w:ind w:left="136"/>
              <w:rPr>
                <w:sz w:val="22"/>
                <w:szCs w:val="22"/>
              </w:rPr>
            </w:pPr>
            <w:r>
              <w:rPr>
                <w:rFonts w:ascii="Times New Roman" w:hAnsi="Times New Roman" w:eastAsia="Times New Roman" w:cs="Times New Roman"/>
                <w:spacing w:val="-3"/>
                <w:sz w:val="22"/>
                <w:szCs w:val="22"/>
              </w:rPr>
              <w:t>CO</w:t>
            </w:r>
            <w:r>
              <w:rPr>
                <w:spacing w:val="-3"/>
                <w:sz w:val="22"/>
                <w:szCs w:val="22"/>
              </w:rPr>
              <w:t>、</w:t>
            </w:r>
          </w:p>
          <w:p w14:paraId="06F7681B">
            <w:pPr>
              <w:pStyle w:val="6"/>
              <w:spacing w:before="67" w:line="183" w:lineRule="auto"/>
              <w:ind w:left="106"/>
              <w:rPr>
                <w:sz w:val="22"/>
                <w:szCs w:val="22"/>
              </w:rPr>
            </w:pPr>
            <w:r>
              <w:rPr>
                <w:rFonts w:ascii="Times New Roman" w:hAnsi="Times New Roman" w:eastAsia="Times New Roman" w:cs="Times New Roman"/>
                <w:spacing w:val="-2"/>
                <w:sz w:val="22"/>
                <w:szCs w:val="22"/>
              </w:rPr>
              <w:t>THC</w:t>
            </w:r>
            <w:r>
              <w:rPr>
                <w:spacing w:val="-2"/>
                <w:sz w:val="22"/>
                <w:szCs w:val="22"/>
              </w:rPr>
              <w:t>、</w:t>
            </w:r>
          </w:p>
          <w:p w14:paraId="7E547B30">
            <w:pPr>
              <w:spacing w:before="50" w:line="181" w:lineRule="auto"/>
              <w:ind w:left="174"/>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709" w:type="dxa"/>
            <w:vAlign w:val="top"/>
          </w:tcPr>
          <w:p w14:paraId="6B80643A">
            <w:pPr>
              <w:spacing w:line="274" w:lineRule="auto"/>
              <w:rPr>
                <w:rFonts w:ascii="Arial"/>
                <w:sz w:val="21"/>
              </w:rPr>
            </w:pPr>
          </w:p>
          <w:p w14:paraId="4273E395">
            <w:pPr>
              <w:spacing w:before="64" w:line="193" w:lineRule="auto"/>
              <w:ind w:left="31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19" w:type="dxa"/>
            <w:vAlign w:val="top"/>
          </w:tcPr>
          <w:p w14:paraId="72EDCBE4">
            <w:pPr>
              <w:spacing w:line="274" w:lineRule="auto"/>
              <w:rPr>
                <w:rFonts w:ascii="Arial"/>
                <w:sz w:val="21"/>
              </w:rPr>
            </w:pPr>
          </w:p>
          <w:p w14:paraId="1AD72603">
            <w:pPr>
              <w:spacing w:before="64" w:line="193" w:lineRule="auto"/>
              <w:ind w:left="32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49" w:type="dxa"/>
            <w:vAlign w:val="top"/>
          </w:tcPr>
          <w:p w14:paraId="33069209">
            <w:pPr>
              <w:pStyle w:val="6"/>
              <w:spacing w:before="306" w:line="222" w:lineRule="auto"/>
              <w:ind w:left="159"/>
              <w:rPr>
                <w:sz w:val="22"/>
                <w:szCs w:val="22"/>
              </w:rPr>
            </w:pPr>
            <w:r>
              <w:rPr>
                <w:spacing w:val="-4"/>
                <w:sz w:val="22"/>
                <w:szCs w:val="22"/>
              </w:rPr>
              <w:t>少量</w:t>
            </w:r>
          </w:p>
        </w:tc>
        <w:tc>
          <w:tcPr>
            <w:tcW w:w="710" w:type="dxa"/>
            <w:vAlign w:val="top"/>
          </w:tcPr>
          <w:p w14:paraId="76F9385C">
            <w:pPr>
              <w:pStyle w:val="6"/>
              <w:spacing w:before="161" w:line="244" w:lineRule="auto"/>
              <w:ind w:left="253" w:right="127" w:hanging="112"/>
              <w:rPr>
                <w:sz w:val="22"/>
                <w:szCs w:val="22"/>
              </w:rPr>
            </w:pPr>
            <w:r>
              <w:rPr>
                <w:spacing w:val="-5"/>
                <w:sz w:val="22"/>
                <w:szCs w:val="22"/>
              </w:rPr>
              <w:t>无组</w:t>
            </w:r>
            <w:r>
              <w:rPr>
                <w:sz w:val="22"/>
                <w:szCs w:val="22"/>
              </w:rPr>
              <w:t>织</w:t>
            </w:r>
          </w:p>
        </w:tc>
        <w:tc>
          <w:tcPr>
            <w:tcW w:w="930" w:type="dxa"/>
            <w:vAlign w:val="top"/>
          </w:tcPr>
          <w:p w14:paraId="46D3769C">
            <w:pPr>
              <w:spacing w:line="274" w:lineRule="auto"/>
              <w:rPr>
                <w:rFonts w:ascii="Arial"/>
                <w:sz w:val="21"/>
              </w:rPr>
            </w:pPr>
          </w:p>
          <w:p w14:paraId="4F5E5506">
            <w:pPr>
              <w:spacing w:before="64" w:line="193" w:lineRule="auto"/>
              <w:ind w:left="43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492" w:type="dxa"/>
            <w:vAlign w:val="top"/>
          </w:tcPr>
          <w:p w14:paraId="0EAF999D">
            <w:pPr>
              <w:spacing w:line="274" w:lineRule="auto"/>
              <w:rPr>
                <w:rFonts w:ascii="Arial"/>
                <w:sz w:val="21"/>
              </w:rPr>
            </w:pPr>
          </w:p>
          <w:p w14:paraId="0DFBCDDE">
            <w:pPr>
              <w:spacing w:before="64" w:line="193" w:lineRule="auto"/>
              <w:ind w:left="21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53" w:type="dxa"/>
            <w:vAlign w:val="top"/>
          </w:tcPr>
          <w:p w14:paraId="1D197CF4">
            <w:pPr>
              <w:spacing w:line="274" w:lineRule="auto"/>
              <w:rPr>
                <w:rFonts w:ascii="Arial"/>
                <w:sz w:val="21"/>
              </w:rPr>
            </w:pPr>
          </w:p>
          <w:p w14:paraId="3479C7F9">
            <w:pPr>
              <w:spacing w:before="64" w:line="193" w:lineRule="auto"/>
              <w:ind w:left="29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33" w:type="dxa"/>
            <w:vAlign w:val="top"/>
          </w:tcPr>
          <w:p w14:paraId="2F29C728">
            <w:pPr>
              <w:spacing w:line="274" w:lineRule="auto"/>
              <w:rPr>
                <w:rFonts w:ascii="Arial"/>
                <w:sz w:val="21"/>
              </w:rPr>
            </w:pPr>
          </w:p>
          <w:p w14:paraId="1E770461">
            <w:pPr>
              <w:spacing w:before="64" w:line="193" w:lineRule="auto"/>
              <w:ind w:left="29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510" w:type="dxa"/>
            <w:gridSpan w:val="2"/>
            <w:vAlign w:val="top"/>
          </w:tcPr>
          <w:p w14:paraId="4C467085">
            <w:pPr>
              <w:spacing w:line="274" w:lineRule="auto"/>
              <w:rPr>
                <w:rFonts w:ascii="Arial"/>
                <w:sz w:val="21"/>
              </w:rPr>
            </w:pPr>
          </w:p>
          <w:p w14:paraId="7A1185DE">
            <w:pPr>
              <w:spacing w:before="64" w:line="193" w:lineRule="auto"/>
              <w:ind w:left="23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53" w:type="dxa"/>
            <w:vAlign w:val="top"/>
          </w:tcPr>
          <w:p w14:paraId="31B74F77">
            <w:pPr>
              <w:spacing w:line="274" w:lineRule="auto"/>
              <w:rPr>
                <w:rFonts w:ascii="Arial"/>
                <w:sz w:val="21"/>
              </w:rPr>
            </w:pPr>
          </w:p>
          <w:p w14:paraId="1118D38F">
            <w:pPr>
              <w:spacing w:before="64" w:line="193" w:lineRule="auto"/>
              <w:ind w:left="2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14" w:type="dxa"/>
            <w:vAlign w:val="top"/>
          </w:tcPr>
          <w:p w14:paraId="6372AFDA">
            <w:pPr>
              <w:spacing w:line="274" w:lineRule="auto"/>
              <w:rPr>
                <w:rFonts w:ascii="Arial"/>
                <w:sz w:val="21"/>
              </w:rPr>
            </w:pPr>
          </w:p>
          <w:p w14:paraId="0B70C4E1">
            <w:pPr>
              <w:spacing w:before="64" w:line="193" w:lineRule="auto"/>
              <w:ind w:left="37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14" w:type="dxa"/>
            <w:vAlign w:val="top"/>
          </w:tcPr>
          <w:p w14:paraId="5CAEA5AF">
            <w:pPr>
              <w:spacing w:line="274" w:lineRule="auto"/>
              <w:rPr>
                <w:rFonts w:ascii="Arial"/>
                <w:sz w:val="21"/>
              </w:rPr>
            </w:pPr>
          </w:p>
          <w:p w14:paraId="653339AB">
            <w:pPr>
              <w:spacing w:before="64" w:line="193" w:lineRule="auto"/>
              <w:ind w:left="37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07" w:type="dxa"/>
            <w:vAlign w:val="top"/>
          </w:tcPr>
          <w:p w14:paraId="7BF19C33">
            <w:pPr>
              <w:spacing w:line="274" w:lineRule="auto"/>
              <w:rPr>
                <w:rFonts w:ascii="Arial"/>
                <w:sz w:val="21"/>
              </w:rPr>
            </w:pPr>
          </w:p>
          <w:p w14:paraId="13E3DC41">
            <w:pPr>
              <w:spacing w:before="64" w:line="193" w:lineRule="auto"/>
              <w:ind w:left="37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62" w:type="dxa"/>
            <w:vAlign w:val="top"/>
          </w:tcPr>
          <w:p w14:paraId="5BD01D01">
            <w:pPr>
              <w:spacing w:line="274" w:lineRule="auto"/>
              <w:rPr>
                <w:rFonts w:ascii="Arial"/>
                <w:sz w:val="21"/>
              </w:rPr>
            </w:pPr>
          </w:p>
          <w:p w14:paraId="1E9BF265">
            <w:pPr>
              <w:spacing w:before="64" w:line="193" w:lineRule="auto"/>
              <w:ind w:left="29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44" w:type="dxa"/>
            <w:vAlign w:val="top"/>
          </w:tcPr>
          <w:p w14:paraId="5BC7CA8C">
            <w:pPr>
              <w:spacing w:line="274" w:lineRule="auto"/>
              <w:rPr>
                <w:rFonts w:ascii="Arial"/>
                <w:sz w:val="21"/>
              </w:rPr>
            </w:pPr>
          </w:p>
          <w:p w14:paraId="57C8D4E5">
            <w:pPr>
              <w:spacing w:before="64" w:line="193" w:lineRule="auto"/>
              <w:ind w:left="53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37D4A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429" w:type="dxa"/>
            <w:gridSpan w:val="2"/>
            <w:vAlign w:val="top"/>
          </w:tcPr>
          <w:p w14:paraId="5B019E88">
            <w:pPr>
              <w:pStyle w:val="6"/>
              <w:spacing w:before="178" w:line="220" w:lineRule="auto"/>
              <w:ind w:left="169"/>
              <w:rPr>
                <w:sz w:val="22"/>
                <w:szCs w:val="22"/>
              </w:rPr>
            </w:pPr>
            <w:r>
              <w:rPr>
                <w:spacing w:val="-2"/>
                <w:sz w:val="22"/>
                <w:szCs w:val="22"/>
              </w:rPr>
              <w:t>生化池臭气</w:t>
            </w:r>
          </w:p>
        </w:tc>
        <w:tc>
          <w:tcPr>
            <w:tcW w:w="802" w:type="dxa"/>
            <w:vAlign w:val="top"/>
          </w:tcPr>
          <w:p w14:paraId="4E055A9F">
            <w:pPr>
              <w:pStyle w:val="6"/>
              <w:spacing w:before="88" w:line="187" w:lineRule="auto"/>
              <w:ind w:left="108"/>
              <w:rPr>
                <w:sz w:val="22"/>
                <w:szCs w:val="22"/>
              </w:rPr>
            </w:pPr>
            <w:r>
              <w:rPr>
                <w:rFonts w:ascii="Times New Roman" w:hAnsi="Times New Roman" w:eastAsia="Times New Roman" w:cs="Times New Roman"/>
                <w:spacing w:val="-1"/>
                <w:sz w:val="22"/>
                <w:szCs w:val="22"/>
              </w:rPr>
              <w:t>H</w:t>
            </w:r>
            <w:r>
              <w:rPr>
                <w:rFonts w:ascii="Times New Roman" w:hAnsi="Times New Roman" w:eastAsia="Times New Roman" w:cs="Times New Roman"/>
                <w:spacing w:val="-1"/>
                <w:position w:val="-1"/>
                <w:sz w:val="14"/>
                <w:szCs w:val="14"/>
              </w:rPr>
              <w:t>2</w:t>
            </w:r>
            <w:r>
              <w:rPr>
                <w:rFonts w:ascii="Times New Roman" w:hAnsi="Times New Roman" w:eastAsia="Times New Roman" w:cs="Times New Roman"/>
                <w:spacing w:val="-1"/>
                <w:sz w:val="22"/>
                <w:szCs w:val="22"/>
              </w:rPr>
              <w:t>S</w:t>
            </w:r>
            <w:r>
              <w:rPr>
                <w:spacing w:val="-1"/>
                <w:sz w:val="22"/>
                <w:szCs w:val="22"/>
              </w:rPr>
              <w:t>、</w:t>
            </w:r>
          </w:p>
          <w:p w14:paraId="11241B1B">
            <w:pPr>
              <w:spacing w:before="49" w:line="191" w:lineRule="auto"/>
              <w:ind w:left="195"/>
              <w:rPr>
                <w:rFonts w:ascii="Times New Roman" w:hAnsi="Times New Roman" w:eastAsia="Times New Roman" w:cs="Times New Roman"/>
                <w:sz w:val="14"/>
                <w:szCs w:val="14"/>
              </w:rPr>
            </w:pPr>
            <w:r>
              <w:rPr>
                <w:rFonts w:ascii="Times New Roman" w:hAnsi="Times New Roman" w:eastAsia="Times New Roman" w:cs="Times New Roman"/>
                <w:sz w:val="22"/>
                <w:szCs w:val="22"/>
              </w:rPr>
              <w:t>NH</w:t>
            </w:r>
            <w:r>
              <w:rPr>
                <w:rFonts w:ascii="Times New Roman" w:hAnsi="Times New Roman" w:eastAsia="Times New Roman" w:cs="Times New Roman"/>
                <w:spacing w:val="2"/>
                <w:position w:val="-1"/>
                <w:sz w:val="14"/>
                <w:szCs w:val="14"/>
              </w:rPr>
              <w:t>3</w:t>
            </w:r>
          </w:p>
        </w:tc>
        <w:tc>
          <w:tcPr>
            <w:tcW w:w="709" w:type="dxa"/>
            <w:tcBorders>
              <w:bottom w:val="single" w:color="000000" w:sz="2" w:space="0"/>
            </w:tcBorders>
            <w:vAlign w:val="top"/>
          </w:tcPr>
          <w:p w14:paraId="10B53BF3">
            <w:pPr>
              <w:spacing w:before="212" w:line="193" w:lineRule="auto"/>
              <w:ind w:left="31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19" w:type="dxa"/>
            <w:tcBorders>
              <w:bottom w:val="single" w:color="000000" w:sz="2" w:space="0"/>
            </w:tcBorders>
            <w:vAlign w:val="top"/>
          </w:tcPr>
          <w:p w14:paraId="7CB477A7">
            <w:pPr>
              <w:spacing w:before="212" w:line="193" w:lineRule="auto"/>
              <w:ind w:left="32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49" w:type="dxa"/>
            <w:tcBorders>
              <w:bottom w:val="single" w:color="000000" w:sz="2" w:space="0"/>
            </w:tcBorders>
            <w:vAlign w:val="top"/>
          </w:tcPr>
          <w:p w14:paraId="089B0B01">
            <w:pPr>
              <w:pStyle w:val="6"/>
              <w:spacing w:before="178" w:line="222" w:lineRule="auto"/>
              <w:ind w:left="159"/>
              <w:rPr>
                <w:sz w:val="22"/>
                <w:szCs w:val="22"/>
              </w:rPr>
            </w:pPr>
            <w:r>
              <w:rPr>
                <w:spacing w:val="-4"/>
                <w:sz w:val="22"/>
                <w:szCs w:val="22"/>
              </w:rPr>
              <w:t>少量</w:t>
            </w:r>
          </w:p>
        </w:tc>
        <w:tc>
          <w:tcPr>
            <w:tcW w:w="710" w:type="dxa"/>
            <w:tcBorders>
              <w:bottom w:val="single" w:color="000000" w:sz="2" w:space="0"/>
            </w:tcBorders>
            <w:vAlign w:val="top"/>
          </w:tcPr>
          <w:p w14:paraId="5BFBF288">
            <w:pPr>
              <w:pStyle w:val="6"/>
              <w:spacing w:before="36" w:line="221" w:lineRule="auto"/>
              <w:ind w:left="253" w:right="127" w:hanging="112"/>
              <w:rPr>
                <w:sz w:val="22"/>
                <w:szCs w:val="22"/>
              </w:rPr>
            </w:pPr>
            <w:r>
              <w:rPr>
                <w:spacing w:val="-5"/>
                <w:sz w:val="22"/>
                <w:szCs w:val="22"/>
              </w:rPr>
              <w:t>无组</w:t>
            </w:r>
            <w:r>
              <w:rPr>
                <w:sz w:val="22"/>
                <w:szCs w:val="22"/>
              </w:rPr>
              <w:t>织</w:t>
            </w:r>
          </w:p>
        </w:tc>
        <w:tc>
          <w:tcPr>
            <w:tcW w:w="930" w:type="dxa"/>
            <w:tcBorders>
              <w:bottom w:val="single" w:color="000000" w:sz="2" w:space="0"/>
            </w:tcBorders>
            <w:vAlign w:val="top"/>
          </w:tcPr>
          <w:p w14:paraId="7609DCE8">
            <w:pPr>
              <w:pStyle w:val="6"/>
              <w:spacing w:before="36" w:line="221" w:lineRule="auto"/>
              <w:ind w:left="358" w:right="128" w:hanging="219"/>
              <w:rPr>
                <w:sz w:val="22"/>
                <w:szCs w:val="22"/>
              </w:rPr>
            </w:pPr>
            <w:r>
              <w:rPr>
                <w:spacing w:val="-3"/>
                <w:sz w:val="22"/>
                <w:szCs w:val="22"/>
              </w:rPr>
              <w:t>加强绿</w:t>
            </w:r>
            <w:r>
              <w:rPr>
                <w:sz w:val="22"/>
                <w:szCs w:val="22"/>
              </w:rPr>
              <w:t>化</w:t>
            </w:r>
          </w:p>
        </w:tc>
        <w:tc>
          <w:tcPr>
            <w:tcW w:w="492" w:type="dxa"/>
            <w:tcBorders>
              <w:bottom w:val="single" w:color="000000" w:sz="2" w:space="0"/>
            </w:tcBorders>
            <w:vAlign w:val="top"/>
          </w:tcPr>
          <w:p w14:paraId="33839046">
            <w:pPr>
              <w:spacing w:before="212" w:line="193" w:lineRule="auto"/>
              <w:ind w:left="21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53" w:type="dxa"/>
            <w:tcBorders>
              <w:bottom w:val="single" w:color="000000" w:sz="2" w:space="0"/>
            </w:tcBorders>
            <w:vAlign w:val="top"/>
          </w:tcPr>
          <w:p w14:paraId="18E56CD0">
            <w:pPr>
              <w:spacing w:before="212" w:line="193" w:lineRule="auto"/>
              <w:ind w:left="29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33" w:type="dxa"/>
            <w:tcBorders>
              <w:bottom w:val="single" w:color="000000" w:sz="2" w:space="0"/>
            </w:tcBorders>
            <w:vAlign w:val="top"/>
          </w:tcPr>
          <w:p w14:paraId="4F8E2140">
            <w:pPr>
              <w:spacing w:before="212" w:line="193" w:lineRule="auto"/>
              <w:ind w:left="29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510" w:type="dxa"/>
            <w:gridSpan w:val="2"/>
            <w:tcBorders>
              <w:bottom w:val="single" w:color="000000" w:sz="2" w:space="0"/>
            </w:tcBorders>
            <w:vAlign w:val="top"/>
          </w:tcPr>
          <w:p w14:paraId="77DF1873">
            <w:pPr>
              <w:pStyle w:val="6"/>
              <w:spacing w:before="178" w:line="224" w:lineRule="auto"/>
              <w:ind w:left="164"/>
              <w:rPr>
                <w:sz w:val="22"/>
                <w:szCs w:val="22"/>
              </w:rPr>
            </w:pPr>
            <w:r>
              <w:rPr>
                <w:sz w:val="22"/>
                <w:szCs w:val="22"/>
              </w:rPr>
              <w:t>是</w:t>
            </w:r>
          </w:p>
        </w:tc>
        <w:tc>
          <w:tcPr>
            <w:tcW w:w="653" w:type="dxa"/>
            <w:tcBorders>
              <w:bottom w:val="single" w:color="000000" w:sz="2" w:space="0"/>
            </w:tcBorders>
            <w:vAlign w:val="top"/>
          </w:tcPr>
          <w:p w14:paraId="52C3369C">
            <w:pPr>
              <w:spacing w:before="212" w:line="193" w:lineRule="auto"/>
              <w:ind w:left="2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14" w:type="dxa"/>
            <w:tcBorders>
              <w:bottom w:val="single" w:color="000000" w:sz="2" w:space="0"/>
            </w:tcBorders>
            <w:vAlign w:val="top"/>
          </w:tcPr>
          <w:p w14:paraId="3E7203FF">
            <w:pPr>
              <w:spacing w:before="212" w:line="193" w:lineRule="auto"/>
              <w:ind w:left="37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14" w:type="dxa"/>
            <w:tcBorders>
              <w:bottom w:val="single" w:color="000000" w:sz="2" w:space="0"/>
            </w:tcBorders>
            <w:vAlign w:val="top"/>
          </w:tcPr>
          <w:p w14:paraId="4E2B2D15">
            <w:pPr>
              <w:spacing w:before="212" w:line="193" w:lineRule="auto"/>
              <w:ind w:left="37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07" w:type="dxa"/>
            <w:tcBorders>
              <w:bottom w:val="single" w:color="000000" w:sz="2" w:space="0"/>
            </w:tcBorders>
            <w:vAlign w:val="top"/>
          </w:tcPr>
          <w:p w14:paraId="69FDB3C6">
            <w:pPr>
              <w:spacing w:before="212" w:line="193" w:lineRule="auto"/>
              <w:ind w:left="37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62" w:type="dxa"/>
            <w:tcBorders>
              <w:bottom w:val="single" w:color="000000" w:sz="2" w:space="0"/>
            </w:tcBorders>
            <w:vAlign w:val="top"/>
          </w:tcPr>
          <w:p w14:paraId="6CC6B4D2">
            <w:pPr>
              <w:spacing w:before="212" w:line="193" w:lineRule="auto"/>
              <w:ind w:left="29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44" w:type="dxa"/>
            <w:tcBorders>
              <w:bottom w:val="single" w:color="000000" w:sz="2" w:space="0"/>
            </w:tcBorders>
            <w:vAlign w:val="top"/>
          </w:tcPr>
          <w:p w14:paraId="7AE60B48">
            <w:pPr>
              <w:spacing w:before="212" w:line="193" w:lineRule="auto"/>
              <w:ind w:left="53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1DCAB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1429" w:type="dxa"/>
            <w:gridSpan w:val="2"/>
            <w:vAlign w:val="top"/>
          </w:tcPr>
          <w:p w14:paraId="7F0B55AE">
            <w:pPr>
              <w:pStyle w:val="6"/>
              <w:spacing w:before="39" w:line="224" w:lineRule="auto"/>
              <w:ind w:left="303" w:right="158" w:hanging="133"/>
              <w:rPr>
                <w:sz w:val="22"/>
                <w:szCs w:val="22"/>
              </w:rPr>
            </w:pPr>
            <w:r>
              <w:rPr>
                <w:spacing w:val="-2"/>
                <w:sz w:val="22"/>
                <w:szCs w:val="22"/>
              </w:rPr>
              <w:t>备用柴油发</w:t>
            </w:r>
            <w:r>
              <w:rPr>
                <w:spacing w:val="-9"/>
                <w:sz w:val="22"/>
                <w:szCs w:val="22"/>
              </w:rPr>
              <w:t>电机尾气</w:t>
            </w:r>
          </w:p>
        </w:tc>
        <w:tc>
          <w:tcPr>
            <w:tcW w:w="802" w:type="dxa"/>
            <w:tcBorders>
              <w:right w:val="single" w:color="000000" w:sz="2" w:space="0"/>
            </w:tcBorders>
            <w:vAlign w:val="top"/>
          </w:tcPr>
          <w:p w14:paraId="6DF65286">
            <w:pPr>
              <w:pStyle w:val="6"/>
              <w:spacing w:before="91" w:line="183" w:lineRule="auto"/>
              <w:ind w:left="106"/>
              <w:rPr>
                <w:sz w:val="22"/>
                <w:szCs w:val="22"/>
              </w:rPr>
            </w:pPr>
            <w:r>
              <w:rPr>
                <w:rFonts w:ascii="Times New Roman" w:hAnsi="Times New Roman" w:eastAsia="Times New Roman" w:cs="Times New Roman"/>
                <w:spacing w:val="-2"/>
                <w:sz w:val="22"/>
                <w:szCs w:val="22"/>
              </w:rPr>
              <w:t>THC</w:t>
            </w:r>
            <w:r>
              <w:rPr>
                <w:spacing w:val="-2"/>
                <w:sz w:val="22"/>
                <w:szCs w:val="22"/>
              </w:rPr>
              <w:t>、</w:t>
            </w:r>
          </w:p>
          <w:p w14:paraId="64E16A37">
            <w:pPr>
              <w:spacing w:before="50" w:line="189" w:lineRule="auto"/>
              <w:ind w:left="174"/>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709" w:type="dxa"/>
            <w:tcBorders>
              <w:top w:val="single" w:color="000000" w:sz="2" w:space="0"/>
              <w:left w:val="single" w:color="000000" w:sz="2" w:space="0"/>
              <w:bottom w:val="single" w:color="000000" w:sz="2" w:space="0"/>
              <w:right w:val="single" w:color="000000" w:sz="2" w:space="0"/>
            </w:tcBorders>
            <w:vAlign w:val="top"/>
          </w:tcPr>
          <w:p w14:paraId="7A6E5649">
            <w:pPr>
              <w:spacing w:before="214" w:line="193" w:lineRule="auto"/>
              <w:ind w:left="31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19" w:type="dxa"/>
            <w:tcBorders>
              <w:top w:val="single" w:color="000000" w:sz="2" w:space="0"/>
              <w:left w:val="single" w:color="000000" w:sz="2" w:space="0"/>
              <w:bottom w:val="single" w:color="000000" w:sz="2" w:space="0"/>
              <w:right w:val="single" w:color="000000" w:sz="2" w:space="0"/>
            </w:tcBorders>
            <w:vAlign w:val="top"/>
          </w:tcPr>
          <w:p w14:paraId="6D6B85AE">
            <w:pPr>
              <w:spacing w:before="214" w:line="193" w:lineRule="auto"/>
              <w:ind w:left="32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49" w:type="dxa"/>
            <w:tcBorders>
              <w:top w:val="single" w:color="000000" w:sz="2" w:space="0"/>
              <w:left w:val="single" w:color="000000" w:sz="2" w:space="0"/>
              <w:bottom w:val="single" w:color="000000" w:sz="2" w:space="0"/>
              <w:right w:val="single" w:color="000000" w:sz="2" w:space="0"/>
            </w:tcBorders>
            <w:vAlign w:val="top"/>
          </w:tcPr>
          <w:p w14:paraId="512A8D48">
            <w:pPr>
              <w:pStyle w:val="6"/>
              <w:spacing w:before="181" w:line="222" w:lineRule="auto"/>
              <w:ind w:left="162"/>
              <w:rPr>
                <w:sz w:val="22"/>
                <w:szCs w:val="22"/>
              </w:rPr>
            </w:pPr>
            <w:r>
              <w:rPr>
                <w:spacing w:val="-4"/>
                <w:sz w:val="22"/>
                <w:szCs w:val="22"/>
              </w:rPr>
              <w:t>少量</w:t>
            </w:r>
          </w:p>
        </w:tc>
        <w:tc>
          <w:tcPr>
            <w:tcW w:w="710" w:type="dxa"/>
            <w:tcBorders>
              <w:top w:val="single" w:color="000000" w:sz="2" w:space="0"/>
              <w:left w:val="single" w:color="000000" w:sz="2" w:space="0"/>
              <w:bottom w:val="single" w:color="000000" w:sz="2" w:space="0"/>
              <w:right w:val="single" w:color="000000" w:sz="2" w:space="0"/>
            </w:tcBorders>
            <w:vAlign w:val="top"/>
          </w:tcPr>
          <w:p w14:paraId="7883A86A">
            <w:pPr>
              <w:pStyle w:val="6"/>
              <w:spacing w:before="39" w:line="224" w:lineRule="auto"/>
              <w:ind w:left="255" w:right="129" w:hanging="112"/>
              <w:rPr>
                <w:sz w:val="22"/>
                <w:szCs w:val="22"/>
              </w:rPr>
            </w:pPr>
            <w:r>
              <w:rPr>
                <w:spacing w:val="-5"/>
                <w:sz w:val="22"/>
                <w:szCs w:val="22"/>
              </w:rPr>
              <w:t>无组</w:t>
            </w:r>
            <w:r>
              <w:rPr>
                <w:sz w:val="22"/>
                <w:szCs w:val="22"/>
              </w:rPr>
              <w:t>织</w:t>
            </w:r>
          </w:p>
        </w:tc>
        <w:tc>
          <w:tcPr>
            <w:tcW w:w="930" w:type="dxa"/>
            <w:tcBorders>
              <w:top w:val="single" w:color="000000" w:sz="2" w:space="0"/>
              <w:left w:val="single" w:color="000000" w:sz="2" w:space="0"/>
              <w:bottom w:val="single" w:color="000000" w:sz="2" w:space="0"/>
              <w:right w:val="single" w:color="000000" w:sz="2" w:space="0"/>
            </w:tcBorders>
            <w:vAlign w:val="top"/>
          </w:tcPr>
          <w:p w14:paraId="76FF3C4C">
            <w:pPr>
              <w:spacing w:before="214" w:line="193" w:lineRule="auto"/>
              <w:ind w:left="43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492" w:type="dxa"/>
            <w:tcBorders>
              <w:top w:val="single" w:color="000000" w:sz="2" w:space="0"/>
              <w:left w:val="single" w:color="000000" w:sz="2" w:space="0"/>
              <w:bottom w:val="single" w:color="000000" w:sz="2" w:space="0"/>
              <w:right w:val="single" w:color="000000" w:sz="2" w:space="0"/>
            </w:tcBorders>
            <w:vAlign w:val="top"/>
          </w:tcPr>
          <w:p w14:paraId="3C95791F">
            <w:pPr>
              <w:spacing w:before="214" w:line="193" w:lineRule="auto"/>
              <w:ind w:left="21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53" w:type="dxa"/>
            <w:tcBorders>
              <w:top w:val="single" w:color="000000" w:sz="2" w:space="0"/>
              <w:left w:val="single" w:color="000000" w:sz="2" w:space="0"/>
              <w:bottom w:val="single" w:color="000000" w:sz="2" w:space="0"/>
              <w:right w:val="single" w:color="000000" w:sz="2" w:space="0"/>
            </w:tcBorders>
            <w:vAlign w:val="top"/>
          </w:tcPr>
          <w:p w14:paraId="37EA1F70">
            <w:pPr>
              <w:spacing w:before="214" w:line="193" w:lineRule="auto"/>
              <w:ind w:left="29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53" w:type="dxa"/>
            <w:gridSpan w:val="2"/>
            <w:tcBorders>
              <w:top w:val="single" w:color="000000" w:sz="2" w:space="0"/>
              <w:left w:val="single" w:color="000000" w:sz="2" w:space="0"/>
              <w:bottom w:val="single" w:color="000000" w:sz="2" w:space="0"/>
              <w:right w:val="single" w:color="000000" w:sz="2" w:space="0"/>
            </w:tcBorders>
            <w:vAlign w:val="top"/>
          </w:tcPr>
          <w:p w14:paraId="172B8841">
            <w:pPr>
              <w:spacing w:before="214" w:line="193" w:lineRule="auto"/>
              <w:ind w:left="29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490" w:type="dxa"/>
            <w:tcBorders>
              <w:top w:val="single" w:color="000000" w:sz="2" w:space="0"/>
              <w:left w:val="single" w:color="000000" w:sz="2" w:space="0"/>
              <w:bottom w:val="single" w:color="000000" w:sz="2" w:space="0"/>
              <w:right w:val="single" w:color="000000" w:sz="2" w:space="0"/>
            </w:tcBorders>
            <w:vAlign w:val="top"/>
          </w:tcPr>
          <w:p w14:paraId="0E1DEF11">
            <w:pPr>
              <w:spacing w:before="214" w:line="193" w:lineRule="auto"/>
              <w:ind w:left="2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53" w:type="dxa"/>
            <w:tcBorders>
              <w:top w:val="single" w:color="000000" w:sz="2" w:space="0"/>
              <w:left w:val="single" w:color="000000" w:sz="2" w:space="0"/>
              <w:bottom w:val="single" w:color="000000" w:sz="2" w:space="0"/>
              <w:right w:val="single" w:color="000000" w:sz="2" w:space="0"/>
            </w:tcBorders>
            <w:vAlign w:val="top"/>
          </w:tcPr>
          <w:p w14:paraId="2BC169AE">
            <w:pPr>
              <w:spacing w:before="214" w:line="193" w:lineRule="auto"/>
              <w:ind w:left="29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14" w:type="dxa"/>
            <w:tcBorders>
              <w:top w:val="single" w:color="000000" w:sz="2" w:space="0"/>
              <w:left w:val="single" w:color="000000" w:sz="2" w:space="0"/>
              <w:bottom w:val="single" w:color="000000" w:sz="2" w:space="0"/>
              <w:right w:val="single" w:color="000000" w:sz="2" w:space="0"/>
            </w:tcBorders>
            <w:vAlign w:val="top"/>
          </w:tcPr>
          <w:p w14:paraId="13B10055">
            <w:pPr>
              <w:spacing w:before="214" w:line="193" w:lineRule="auto"/>
              <w:ind w:left="37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14" w:type="dxa"/>
            <w:tcBorders>
              <w:top w:val="single" w:color="000000" w:sz="2" w:space="0"/>
              <w:left w:val="single" w:color="000000" w:sz="2" w:space="0"/>
              <w:bottom w:val="single" w:color="000000" w:sz="2" w:space="0"/>
              <w:right w:val="single" w:color="000000" w:sz="2" w:space="0"/>
            </w:tcBorders>
            <w:vAlign w:val="top"/>
          </w:tcPr>
          <w:p w14:paraId="35C25A93">
            <w:pPr>
              <w:spacing w:before="214" w:line="193" w:lineRule="auto"/>
              <w:ind w:left="37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07" w:type="dxa"/>
            <w:tcBorders>
              <w:top w:val="single" w:color="000000" w:sz="2" w:space="0"/>
              <w:left w:val="single" w:color="000000" w:sz="2" w:space="0"/>
              <w:bottom w:val="single" w:color="000000" w:sz="2" w:space="0"/>
              <w:right w:val="single" w:color="000000" w:sz="2" w:space="0"/>
            </w:tcBorders>
            <w:vAlign w:val="top"/>
          </w:tcPr>
          <w:p w14:paraId="7E3E05B0">
            <w:pPr>
              <w:spacing w:before="214" w:line="193" w:lineRule="auto"/>
              <w:ind w:left="37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62" w:type="dxa"/>
            <w:tcBorders>
              <w:top w:val="single" w:color="000000" w:sz="2" w:space="0"/>
              <w:left w:val="single" w:color="000000" w:sz="2" w:space="0"/>
              <w:bottom w:val="single" w:color="000000" w:sz="2" w:space="0"/>
              <w:right w:val="single" w:color="000000" w:sz="2" w:space="0"/>
            </w:tcBorders>
            <w:vAlign w:val="top"/>
          </w:tcPr>
          <w:p w14:paraId="41F6D728">
            <w:pPr>
              <w:spacing w:before="214" w:line="193" w:lineRule="auto"/>
              <w:ind w:left="3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44" w:type="dxa"/>
            <w:tcBorders>
              <w:top w:val="single" w:color="000000" w:sz="2" w:space="0"/>
              <w:left w:val="single" w:color="000000" w:sz="2" w:space="0"/>
              <w:bottom w:val="single" w:color="000000" w:sz="2" w:space="0"/>
              <w:right w:val="single" w:color="000000" w:sz="2" w:space="0"/>
            </w:tcBorders>
            <w:vAlign w:val="top"/>
          </w:tcPr>
          <w:p w14:paraId="2BB92B17">
            <w:pPr>
              <w:spacing w:before="214" w:line="193" w:lineRule="auto"/>
              <w:ind w:left="5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bl>
    <w:p w14:paraId="7C537D24">
      <w:pPr>
        <w:pStyle w:val="2"/>
        <w:rPr>
          <w:sz w:val="21"/>
        </w:rPr>
      </w:pPr>
    </w:p>
    <w:p w14:paraId="1E376EC4">
      <w:pPr>
        <w:rPr>
          <w:sz w:val="21"/>
          <w:szCs w:val="21"/>
        </w:rPr>
        <w:sectPr>
          <w:footerReference r:id="rId78" w:type="default"/>
          <w:pgSz w:w="16840" w:h="11907"/>
          <w:pgMar w:top="400" w:right="1586" w:bottom="1007" w:left="2012" w:header="0" w:footer="769" w:gutter="0"/>
          <w:cols w:space="720" w:num="1"/>
        </w:sectPr>
      </w:pPr>
    </w:p>
    <w:p w14:paraId="082ABBF3">
      <w:pPr>
        <w:spacing w:before="19"/>
      </w:pPr>
      <w:r>
        <w:pict>
          <v:shape id="_x0000_s1034" o:spid="_x0000_s1034" style="position:absolute;left:0pt;margin-left:121.05pt;margin-top:729.45pt;height:0.5pt;width:395.75pt;mso-position-horizontal-relative:page;mso-position-vertical-relative:page;z-index:-251644928;mso-width-relative:page;mso-height-relative:page;" filled="f" stroked="t" coordsize="7915,10" o:allowincell="f" path="m0,4l7914,4e">
            <v:fill on="f" focussize="0,0"/>
            <v:stroke weight="0.48pt" color="#000000" miterlimit="2" joinstyle="bevel"/>
            <v:imagedata o:title=""/>
            <o:lock v:ext="edit"/>
          </v:shape>
        </w:pict>
      </w:r>
    </w:p>
    <w:p w14:paraId="2566B357">
      <w:pPr>
        <w:spacing w:before="19"/>
      </w:pPr>
    </w:p>
    <w:p w14:paraId="1171FFB7">
      <w:pPr>
        <w:spacing w:before="19"/>
      </w:pPr>
    </w:p>
    <w:p w14:paraId="18A0E6E2">
      <w:pPr>
        <w:spacing w:before="18"/>
      </w:pPr>
    </w:p>
    <w:p w14:paraId="4FB1E406">
      <w:pPr>
        <w:spacing w:before="18"/>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8"/>
        <w:gridCol w:w="113"/>
        <w:gridCol w:w="623"/>
        <w:gridCol w:w="1454"/>
        <w:gridCol w:w="1538"/>
        <w:gridCol w:w="851"/>
        <w:gridCol w:w="901"/>
        <w:gridCol w:w="2525"/>
        <w:gridCol w:w="122"/>
      </w:tblGrid>
      <w:tr w14:paraId="5D6FD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37" w:hRule="atLeast"/>
        </w:trPr>
        <w:tc>
          <w:tcPr>
            <w:tcW w:w="858" w:type="dxa"/>
            <w:vMerge w:val="restart"/>
            <w:tcBorders>
              <w:top w:val="single" w:color="000000" w:sz="6" w:space="0"/>
              <w:left w:val="single" w:color="000000" w:sz="6" w:space="0"/>
              <w:bottom w:val="nil"/>
            </w:tcBorders>
            <w:vAlign w:val="top"/>
          </w:tcPr>
          <w:p w14:paraId="6F838BD6">
            <w:pPr>
              <w:spacing w:line="243" w:lineRule="auto"/>
              <w:rPr>
                <w:rFonts w:ascii="Arial"/>
                <w:sz w:val="21"/>
              </w:rPr>
            </w:pPr>
          </w:p>
          <w:p w14:paraId="372F5310">
            <w:pPr>
              <w:spacing w:line="243" w:lineRule="auto"/>
              <w:rPr>
                <w:rFonts w:ascii="Arial"/>
                <w:sz w:val="21"/>
              </w:rPr>
            </w:pPr>
          </w:p>
          <w:p w14:paraId="6C776243">
            <w:pPr>
              <w:spacing w:line="243" w:lineRule="auto"/>
              <w:rPr>
                <w:rFonts w:ascii="Arial"/>
                <w:sz w:val="21"/>
              </w:rPr>
            </w:pPr>
          </w:p>
          <w:p w14:paraId="666B41E7">
            <w:pPr>
              <w:spacing w:line="243" w:lineRule="auto"/>
              <w:rPr>
                <w:rFonts w:ascii="Arial"/>
                <w:sz w:val="21"/>
              </w:rPr>
            </w:pPr>
          </w:p>
          <w:p w14:paraId="00B19002">
            <w:pPr>
              <w:spacing w:line="243" w:lineRule="auto"/>
              <w:rPr>
                <w:rFonts w:ascii="Arial"/>
                <w:sz w:val="21"/>
              </w:rPr>
            </w:pPr>
          </w:p>
          <w:p w14:paraId="153D3030">
            <w:pPr>
              <w:spacing w:line="243" w:lineRule="auto"/>
              <w:rPr>
                <w:rFonts w:ascii="Arial"/>
                <w:sz w:val="21"/>
              </w:rPr>
            </w:pPr>
          </w:p>
          <w:p w14:paraId="15FCACF6">
            <w:pPr>
              <w:spacing w:line="243" w:lineRule="auto"/>
              <w:rPr>
                <w:rFonts w:ascii="Arial"/>
                <w:sz w:val="21"/>
              </w:rPr>
            </w:pPr>
          </w:p>
          <w:p w14:paraId="5F827FA6">
            <w:pPr>
              <w:spacing w:line="243" w:lineRule="auto"/>
              <w:rPr>
                <w:rFonts w:ascii="Arial"/>
                <w:sz w:val="21"/>
              </w:rPr>
            </w:pPr>
          </w:p>
          <w:p w14:paraId="55CFFA6C">
            <w:pPr>
              <w:spacing w:line="243" w:lineRule="auto"/>
              <w:rPr>
                <w:rFonts w:ascii="Arial"/>
                <w:sz w:val="21"/>
              </w:rPr>
            </w:pPr>
          </w:p>
          <w:p w14:paraId="31F0BC44">
            <w:pPr>
              <w:spacing w:line="243" w:lineRule="auto"/>
              <w:rPr>
                <w:rFonts w:ascii="Arial"/>
                <w:sz w:val="21"/>
              </w:rPr>
            </w:pPr>
          </w:p>
          <w:p w14:paraId="29D4CDE9">
            <w:pPr>
              <w:spacing w:line="243" w:lineRule="auto"/>
              <w:rPr>
                <w:rFonts w:ascii="Arial"/>
                <w:sz w:val="21"/>
              </w:rPr>
            </w:pPr>
          </w:p>
          <w:p w14:paraId="4D8A7CE5">
            <w:pPr>
              <w:spacing w:line="243" w:lineRule="auto"/>
              <w:rPr>
                <w:rFonts w:ascii="Arial"/>
                <w:sz w:val="21"/>
              </w:rPr>
            </w:pPr>
          </w:p>
          <w:p w14:paraId="396BDAC0">
            <w:pPr>
              <w:spacing w:line="244" w:lineRule="auto"/>
              <w:rPr>
                <w:rFonts w:ascii="Arial"/>
                <w:sz w:val="21"/>
              </w:rPr>
            </w:pPr>
          </w:p>
          <w:p w14:paraId="192DB718">
            <w:pPr>
              <w:spacing w:line="244" w:lineRule="auto"/>
              <w:rPr>
                <w:rFonts w:ascii="Arial"/>
                <w:sz w:val="21"/>
              </w:rPr>
            </w:pPr>
          </w:p>
          <w:p w14:paraId="77C7AF61">
            <w:pPr>
              <w:spacing w:line="244" w:lineRule="auto"/>
              <w:rPr>
                <w:rFonts w:ascii="Arial"/>
                <w:sz w:val="21"/>
              </w:rPr>
            </w:pPr>
          </w:p>
          <w:p w14:paraId="7B5B57F1">
            <w:pPr>
              <w:spacing w:line="244" w:lineRule="auto"/>
              <w:rPr>
                <w:rFonts w:ascii="Arial"/>
                <w:sz w:val="21"/>
              </w:rPr>
            </w:pPr>
          </w:p>
          <w:p w14:paraId="15BC6EFB">
            <w:pPr>
              <w:spacing w:line="244" w:lineRule="auto"/>
              <w:rPr>
                <w:rFonts w:ascii="Arial"/>
                <w:sz w:val="21"/>
              </w:rPr>
            </w:pPr>
          </w:p>
          <w:p w14:paraId="3F7F9636">
            <w:pPr>
              <w:spacing w:line="244" w:lineRule="auto"/>
              <w:rPr>
                <w:rFonts w:ascii="Arial"/>
                <w:sz w:val="21"/>
              </w:rPr>
            </w:pPr>
          </w:p>
          <w:p w14:paraId="63B5C421">
            <w:pPr>
              <w:spacing w:line="244" w:lineRule="auto"/>
              <w:rPr>
                <w:rFonts w:ascii="Arial"/>
                <w:sz w:val="21"/>
              </w:rPr>
            </w:pPr>
          </w:p>
          <w:p w14:paraId="35953973">
            <w:pPr>
              <w:spacing w:line="244" w:lineRule="auto"/>
              <w:rPr>
                <w:rFonts w:ascii="Arial"/>
                <w:sz w:val="21"/>
              </w:rPr>
            </w:pPr>
          </w:p>
          <w:p w14:paraId="03108D3F">
            <w:pPr>
              <w:spacing w:line="244" w:lineRule="auto"/>
              <w:rPr>
                <w:rFonts w:ascii="Arial"/>
                <w:sz w:val="21"/>
              </w:rPr>
            </w:pPr>
          </w:p>
          <w:p w14:paraId="360F83DB">
            <w:pPr>
              <w:spacing w:line="244" w:lineRule="auto"/>
              <w:rPr>
                <w:rFonts w:ascii="Arial"/>
                <w:sz w:val="21"/>
              </w:rPr>
            </w:pPr>
          </w:p>
          <w:p w14:paraId="1DBADA4F">
            <w:pPr>
              <w:pStyle w:val="6"/>
              <w:spacing w:before="81" w:line="249" w:lineRule="auto"/>
              <w:ind w:left="168" w:right="171"/>
              <w:jc w:val="both"/>
            </w:pPr>
            <w:r>
              <w:rPr>
                <w:spacing w:val="4"/>
              </w:rPr>
              <w:t>运营期环境影响和保护措施</w:t>
            </w:r>
          </w:p>
        </w:tc>
        <w:tc>
          <w:tcPr>
            <w:tcW w:w="8127" w:type="dxa"/>
            <w:gridSpan w:val="8"/>
            <w:tcBorders>
              <w:top w:val="single" w:color="000000" w:sz="6" w:space="0"/>
              <w:right w:val="single" w:color="000000" w:sz="6" w:space="0"/>
            </w:tcBorders>
            <w:vAlign w:val="top"/>
          </w:tcPr>
          <w:p w14:paraId="0C1A6D66">
            <w:pPr>
              <w:pStyle w:val="6"/>
              <w:spacing w:before="150" w:line="227" w:lineRule="auto"/>
              <w:ind w:left="640"/>
            </w:pPr>
            <w:r>
              <w:rPr>
                <w:spacing w:val="6"/>
              </w:rPr>
              <w:t>（</w:t>
            </w:r>
            <w:r>
              <w:rPr>
                <w:rFonts w:ascii="Times New Roman" w:hAnsi="Times New Roman" w:eastAsia="Times New Roman" w:cs="Times New Roman"/>
                <w:spacing w:val="6"/>
              </w:rPr>
              <w:t>2</w:t>
            </w:r>
            <w:r>
              <w:rPr>
                <w:spacing w:val="6"/>
              </w:rPr>
              <w:t>）达标分析</w:t>
            </w:r>
          </w:p>
          <w:p w14:paraId="758A39BE">
            <w:pPr>
              <w:pStyle w:val="6"/>
              <w:spacing w:before="149" w:line="340" w:lineRule="auto"/>
              <w:ind w:left="108" w:right="104" w:firstLine="520"/>
            </w:pPr>
            <w:r>
              <w:rPr>
                <w:spacing w:val="14"/>
              </w:rPr>
              <w:t>加油站采用埋地式储油罐，汽油卸油、加油</w:t>
            </w:r>
            <w:r>
              <w:rPr>
                <w:spacing w:val="13"/>
              </w:rPr>
              <w:t>及储油过程中分别设</w:t>
            </w:r>
            <w:r>
              <w:rPr>
                <w:spacing w:val="8"/>
              </w:rPr>
              <w:t>置一次、二次和三次油气回收系统，其中三次油气回收系统采用冷凝</w:t>
            </w:r>
            <w:r>
              <w:rPr>
                <w:rFonts w:ascii="Times New Roman" w:hAnsi="Times New Roman" w:eastAsia="Times New Roman" w:cs="Times New Roman"/>
                <w:spacing w:val="8"/>
              </w:rPr>
              <w:t>+</w:t>
            </w:r>
            <w:r>
              <w:rPr>
                <w:spacing w:val="9"/>
              </w:rPr>
              <w:t>膜分离等技术，分别属于《排污许可证申请与核发技术规范 储油库、</w:t>
            </w:r>
            <w:r>
              <w:rPr>
                <w:spacing w:val="5"/>
              </w:rPr>
              <w:t>加油站》（</w:t>
            </w:r>
            <w:r>
              <w:rPr>
                <w:rFonts w:ascii="Times New Roman" w:hAnsi="Times New Roman" w:eastAsia="Times New Roman" w:cs="Times New Roman"/>
              </w:rPr>
              <w:t>HJ</w:t>
            </w:r>
            <w:r>
              <w:rPr>
                <w:rFonts w:ascii="Times New Roman" w:hAnsi="Times New Roman" w:eastAsia="Times New Roman" w:cs="Times New Roman"/>
                <w:spacing w:val="5"/>
              </w:rPr>
              <w:t>1118-2020</w:t>
            </w:r>
            <w:r>
              <w:rPr>
                <w:spacing w:val="5"/>
              </w:rPr>
              <w:t>）表</w:t>
            </w:r>
            <w:r>
              <w:rPr>
                <w:spacing w:val="-34"/>
              </w:rPr>
              <w:t xml:space="preserve"> </w:t>
            </w:r>
            <w:r>
              <w:rPr>
                <w:rFonts w:ascii="Times New Roman" w:hAnsi="Times New Roman" w:eastAsia="Times New Roman" w:cs="Times New Roman"/>
                <w:spacing w:val="5"/>
              </w:rPr>
              <w:t xml:space="preserve">7 </w:t>
            </w:r>
            <w:r>
              <w:rPr>
                <w:spacing w:val="5"/>
              </w:rPr>
              <w:t>推荐污染治理工艺“汽油储罐</w:t>
            </w:r>
            <w:r>
              <w:rPr>
                <w:rFonts w:ascii="Times New Roman" w:hAnsi="Times New Roman" w:eastAsia="Times New Roman" w:cs="Times New Roman"/>
                <w:spacing w:val="5"/>
              </w:rPr>
              <w:t>-</w:t>
            </w:r>
            <w:r>
              <w:rPr>
                <w:spacing w:val="5"/>
              </w:rPr>
              <w:t>卸油油气</w:t>
            </w:r>
            <w:r>
              <w:rPr>
                <w:spacing w:val="10"/>
              </w:rPr>
              <w:t>回收系统</w:t>
            </w:r>
            <w:r>
              <w:rPr>
                <w:rFonts w:ascii="Times New Roman" w:hAnsi="Times New Roman" w:eastAsia="Times New Roman" w:cs="Times New Roman"/>
                <w:spacing w:val="10"/>
              </w:rPr>
              <w:t>-</w:t>
            </w:r>
            <w:r>
              <w:rPr>
                <w:spacing w:val="10"/>
              </w:rPr>
              <w:t>油气平衡</w:t>
            </w:r>
            <w:r>
              <w:rPr>
                <w:spacing w:val="-79"/>
              </w:rPr>
              <w:t xml:space="preserve"> </w:t>
            </w:r>
            <w:r>
              <w:rPr>
                <w:spacing w:val="10"/>
              </w:rPr>
              <w:t>”、“汽油加油枪</w:t>
            </w:r>
            <w:r>
              <w:rPr>
                <w:rFonts w:ascii="Times New Roman" w:hAnsi="Times New Roman" w:eastAsia="Times New Roman" w:cs="Times New Roman"/>
                <w:spacing w:val="10"/>
              </w:rPr>
              <w:t>-</w:t>
            </w:r>
            <w:r>
              <w:rPr>
                <w:spacing w:val="10"/>
              </w:rPr>
              <w:t>加油油气</w:t>
            </w:r>
            <w:r>
              <w:rPr>
                <w:rFonts w:ascii="Times New Roman" w:hAnsi="Times New Roman" w:eastAsia="Times New Roman" w:cs="Times New Roman"/>
                <w:spacing w:val="10"/>
              </w:rPr>
              <w:t>-</w:t>
            </w:r>
            <w:r>
              <w:rPr>
                <w:spacing w:val="10"/>
              </w:rPr>
              <w:t>油气回收</w:t>
            </w:r>
            <w:r>
              <w:rPr>
                <w:spacing w:val="-88"/>
              </w:rPr>
              <w:t xml:space="preserve"> </w:t>
            </w:r>
            <w:r>
              <w:rPr>
                <w:spacing w:val="10"/>
              </w:rPr>
              <w:t>”及“汽油</w:t>
            </w:r>
            <w:r>
              <w:rPr>
                <w:spacing w:val="6"/>
              </w:rPr>
              <w:t>储罐</w:t>
            </w:r>
            <w:r>
              <w:rPr>
                <w:rFonts w:ascii="Times New Roman" w:hAnsi="Times New Roman" w:eastAsia="Times New Roman" w:cs="Times New Roman"/>
                <w:spacing w:val="6"/>
              </w:rPr>
              <w:t>-</w:t>
            </w:r>
            <w:r>
              <w:rPr>
                <w:spacing w:val="6"/>
              </w:rPr>
              <w:t>油气处理装置</w:t>
            </w:r>
            <w:r>
              <w:rPr>
                <w:rFonts w:ascii="Times New Roman" w:hAnsi="Times New Roman" w:eastAsia="Times New Roman" w:cs="Times New Roman"/>
                <w:spacing w:val="6"/>
              </w:rPr>
              <w:t>-</w:t>
            </w:r>
            <w:r>
              <w:rPr>
                <w:spacing w:val="6"/>
              </w:rPr>
              <w:t>吸附、膜分离或组合技术</w:t>
            </w:r>
            <w:r>
              <w:rPr>
                <w:spacing w:val="-81"/>
              </w:rPr>
              <w:t xml:space="preserve"> </w:t>
            </w:r>
            <w:r>
              <w:rPr>
                <w:spacing w:val="6"/>
              </w:rPr>
              <w:t>”，属于废气治理可行性</w:t>
            </w:r>
            <w:r>
              <w:rPr>
                <w:spacing w:val="3"/>
              </w:rPr>
              <w:t>技术。</w:t>
            </w:r>
          </w:p>
          <w:p w14:paraId="68341119">
            <w:pPr>
              <w:pStyle w:val="6"/>
              <w:spacing w:before="4" w:line="339" w:lineRule="auto"/>
              <w:ind w:left="113" w:right="101" w:firstLine="540"/>
              <w:jc w:val="both"/>
            </w:pPr>
            <w:r>
              <w:rPr>
                <w:spacing w:val="13"/>
              </w:rPr>
              <w:t>同时，站内已设置油气回收在线监测系统：在线</w:t>
            </w:r>
            <w:r>
              <w:rPr>
                <w:spacing w:val="12"/>
              </w:rPr>
              <w:t>监测加油油气回</w:t>
            </w:r>
            <w:r>
              <w:rPr>
                <w:spacing w:val="13"/>
              </w:rPr>
              <w:t>收过程中的气液比以及油气回收系统的密闭性，当油气回收系统处非正常工作状态时，监测系统将发出警告，若在警告期间内仍未采取处</w:t>
            </w:r>
            <w:r>
              <w:rPr>
                <w:spacing w:val="7"/>
              </w:rPr>
              <w:t>理措施，系统将报警。</w:t>
            </w:r>
          </w:p>
          <w:p w14:paraId="51AD768E">
            <w:pPr>
              <w:pStyle w:val="6"/>
              <w:spacing w:before="3" w:line="339" w:lineRule="auto"/>
              <w:ind w:left="109" w:right="101" w:firstLine="523"/>
              <w:jc w:val="both"/>
            </w:pPr>
            <w:r>
              <w:rPr>
                <w:spacing w:val="13"/>
              </w:rPr>
              <w:t>项目在营运过程中，汽车低速进出加油站，加油时车辆处于停止状态，期间产生的进出站汽车尾气较小，对外环境影响较小；生化池臭气经地埋式封闭管理，并加强绿化，对外环境影响较小；柴油发电机为应急备用电源，使用频次少，污染物产生量小，且产生的废气通</w:t>
            </w:r>
            <w:r>
              <w:rPr>
                <w:spacing w:val="9"/>
              </w:rPr>
              <w:t>过专用管道引至屋外排放，对外环境影响较</w:t>
            </w:r>
            <w:r>
              <w:rPr>
                <w:spacing w:val="8"/>
              </w:rPr>
              <w:t>小。</w:t>
            </w:r>
          </w:p>
          <w:p w14:paraId="632A8378">
            <w:pPr>
              <w:pStyle w:val="6"/>
              <w:spacing w:line="227" w:lineRule="auto"/>
              <w:ind w:left="640"/>
            </w:pPr>
            <w:r>
              <w:rPr>
                <w:spacing w:val="6"/>
              </w:rPr>
              <w:t>（</w:t>
            </w:r>
            <w:r>
              <w:rPr>
                <w:rFonts w:ascii="Times New Roman" w:hAnsi="Times New Roman" w:eastAsia="Times New Roman" w:cs="Times New Roman"/>
                <w:spacing w:val="6"/>
              </w:rPr>
              <w:t>3</w:t>
            </w:r>
            <w:r>
              <w:rPr>
                <w:spacing w:val="6"/>
              </w:rPr>
              <w:t>）监测要求</w:t>
            </w:r>
          </w:p>
          <w:p w14:paraId="39C4DCA4">
            <w:pPr>
              <w:pStyle w:val="6"/>
              <w:spacing w:before="150" w:line="340" w:lineRule="auto"/>
              <w:ind w:left="110" w:right="16" w:firstLine="518"/>
            </w:pPr>
            <w:r>
              <w:rPr>
                <w:spacing w:val="10"/>
              </w:rPr>
              <w:t>根据《排污单位自行监测技术指南总则》</w:t>
            </w:r>
            <w:r>
              <w:rPr>
                <w:spacing w:val="-90"/>
              </w:rPr>
              <w:t xml:space="preserve"> </w:t>
            </w:r>
            <w:r>
              <w:rPr>
                <w:spacing w:val="10"/>
              </w:rPr>
              <w:t>（</w:t>
            </w:r>
            <w:r>
              <w:rPr>
                <w:rFonts w:ascii="Times New Roman" w:hAnsi="Times New Roman" w:eastAsia="Times New Roman" w:cs="Times New Roman"/>
              </w:rPr>
              <w:t>HJ</w:t>
            </w:r>
            <w:r>
              <w:rPr>
                <w:rFonts w:ascii="Times New Roman" w:hAnsi="Times New Roman" w:eastAsia="Times New Roman" w:cs="Times New Roman"/>
                <w:spacing w:val="10"/>
              </w:rPr>
              <w:t>819-2017</w:t>
            </w:r>
            <w:r>
              <w:rPr>
                <w:spacing w:val="10"/>
              </w:rPr>
              <w:t>）</w:t>
            </w:r>
            <w:r>
              <w:rPr>
                <w:spacing w:val="-74"/>
              </w:rPr>
              <w:t xml:space="preserve"> </w:t>
            </w:r>
            <w:r>
              <w:rPr>
                <w:spacing w:val="10"/>
              </w:rPr>
              <w:t>、《排</w:t>
            </w:r>
            <w:r>
              <w:rPr>
                <w:spacing w:val="2"/>
              </w:rPr>
              <w:t>污单位自行监测技术指南 储油库、加油站》（</w:t>
            </w:r>
            <w:r>
              <w:rPr>
                <w:rFonts w:ascii="Times New Roman" w:hAnsi="Times New Roman" w:eastAsia="Times New Roman" w:cs="Times New Roman"/>
              </w:rPr>
              <w:t>HJ</w:t>
            </w:r>
            <w:r>
              <w:rPr>
                <w:rFonts w:ascii="Times New Roman" w:hAnsi="Times New Roman" w:eastAsia="Times New Roman" w:cs="Times New Roman"/>
                <w:spacing w:val="35"/>
                <w:w w:val="101"/>
              </w:rPr>
              <w:t xml:space="preserve"> </w:t>
            </w:r>
            <w:r>
              <w:rPr>
                <w:rFonts w:ascii="Times New Roman" w:hAnsi="Times New Roman" w:eastAsia="Times New Roman" w:cs="Times New Roman"/>
                <w:spacing w:val="2"/>
              </w:rPr>
              <w:t>1249-2022</w:t>
            </w:r>
            <w:r>
              <w:rPr>
                <w:spacing w:val="2"/>
              </w:rPr>
              <w:t>）以</w:t>
            </w:r>
            <w:r>
              <w:rPr>
                <w:spacing w:val="1"/>
              </w:rPr>
              <w:t>及《排</w:t>
            </w:r>
            <w:r>
              <w:rPr>
                <w:spacing w:val="5"/>
              </w:rPr>
              <w:t>污许可证申请与核发技术规范储油库、加油站》（</w:t>
            </w:r>
            <w:r>
              <w:rPr>
                <w:rFonts w:ascii="Times New Roman" w:hAnsi="Times New Roman" w:eastAsia="Times New Roman" w:cs="Times New Roman"/>
              </w:rPr>
              <w:t>HJ</w:t>
            </w:r>
            <w:r>
              <w:rPr>
                <w:rFonts w:ascii="Times New Roman" w:hAnsi="Times New Roman" w:eastAsia="Times New Roman" w:cs="Times New Roman"/>
                <w:spacing w:val="35"/>
                <w:w w:val="101"/>
              </w:rPr>
              <w:t xml:space="preserve"> </w:t>
            </w:r>
            <w:r>
              <w:rPr>
                <w:rFonts w:ascii="Times New Roman" w:hAnsi="Times New Roman" w:eastAsia="Times New Roman" w:cs="Times New Roman"/>
                <w:spacing w:val="5"/>
              </w:rPr>
              <w:t>1118-2020</w:t>
            </w:r>
            <w:r>
              <w:rPr>
                <w:spacing w:val="16"/>
              </w:rPr>
              <w:t>），</w:t>
            </w:r>
            <w:r>
              <w:rPr>
                <w:spacing w:val="5"/>
              </w:rPr>
              <w:t>同</w:t>
            </w:r>
            <w:r>
              <w:rPr>
                <w:spacing w:val="38"/>
              </w:rPr>
              <w:t>时参照站内现有工程已核发的</w:t>
            </w:r>
            <w:r>
              <w:rPr>
                <w:spacing w:val="-72"/>
              </w:rPr>
              <w:t xml:space="preserve"> </w:t>
            </w:r>
            <w:r>
              <w:rPr>
                <w:spacing w:val="38"/>
              </w:rPr>
              <w:t>《</w:t>
            </w:r>
            <w:r>
              <w:rPr>
                <w:spacing w:val="-41"/>
              </w:rPr>
              <w:t xml:space="preserve"> </w:t>
            </w:r>
            <w:r>
              <w:rPr>
                <w:spacing w:val="38"/>
              </w:rPr>
              <w:t>排污许可证</w:t>
            </w:r>
            <w:r>
              <w:rPr>
                <w:spacing w:val="-55"/>
              </w:rPr>
              <w:t xml:space="preserve"> </w:t>
            </w:r>
            <w:r>
              <w:rPr>
                <w:spacing w:val="38"/>
              </w:rPr>
              <w:t>》</w:t>
            </w:r>
            <w:r>
              <w:rPr>
                <w:spacing w:val="-67"/>
              </w:rPr>
              <w:t xml:space="preserve"> </w:t>
            </w:r>
            <w:r>
              <w:rPr>
                <w:spacing w:val="38"/>
              </w:rPr>
              <w:t>（</w:t>
            </w:r>
            <w:r>
              <w:rPr>
                <w:spacing w:val="-29"/>
              </w:rPr>
              <w:t xml:space="preserve"> </w:t>
            </w:r>
            <w:r>
              <w:rPr>
                <w:spacing w:val="38"/>
              </w:rPr>
              <w:t>证书</w:t>
            </w:r>
            <w:r>
              <w:rPr>
                <w:spacing w:val="37"/>
              </w:rPr>
              <w:t>编号</w:t>
            </w:r>
            <w:r>
              <w:rPr>
                <w:spacing w:val="-47"/>
              </w:rPr>
              <w:t xml:space="preserve"> </w:t>
            </w:r>
            <w:r>
              <w:rPr>
                <w:spacing w:val="37"/>
              </w:rPr>
              <w:t>：</w:t>
            </w:r>
            <w:r>
              <w:t xml:space="preserve"> </w:t>
            </w:r>
            <w:r>
              <w:rPr>
                <w:rFonts w:ascii="Times New Roman" w:hAnsi="Times New Roman" w:eastAsia="Times New Roman" w:cs="Times New Roman"/>
                <w:spacing w:val="2"/>
              </w:rPr>
              <w:t>915000000542997817001Q</w:t>
            </w:r>
            <w:r>
              <w:rPr>
                <w:spacing w:val="2"/>
              </w:rPr>
              <w:t>）相关要求，营运期废气监测要求见表</w:t>
            </w:r>
            <w:r>
              <w:rPr>
                <w:spacing w:val="-53"/>
              </w:rPr>
              <w:t xml:space="preserve"> </w:t>
            </w:r>
            <w:r>
              <w:rPr>
                <w:rFonts w:ascii="Times New Roman" w:hAnsi="Times New Roman" w:eastAsia="Times New Roman" w:cs="Times New Roman"/>
                <w:spacing w:val="2"/>
              </w:rPr>
              <w:t>4.2-6</w:t>
            </w:r>
            <w:r>
              <w:rPr>
                <w:spacing w:val="2"/>
              </w:rPr>
              <w:t>。</w:t>
            </w:r>
          </w:p>
          <w:p w14:paraId="332331CB">
            <w:pPr>
              <w:pStyle w:val="6"/>
              <w:spacing w:before="1" w:line="219" w:lineRule="auto"/>
              <w:ind w:left="627"/>
            </w:pPr>
            <w:r>
              <w:rPr>
                <w:spacing w:val="7"/>
              </w:rPr>
              <w:t>表</w:t>
            </w:r>
            <w:r>
              <w:rPr>
                <w:spacing w:val="-41"/>
              </w:rPr>
              <w:t xml:space="preserve"> </w:t>
            </w:r>
            <w:r>
              <w:rPr>
                <w:rFonts w:ascii="Times New Roman" w:hAnsi="Times New Roman" w:eastAsia="Times New Roman" w:cs="Times New Roman"/>
                <w:spacing w:val="7"/>
              </w:rPr>
              <w:t xml:space="preserve">4.2-6    </w:t>
            </w:r>
            <w:r>
              <w:rPr>
                <w:spacing w:val="7"/>
              </w:rPr>
              <w:t>运营期环境监测要求（简化管理、非重点排污单位）</w:t>
            </w:r>
          </w:p>
        </w:tc>
      </w:tr>
      <w:tr w14:paraId="4AA67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58" w:type="dxa"/>
            <w:vMerge w:val="continue"/>
            <w:tcBorders>
              <w:top w:val="nil"/>
              <w:left w:val="single" w:color="000000" w:sz="6" w:space="0"/>
              <w:bottom w:val="nil"/>
            </w:tcBorders>
            <w:vAlign w:val="top"/>
          </w:tcPr>
          <w:p w14:paraId="07750686">
            <w:pPr>
              <w:rPr>
                <w:rFonts w:ascii="Arial"/>
                <w:sz w:val="21"/>
              </w:rPr>
            </w:pPr>
          </w:p>
        </w:tc>
        <w:tc>
          <w:tcPr>
            <w:tcW w:w="113" w:type="dxa"/>
            <w:tcBorders>
              <w:top w:val="nil"/>
              <w:bottom w:val="nil"/>
            </w:tcBorders>
            <w:vAlign w:val="top"/>
          </w:tcPr>
          <w:p w14:paraId="1F7F09B5">
            <w:pPr>
              <w:rPr>
                <w:rFonts w:ascii="Arial"/>
                <w:sz w:val="21"/>
              </w:rPr>
            </w:pPr>
          </w:p>
        </w:tc>
        <w:tc>
          <w:tcPr>
            <w:tcW w:w="623" w:type="dxa"/>
            <w:vAlign w:val="top"/>
          </w:tcPr>
          <w:p w14:paraId="1632380C">
            <w:pPr>
              <w:pStyle w:val="6"/>
              <w:spacing w:before="63" w:line="222" w:lineRule="auto"/>
              <w:ind w:left="92"/>
              <w:rPr>
                <w:sz w:val="22"/>
                <w:szCs w:val="22"/>
              </w:rPr>
            </w:pPr>
            <w:r>
              <w:rPr>
                <w:spacing w:val="-4"/>
                <w:sz w:val="22"/>
                <w:szCs w:val="22"/>
              </w:rPr>
              <w:t>监测</w:t>
            </w:r>
          </w:p>
          <w:p w14:paraId="14A89180">
            <w:pPr>
              <w:pStyle w:val="6"/>
              <w:spacing w:before="36" w:line="193" w:lineRule="auto"/>
              <w:ind w:left="90"/>
              <w:rPr>
                <w:sz w:val="22"/>
                <w:szCs w:val="22"/>
              </w:rPr>
            </w:pPr>
            <w:r>
              <w:rPr>
                <w:spacing w:val="-3"/>
                <w:sz w:val="22"/>
                <w:szCs w:val="22"/>
              </w:rPr>
              <w:t>对象</w:t>
            </w:r>
          </w:p>
        </w:tc>
        <w:tc>
          <w:tcPr>
            <w:tcW w:w="1454" w:type="dxa"/>
            <w:vAlign w:val="top"/>
          </w:tcPr>
          <w:p w14:paraId="3D0A516D">
            <w:pPr>
              <w:pStyle w:val="6"/>
              <w:spacing w:before="214" w:line="222" w:lineRule="auto"/>
              <w:ind w:left="290"/>
              <w:rPr>
                <w:sz w:val="22"/>
                <w:szCs w:val="22"/>
              </w:rPr>
            </w:pPr>
            <w:r>
              <w:rPr>
                <w:spacing w:val="-3"/>
                <w:sz w:val="22"/>
                <w:szCs w:val="22"/>
              </w:rPr>
              <w:t>监测点位</w:t>
            </w:r>
          </w:p>
        </w:tc>
        <w:tc>
          <w:tcPr>
            <w:tcW w:w="1538" w:type="dxa"/>
            <w:vAlign w:val="top"/>
          </w:tcPr>
          <w:p w14:paraId="097E228E">
            <w:pPr>
              <w:pStyle w:val="6"/>
              <w:spacing w:before="214" w:line="221" w:lineRule="auto"/>
              <w:ind w:left="334"/>
              <w:rPr>
                <w:sz w:val="22"/>
                <w:szCs w:val="22"/>
              </w:rPr>
            </w:pPr>
            <w:r>
              <w:rPr>
                <w:spacing w:val="-3"/>
                <w:sz w:val="22"/>
                <w:szCs w:val="22"/>
              </w:rPr>
              <w:t>监测因子</w:t>
            </w:r>
          </w:p>
        </w:tc>
        <w:tc>
          <w:tcPr>
            <w:tcW w:w="851" w:type="dxa"/>
            <w:vAlign w:val="top"/>
          </w:tcPr>
          <w:p w14:paraId="21C269D4">
            <w:pPr>
              <w:pStyle w:val="6"/>
              <w:spacing w:before="63" w:line="220" w:lineRule="auto"/>
              <w:ind w:left="102"/>
              <w:rPr>
                <w:sz w:val="22"/>
                <w:szCs w:val="22"/>
              </w:rPr>
            </w:pPr>
            <w:r>
              <w:rPr>
                <w:spacing w:val="-2"/>
                <w:sz w:val="22"/>
                <w:szCs w:val="22"/>
              </w:rPr>
              <w:t>验收监</w:t>
            </w:r>
          </w:p>
          <w:p w14:paraId="10922660">
            <w:pPr>
              <w:pStyle w:val="6"/>
              <w:spacing w:before="38" w:line="193" w:lineRule="auto"/>
              <w:ind w:left="104"/>
              <w:rPr>
                <w:sz w:val="22"/>
                <w:szCs w:val="22"/>
              </w:rPr>
            </w:pPr>
            <w:r>
              <w:rPr>
                <w:spacing w:val="-3"/>
                <w:sz w:val="22"/>
                <w:szCs w:val="22"/>
              </w:rPr>
              <w:t>测频次</w:t>
            </w:r>
          </w:p>
        </w:tc>
        <w:tc>
          <w:tcPr>
            <w:tcW w:w="901" w:type="dxa"/>
            <w:vAlign w:val="top"/>
          </w:tcPr>
          <w:p w14:paraId="287DC4D8">
            <w:pPr>
              <w:pStyle w:val="6"/>
              <w:spacing w:before="62" w:line="223" w:lineRule="auto"/>
              <w:ind w:left="239" w:right="5" w:hanging="185"/>
              <w:rPr>
                <w:sz w:val="22"/>
                <w:szCs w:val="22"/>
              </w:rPr>
            </w:pPr>
            <w:r>
              <w:rPr>
                <w:spacing w:val="-11"/>
                <w:sz w:val="22"/>
                <w:szCs w:val="22"/>
              </w:rPr>
              <w:t>自行监测</w:t>
            </w:r>
            <w:r>
              <w:rPr>
                <w:spacing w:val="-4"/>
                <w:sz w:val="22"/>
                <w:szCs w:val="22"/>
              </w:rPr>
              <w:t>频次</w:t>
            </w:r>
          </w:p>
        </w:tc>
        <w:tc>
          <w:tcPr>
            <w:tcW w:w="2525" w:type="dxa"/>
            <w:vAlign w:val="top"/>
          </w:tcPr>
          <w:p w14:paraId="4BB998D1">
            <w:pPr>
              <w:pStyle w:val="6"/>
              <w:spacing w:before="214" w:line="220" w:lineRule="auto"/>
              <w:ind w:left="832"/>
              <w:rPr>
                <w:sz w:val="22"/>
                <w:szCs w:val="22"/>
              </w:rPr>
            </w:pPr>
            <w:r>
              <w:rPr>
                <w:spacing w:val="-2"/>
                <w:sz w:val="22"/>
                <w:szCs w:val="22"/>
              </w:rPr>
              <w:t>执行标准</w:t>
            </w:r>
          </w:p>
        </w:tc>
        <w:tc>
          <w:tcPr>
            <w:tcW w:w="122" w:type="dxa"/>
            <w:tcBorders>
              <w:top w:val="nil"/>
              <w:bottom w:val="nil"/>
              <w:right w:val="single" w:color="000000" w:sz="6" w:space="0"/>
            </w:tcBorders>
            <w:vAlign w:val="top"/>
          </w:tcPr>
          <w:p w14:paraId="6C77F29D">
            <w:pPr>
              <w:rPr>
                <w:rFonts w:ascii="Arial"/>
                <w:sz w:val="21"/>
              </w:rPr>
            </w:pPr>
          </w:p>
        </w:tc>
      </w:tr>
      <w:tr w14:paraId="266A8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858" w:type="dxa"/>
            <w:vMerge w:val="continue"/>
            <w:tcBorders>
              <w:top w:val="nil"/>
              <w:left w:val="single" w:color="000000" w:sz="6" w:space="0"/>
              <w:bottom w:val="nil"/>
            </w:tcBorders>
            <w:vAlign w:val="top"/>
          </w:tcPr>
          <w:p w14:paraId="1230CABE">
            <w:pPr>
              <w:rPr>
                <w:rFonts w:ascii="Arial"/>
                <w:sz w:val="21"/>
              </w:rPr>
            </w:pPr>
          </w:p>
        </w:tc>
        <w:tc>
          <w:tcPr>
            <w:tcW w:w="113" w:type="dxa"/>
            <w:tcBorders>
              <w:top w:val="nil"/>
              <w:bottom w:val="nil"/>
            </w:tcBorders>
            <w:vAlign w:val="top"/>
          </w:tcPr>
          <w:p w14:paraId="7B628D5D">
            <w:pPr>
              <w:rPr>
                <w:rFonts w:ascii="Arial"/>
                <w:sz w:val="21"/>
              </w:rPr>
            </w:pPr>
          </w:p>
        </w:tc>
        <w:tc>
          <w:tcPr>
            <w:tcW w:w="623" w:type="dxa"/>
            <w:vMerge w:val="restart"/>
            <w:tcBorders>
              <w:bottom w:val="nil"/>
            </w:tcBorders>
            <w:vAlign w:val="top"/>
          </w:tcPr>
          <w:p w14:paraId="708335C0">
            <w:pPr>
              <w:spacing w:line="296" w:lineRule="auto"/>
              <w:rPr>
                <w:rFonts w:ascii="Arial"/>
                <w:sz w:val="21"/>
              </w:rPr>
            </w:pPr>
          </w:p>
          <w:p w14:paraId="0D10A2E3">
            <w:pPr>
              <w:pStyle w:val="6"/>
              <w:spacing w:before="72" w:line="254" w:lineRule="auto"/>
              <w:ind w:left="90" w:right="93"/>
              <w:rPr>
                <w:sz w:val="22"/>
                <w:szCs w:val="22"/>
              </w:rPr>
            </w:pPr>
            <w:r>
              <w:rPr>
                <w:spacing w:val="-3"/>
                <w:sz w:val="22"/>
                <w:szCs w:val="22"/>
              </w:rPr>
              <w:t>废气</w:t>
            </w:r>
            <w:r>
              <w:rPr>
                <w:spacing w:val="-4"/>
                <w:sz w:val="22"/>
                <w:szCs w:val="22"/>
              </w:rPr>
              <w:t>排放</w:t>
            </w:r>
          </w:p>
        </w:tc>
        <w:tc>
          <w:tcPr>
            <w:tcW w:w="1454" w:type="dxa"/>
            <w:vAlign w:val="top"/>
          </w:tcPr>
          <w:p w14:paraId="333B1861">
            <w:pPr>
              <w:pStyle w:val="6"/>
              <w:spacing w:before="65" w:line="221" w:lineRule="auto"/>
              <w:ind w:left="399" w:right="68" w:hanging="327"/>
              <w:rPr>
                <w:sz w:val="22"/>
                <w:szCs w:val="22"/>
              </w:rPr>
            </w:pPr>
            <w:r>
              <w:rPr>
                <w:spacing w:val="-2"/>
                <w:sz w:val="22"/>
                <w:szCs w:val="22"/>
              </w:rPr>
              <w:t>油气处理装置</w:t>
            </w:r>
            <w:r>
              <w:rPr>
                <w:spacing w:val="-3"/>
                <w:sz w:val="22"/>
                <w:szCs w:val="22"/>
              </w:rPr>
              <w:t>排气筒</w:t>
            </w:r>
          </w:p>
        </w:tc>
        <w:tc>
          <w:tcPr>
            <w:tcW w:w="1538" w:type="dxa"/>
            <w:vAlign w:val="top"/>
          </w:tcPr>
          <w:p w14:paraId="159BC01C">
            <w:pPr>
              <w:pStyle w:val="6"/>
              <w:spacing w:before="215" w:line="219" w:lineRule="auto"/>
              <w:ind w:left="111"/>
              <w:rPr>
                <w:sz w:val="22"/>
                <w:szCs w:val="22"/>
              </w:rPr>
            </w:pPr>
            <w:r>
              <w:rPr>
                <w:spacing w:val="-1"/>
                <w:sz w:val="22"/>
                <w:szCs w:val="22"/>
              </w:rPr>
              <w:t>挥发性有机物</w:t>
            </w:r>
          </w:p>
        </w:tc>
        <w:tc>
          <w:tcPr>
            <w:tcW w:w="851" w:type="dxa"/>
            <w:vAlign w:val="top"/>
          </w:tcPr>
          <w:p w14:paraId="33B5EFB5">
            <w:pPr>
              <w:pStyle w:val="6"/>
              <w:spacing w:before="215" w:line="220" w:lineRule="auto"/>
              <w:ind w:left="283"/>
              <w:rPr>
                <w:sz w:val="22"/>
                <w:szCs w:val="22"/>
              </w:rPr>
            </w:pPr>
            <w:r>
              <w:rPr>
                <w:rFonts w:ascii="Times New Roman" w:hAnsi="Times New Roman" w:eastAsia="Times New Roman" w:cs="Times New Roman"/>
                <w:spacing w:val="-13"/>
                <w:sz w:val="22"/>
                <w:szCs w:val="22"/>
              </w:rPr>
              <w:t>1</w:t>
            </w:r>
            <w:r>
              <w:rPr>
                <w:spacing w:val="-13"/>
                <w:sz w:val="22"/>
                <w:szCs w:val="22"/>
              </w:rPr>
              <w:t>次</w:t>
            </w:r>
          </w:p>
        </w:tc>
        <w:tc>
          <w:tcPr>
            <w:tcW w:w="901" w:type="dxa"/>
            <w:vAlign w:val="top"/>
          </w:tcPr>
          <w:p w14:paraId="4474BDCE">
            <w:pPr>
              <w:pStyle w:val="6"/>
              <w:spacing w:before="215" w:line="220" w:lineRule="auto"/>
              <w:ind w:left="169"/>
              <w:rPr>
                <w:sz w:val="22"/>
                <w:szCs w:val="22"/>
              </w:rPr>
            </w:pPr>
            <w:r>
              <w:rPr>
                <w:rFonts w:ascii="Times New Roman" w:hAnsi="Times New Roman" w:eastAsia="Times New Roman" w:cs="Times New Roman"/>
                <w:spacing w:val="-6"/>
                <w:sz w:val="22"/>
                <w:szCs w:val="22"/>
              </w:rPr>
              <w:t>1</w:t>
            </w:r>
            <w:r>
              <w:rPr>
                <w:spacing w:val="-6"/>
                <w:sz w:val="22"/>
                <w:szCs w:val="22"/>
              </w:rPr>
              <w:t>次</w:t>
            </w:r>
            <w:r>
              <w:rPr>
                <w:rFonts w:ascii="Times New Roman" w:hAnsi="Times New Roman" w:eastAsia="Times New Roman" w:cs="Times New Roman"/>
                <w:spacing w:val="-6"/>
                <w:sz w:val="22"/>
                <w:szCs w:val="22"/>
              </w:rPr>
              <w:t>/</w:t>
            </w:r>
            <w:r>
              <w:rPr>
                <w:spacing w:val="-6"/>
                <w:sz w:val="22"/>
                <w:szCs w:val="22"/>
              </w:rPr>
              <w:t>年</w:t>
            </w:r>
          </w:p>
        </w:tc>
        <w:tc>
          <w:tcPr>
            <w:tcW w:w="2525" w:type="dxa"/>
            <w:vMerge w:val="restart"/>
            <w:tcBorders>
              <w:bottom w:val="nil"/>
            </w:tcBorders>
            <w:vAlign w:val="top"/>
          </w:tcPr>
          <w:p w14:paraId="56C7F4A7">
            <w:pPr>
              <w:pStyle w:val="6"/>
              <w:spacing w:before="80" w:line="221" w:lineRule="auto"/>
              <w:ind w:left="63"/>
              <w:rPr>
                <w:sz w:val="22"/>
                <w:szCs w:val="22"/>
              </w:rPr>
            </w:pPr>
            <w:r>
              <w:rPr>
                <w:spacing w:val="-1"/>
                <w:sz w:val="22"/>
                <w:szCs w:val="22"/>
              </w:rPr>
              <w:t>《加油站大气污染物排放</w:t>
            </w:r>
          </w:p>
          <w:p w14:paraId="50670FC9">
            <w:pPr>
              <w:pStyle w:val="6"/>
              <w:spacing w:before="19" w:line="221" w:lineRule="auto"/>
              <w:jc w:val="right"/>
              <w:rPr>
                <w:sz w:val="22"/>
                <w:szCs w:val="22"/>
              </w:rPr>
            </w:pPr>
            <w:r>
              <w:rPr>
                <w:spacing w:val="-13"/>
                <w:sz w:val="22"/>
                <w:szCs w:val="22"/>
              </w:rPr>
              <w:t>标准》（</w:t>
            </w:r>
            <w:r>
              <w:rPr>
                <w:rFonts w:ascii="Times New Roman" w:hAnsi="Times New Roman" w:eastAsia="Times New Roman" w:cs="Times New Roman"/>
                <w:spacing w:val="-13"/>
                <w:sz w:val="22"/>
                <w:szCs w:val="22"/>
              </w:rPr>
              <w:t>GB 20952-2020</w:t>
            </w:r>
            <w:r>
              <w:rPr>
                <w:spacing w:val="-13"/>
                <w:sz w:val="22"/>
                <w:szCs w:val="22"/>
              </w:rPr>
              <w:t>）、</w:t>
            </w:r>
          </w:p>
          <w:p w14:paraId="14917539">
            <w:pPr>
              <w:pStyle w:val="6"/>
              <w:spacing w:before="22" w:line="219" w:lineRule="auto"/>
              <w:ind w:left="63"/>
              <w:rPr>
                <w:sz w:val="22"/>
                <w:szCs w:val="22"/>
              </w:rPr>
            </w:pPr>
            <w:r>
              <w:rPr>
                <w:spacing w:val="-1"/>
                <w:sz w:val="22"/>
                <w:szCs w:val="22"/>
              </w:rPr>
              <w:t>《挥发性有机物无组织排</w:t>
            </w:r>
          </w:p>
          <w:p w14:paraId="58F85C19">
            <w:pPr>
              <w:pStyle w:val="6"/>
              <w:spacing w:before="24" w:line="221" w:lineRule="auto"/>
              <w:ind w:left="612"/>
              <w:rPr>
                <w:sz w:val="22"/>
                <w:szCs w:val="22"/>
              </w:rPr>
            </w:pPr>
            <w:r>
              <w:rPr>
                <w:spacing w:val="-2"/>
                <w:sz w:val="22"/>
                <w:szCs w:val="22"/>
              </w:rPr>
              <w:t>放控制标准》</w:t>
            </w:r>
          </w:p>
        </w:tc>
        <w:tc>
          <w:tcPr>
            <w:tcW w:w="122" w:type="dxa"/>
            <w:tcBorders>
              <w:top w:val="nil"/>
              <w:bottom w:val="nil"/>
              <w:right w:val="single" w:color="000000" w:sz="6" w:space="0"/>
            </w:tcBorders>
            <w:vAlign w:val="top"/>
          </w:tcPr>
          <w:p w14:paraId="4F0F0120">
            <w:pPr>
              <w:rPr>
                <w:rFonts w:ascii="Arial"/>
                <w:sz w:val="21"/>
              </w:rPr>
            </w:pPr>
          </w:p>
        </w:tc>
      </w:tr>
      <w:tr w14:paraId="2ABF9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858" w:type="dxa"/>
            <w:vMerge w:val="continue"/>
            <w:tcBorders>
              <w:top w:val="nil"/>
              <w:left w:val="single" w:color="000000" w:sz="6" w:space="0"/>
              <w:bottom w:val="single" w:color="000000" w:sz="6" w:space="0"/>
            </w:tcBorders>
            <w:vAlign w:val="top"/>
          </w:tcPr>
          <w:p w14:paraId="584F579A">
            <w:pPr>
              <w:rPr>
                <w:rFonts w:ascii="Arial"/>
                <w:sz w:val="21"/>
              </w:rPr>
            </w:pPr>
          </w:p>
        </w:tc>
        <w:tc>
          <w:tcPr>
            <w:tcW w:w="113" w:type="dxa"/>
            <w:tcBorders>
              <w:top w:val="nil"/>
              <w:bottom w:val="single" w:color="000000" w:sz="6" w:space="0"/>
            </w:tcBorders>
            <w:vAlign w:val="top"/>
          </w:tcPr>
          <w:p w14:paraId="50097AA5">
            <w:pPr>
              <w:rPr>
                <w:rFonts w:ascii="Arial"/>
                <w:sz w:val="21"/>
              </w:rPr>
            </w:pPr>
          </w:p>
        </w:tc>
        <w:tc>
          <w:tcPr>
            <w:tcW w:w="623" w:type="dxa"/>
            <w:vMerge w:val="continue"/>
            <w:tcBorders>
              <w:top w:val="nil"/>
              <w:bottom w:val="single" w:color="000000" w:sz="6" w:space="0"/>
            </w:tcBorders>
            <w:vAlign w:val="top"/>
          </w:tcPr>
          <w:p w14:paraId="1E934EC3">
            <w:pPr>
              <w:rPr>
                <w:rFonts w:ascii="Arial"/>
                <w:sz w:val="21"/>
              </w:rPr>
            </w:pPr>
          </w:p>
        </w:tc>
        <w:tc>
          <w:tcPr>
            <w:tcW w:w="1454" w:type="dxa"/>
            <w:tcBorders>
              <w:bottom w:val="single" w:color="000000" w:sz="6" w:space="0"/>
            </w:tcBorders>
            <w:vAlign w:val="top"/>
          </w:tcPr>
          <w:p w14:paraId="7BC5EC88">
            <w:pPr>
              <w:pStyle w:val="6"/>
              <w:spacing w:before="218" w:line="220" w:lineRule="auto"/>
              <w:ind w:left="72"/>
              <w:rPr>
                <w:sz w:val="22"/>
                <w:szCs w:val="22"/>
              </w:rPr>
            </w:pPr>
            <w:r>
              <w:rPr>
                <w:spacing w:val="-2"/>
                <w:sz w:val="22"/>
                <w:szCs w:val="22"/>
              </w:rPr>
              <w:t>油气回收系统</w:t>
            </w:r>
          </w:p>
        </w:tc>
        <w:tc>
          <w:tcPr>
            <w:tcW w:w="1538" w:type="dxa"/>
            <w:tcBorders>
              <w:bottom w:val="single" w:color="000000" w:sz="6" w:space="0"/>
            </w:tcBorders>
            <w:vAlign w:val="top"/>
          </w:tcPr>
          <w:p w14:paraId="33A6931D">
            <w:pPr>
              <w:pStyle w:val="6"/>
              <w:spacing w:before="68" w:line="235" w:lineRule="auto"/>
              <w:ind w:left="10" w:right="3"/>
              <w:rPr>
                <w:sz w:val="22"/>
                <w:szCs w:val="22"/>
              </w:rPr>
            </w:pPr>
            <w:r>
              <w:rPr>
                <w:spacing w:val="-3"/>
                <w:sz w:val="22"/>
                <w:szCs w:val="22"/>
              </w:rPr>
              <w:t>气液比、液阻、密闭性、泄漏检</w:t>
            </w:r>
          </w:p>
        </w:tc>
        <w:tc>
          <w:tcPr>
            <w:tcW w:w="851" w:type="dxa"/>
            <w:tcBorders>
              <w:bottom w:val="single" w:color="000000" w:sz="6" w:space="0"/>
            </w:tcBorders>
            <w:vAlign w:val="top"/>
          </w:tcPr>
          <w:p w14:paraId="5B3E68BF">
            <w:pPr>
              <w:pStyle w:val="6"/>
              <w:spacing w:before="218" w:line="220" w:lineRule="auto"/>
              <w:ind w:left="283"/>
              <w:rPr>
                <w:sz w:val="22"/>
                <w:szCs w:val="22"/>
              </w:rPr>
            </w:pPr>
            <w:r>
              <w:rPr>
                <w:rFonts w:ascii="Times New Roman" w:hAnsi="Times New Roman" w:eastAsia="Times New Roman" w:cs="Times New Roman"/>
                <w:spacing w:val="-13"/>
                <w:sz w:val="22"/>
                <w:szCs w:val="22"/>
              </w:rPr>
              <w:t>1</w:t>
            </w:r>
            <w:r>
              <w:rPr>
                <w:spacing w:val="-13"/>
                <w:sz w:val="22"/>
                <w:szCs w:val="22"/>
              </w:rPr>
              <w:t>次</w:t>
            </w:r>
          </w:p>
        </w:tc>
        <w:tc>
          <w:tcPr>
            <w:tcW w:w="901" w:type="dxa"/>
            <w:tcBorders>
              <w:bottom w:val="single" w:color="000000" w:sz="6" w:space="0"/>
            </w:tcBorders>
            <w:vAlign w:val="top"/>
          </w:tcPr>
          <w:p w14:paraId="685C8958">
            <w:pPr>
              <w:pStyle w:val="6"/>
              <w:spacing w:before="218" w:line="220" w:lineRule="auto"/>
              <w:ind w:left="169"/>
              <w:rPr>
                <w:sz w:val="22"/>
                <w:szCs w:val="22"/>
              </w:rPr>
            </w:pPr>
            <w:r>
              <w:rPr>
                <w:rFonts w:ascii="Times New Roman" w:hAnsi="Times New Roman" w:eastAsia="Times New Roman" w:cs="Times New Roman"/>
                <w:spacing w:val="-6"/>
                <w:sz w:val="22"/>
                <w:szCs w:val="22"/>
              </w:rPr>
              <w:t>1</w:t>
            </w:r>
            <w:r>
              <w:rPr>
                <w:spacing w:val="-6"/>
                <w:sz w:val="22"/>
                <w:szCs w:val="22"/>
              </w:rPr>
              <w:t>次</w:t>
            </w:r>
            <w:r>
              <w:rPr>
                <w:rFonts w:ascii="Times New Roman" w:hAnsi="Times New Roman" w:eastAsia="Times New Roman" w:cs="Times New Roman"/>
                <w:spacing w:val="-6"/>
                <w:sz w:val="22"/>
                <w:szCs w:val="22"/>
              </w:rPr>
              <w:t>/</w:t>
            </w:r>
            <w:r>
              <w:rPr>
                <w:spacing w:val="-6"/>
                <w:sz w:val="22"/>
                <w:szCs w:val="22"/>
              </w:rPr>
              <w:t>年</w:t>
            </w:r>
          </w:p>
        </w:tc>
        <w:tc>
          <w:tcPr>
            <w:tcW w:w="2525" w:type="dxa"/>
            <w:vMerge w:val="continue"/>
            <w:tcBorders>
              <w:top w:val="nil"/>
              <w:bottom w:val="single" w:color="000000" w:sz="6" w:space="0"/>
            </w:tcBorders>
            <w:vAlign w:val="top"/>
          </w:tcPr>
          <w:p w14:paraId="098031A1">
            <w:pPr>
              <w:rPr>
                <w:rFonts w:ascii="Arial"/>
                <w:sz w:val="21"/>
              </w:rPr>
            </w:pPr>
          </w:p>
        </w:tc>
        <w:tc>
          <w:tcPr>
            <w:tcW w:w="122" w:type="dxa"/>
            <w:tcBorders>
              <w:top w:val="nil"/>
              <w:bottom w:val="single" w:color="000000" w:sz="6" w:space="0"/>
              <w:right w:val="single" w:color="000000" w:sz="6" w:space="0"/>
            </w:tcBorders>
            <w:vAlign w:val="top"/>
          </w:tcPr>
          <w:p w14:paraId="2A713990">
            <w:pPr>
              <w:rPr>
                <w:rFonts w:ascii="Arial"/>
                <w:sz w:val="21"/>
              </w:rPr>
            </w:pPr>
          </w:p>
        </w:tc>
      </w:tr>
    </w:tbl>
    <w:p w14:paraId="737B2E97">
      <w:pPr>
        <w:pStyle w:val="2"/>
        <w:rPr>
          <w:sz w:val="21"/>
        </w:rPr>
      </w:pPr>
    </w:p>
    <w:p w14:paraId="505307B1">
      <w:pPr>
        <w:rPr>
          <w:sz w:val="21"/>
          <w:szCs w:val="21"/>
        </w:rPr>
        <w:sectPr>
          <w:footerReference r:id="rId79" w:type="default"/>
          <w:pgSz w:w="11907" w:h="16840"/>
          <w:pgMar w:top="400" w:right="1453" w:bottom="1008" w:left="1453" w:header="0" w:footer="770" w:gutter="0"/>
          <w:cols w:space="720" w:num="1"/>
        </w:sectPr>
      </w:pPr>
    </w:p>
    <w:p w14:paraId="6741F62D">
      <w:pPr>
        <w:spacing w:before="19"/>
      </w:pPr>
    </w:p>
    <w:p w14:paraId="1D2A58AA">
      <w:pPr>
        <w:spacing w:before="19"/>
      </w:pPr>
    </w:p>
    <w:p w14:paraId="192946C8">
      <w:pPr>
        <w:spacing w:before="19"/>
      </w:pPr>
    </w:p>
    <w:p w14:paraId="253CB51D">
      <w:pPr>
        <w:spacing w:before="18"/>
      </w:pPr>
    </w:p>
    <w:p w14:paraId="18F8723A">
      <w:pPr>
        <w:spacing w:before="18"/>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8"/>
        <w:gridCol w:w="736"/>
        <w:gridCol w:w="1454"/>
        <w:gridCol w:w="1538"/>
        <w:gridCol w:w="851"/>
        <w:gridCol w:w="901"/>
        <w:gridCol w:w="2525"/>
        <w:gridCol w:w="122"/>
      </w:tblGrid>
      <w:tr w14:paraId="123CE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58" w:type="dxa"/>
            <w:vMerge w:val="restart"/>
            <w:tcBorders>
              <w:top w:val="single" w:color="000000" w:sz="6" w:space="0"/>
              <w:left w:val="single" w:color="000000" w:sz="6" w:space="0"/>
              <w:bottom w:val="nil"/>
            </w:tcBorders>
            <w:vAlign w:val="top"/>
          </w:tcPr>
          <w:p w14:paraId="3EF02F3E">
            <w:pPr>
              <w:rPr>
                <w:rFonts w:ascii="Arial"/>
                <w:sz w:val="21"/>
              </w:rPr>
            </w:pPr>
          </w:p>
        </w:tc>
        <w:tc>
          <w:tcPr>
            <w:tcW w:w="736" w:type="dxa"/>
            <w:vMerge w:val="restart"/>
            <w:tcBorders>
              <w:top w:val="single" w:color="000000" w:sz="6" w:space="0"/>
              <w:bottom w:val="nil"/>
            </w:tcBorders>
            <w:vAlign w:val="top"/>
          </w:tcPr>
          <w:p w14:paraId="4C4EC364">
            <w:pPr>
              <w:rPr>
                <w:rFonts w:ascii="Arial"/>
                <w:sz w:val="21"/>
              </w:rPr>
            </w:pPr>
            <w:r>
              <w:pict>
                <v:shape id="_x0000_s1035" o:spid="_x0000_s1035" style="position:absolute;left:0pt;margin-left:5.15pt;margin-top:1pt;height:57.35pt;width:0.5pt;mso-position-horizontal-relative:page;mso-position-vertical-relative:page;z-index:251672576;mso-width-relative:page;mso-height-relative:page;" filled="f" stroked="t" coordsize="10,1146" path="m4,0l4,1146e">
                  <v:fill on="f" focussize="0,0"/>
                  <v:stroke weight="0.48pt" color="#000000" miterlimit="2" joinstyle="bevel"/>
                  <v:imagedata o:title=""/>
                  <o:lock v:ext="edit"/>
                </v:shape>
              </w:pict>
            </w:r>
          </w:p>
        </w:tc>
        <w:tc>
          <w:tcPr>
            <w:tcW w:w="1454" w:type="dxa"/>
            <w:tcBorders>
              <w:top w:val="single" w:color="000000" w:sz="6" w:space="0"/>
            </w:tcBorders>
            <w:vAlign w:val="top"/>
          </w:tcPr>
          <w:p w14:paraId="2324C591">
            <w:pPr>
              <w:rPr>
                <w:rFonts w:ascii="Arial"/>
                <w:sz w:val="21"/>
              </w:rPr>
            </w:pPr>
          </w:p>
        </w:tc>
        <w:tc>
          <w:tcPr>
            <w:tcW w:w="1538" w:type="dxa"/>
            <w:tcBorders>
              <w:top w:val="single" w:color="000000" w:sz="6" w:space="0"/>
            </w:tcBorders>
            <w:vAlign w:val="top"/>
          </w:tcPr>
          <w:p w14:paraId="3CBBEF7E">
            <w:pPr>
              <w:pStyle w:val="6"/>
              <w:spacing w:before="65" w:line="220" w:lineRule="auto"/>
              <w:ind w:left="554"/>
              <w:rPr>
                <w:sz w:val="22"/>
                <w:szCs w:val="22"/>
              </w:rPr>
            </w:pPr>
            <w:r>
              <w:rPr>
                <w:spacing w:val="-4"/>
                <w:sz w:val="22"/>
                <w:szCs w:val="22"/>
              </w:rPr>
              <w:t>测值</w:t>
            </w:r>
          </w:p>
        </w:tc>
        <w:tc>
          <w:tcPr>
            <w:tcW w:w="851" w:type="dxa"/>
            <w:tcBorders>
              <w:top w:val="single" w:color="000000" w:sz="6" w:space="0"/>
            </w:tcBorders>
            <w:vAlign w:val="top"/>
          </w:tcPr>
          <w:p w14:paraId="4C365A22">
            <w:pPr>
              <w:rPr>
                <w:rFonts w:ascii="Arial"/>
                <w:sz w:val="21"/>
              </w:rPr>
            </w:pPr>
          </w:p>
        </w:tc>
        <w:tc>
          <w:tcPr>
            <w:tcW w:w="901" w:type="dxa"/>
            <w:tcBorders>
              <w:top w:val="single" w:color="000000" w:sz="6" w:space="0"/>
            </w:tcBorders>
            <w:vAlign w:val="top"/>
          </w:tcPr>
          <w:p w14:paraId="2CD1FCAB">
            <w:pPr>
              <w:rPr>
                <w:rFonts w:ascii="Arial"/>
                <w:sz w:val="21"/>
              </w:rPr>
            </w:pPr>
          </w:p>
        </w:tc>
        <w:tc>
          <w:tcPr>
            <w:tcW w:w="2525" w:type="dxa"/>
            <w:vMerge w:val="restart"/>
            <w:tcBorders>
              <w:top w:val="single" w:color="000000" w:sz="6" w:space="0"/>
              <w:bottom w:val="nil"/>
            </w:tcBorders>
            <w:vAlign w:val="top"/>
          </w:tcPr>
          <w:p w14:paraId="53C0F553">
            <w:pPr>
              <w:pStyle w:val="6"/>
              <w:spacing w:before="46" w:line="232" w:lineRule="auto"/>
              <w:ind w:left="376"/>
              <w:rPr>
                <w:sz w:val="22"/>
                <w:szCs w:val="22"/>
              </w:rPr>
            </w:pPr>
            <w:r>
              <w:rPr>
                <w:spacing w:val="-2"/>
                <w:sz w:val="22"/>
                <w:szCs w:val="22"/>
              </w:rPr>
              <w:t>（</w:t>
            </w:r>
            <w:r>
              <w:rPr>
                <w:rFonts w:ascii="Times New Roman" w:hAnsi="Times New Roman" w:eastAsia="Times New Roman" w:cs="Times New Roman"/>
                <w:spacing w:val="-2"/>
                <w:sz w:val="22"/>
                <w:szCs w:val="22"/>
              </w:rPr>
              <w:t>GB37822-2019</w:t>
            </w:r>
            <w:r>
              <w:rPr>
                <w:spacing w:val="-2"/>
                <w:sz w:val="22"/>
                <w:szCs w:val="22"/>
              </w:rPr>
              <w:t>）</w:t>
            </w:r>
          </w:p>
        </w:tc>
        <w:tc>
          <w:tcPr>
            <w:tcW w:w="122" w:type="dxa"/>
            <w:vMerge w:val="restart"/>
            <w:tcBorders>
              <w:top w:val="single" w:color="000000" w:sz="6" w:space="0"/>
              <w:bottom w:val="nil"/>
              <w:right w:val="single" w:color="000000" w:sz="6" w:space="0"/>
            </w:tcBorders>
            <w:vAlign w:val="top"/>
          </w:tcPr>
          <w:p w14:paraId="365197A3">
            <w:pPr>
              <w:rPr>
                <w:rFonts w:ascii="Arial"/>
                <w:sz w:val="21"/>
              </w:rPr>
            </w:pPr>
          </w:p>
        </w:tc>
      </w:tr>
      <w:tr w14:paraId="1094B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858" w:type="dxa"/>
            <w:vMerge w:val="continue"/>
            <w:tcBorders>
              <w:top w:val="nil"/>
              <w:left w:val="single" w:color="000000" w:sz="6" w:space="0"/>
              <w:bottom w:val="nil"/>
            </w:tcBorders>
            <w:vAlign w:val="top"/>
          </w:tcPr>
          <w:p w14:paraId="78717717">
            <w:pPr>
              <w:rPr>
                <w:rFonts w:ascii="Arial"/>
                <w:sz w:val="21"/>
              </w:rPr>
            </w:pPr>
          </w:p>
        </w:tc>
        <w:tc>
          <w:tcPr>
            <w:tcW w:w="736" w:type="dxa"/>
            <w:vMerge w:val="continue"/>
            <w:tcBorders>
              <w:top w:val="nil"/>
              <w:bottom w:val="nil"/>
            </w:tcBorders>
            <w:vAlign w:val="top"/>
          </w:tcPr>
          <w:p w14:paraId="2F6DF5E1">
            <w:pPr>
              <w:rPr>
                <w:rFonts w:ascii="Arial"/>
                <w:sz w:val="21"/>
              </w:rPr>
            </w:pPr>
          </w:p>
        </w:tc>
        <w:tc>
          <w:tcPr>
            <w:tcW w:w="1454" w:type="dxa"/>
            <w:vAlign w:val="top"/>
          </w:tcPr>
          <w:p w14:paraId="59C6D70C">
            <w:pPr>
              <w:pStyle w:val="6"/>
              <w:spacing w:before="85" w:line="221" w:lineRule="auto"/>
              <w:ind w:left="510"/>
              <w:rPr>
                <w:sz w:val="22"/>
                <w:szCs w:val="22"/>
              </w:rPr>
            </w:pPr>
            <w:r>
              <w:rPr>
                <w:spacing w:val="-5"/>
                <w:sz w:val="22"/>
                <w:szCs w:val="22"/>
              </w:rPr>
              <w:t>厂界</w:t>
            </w:r>
          </w:p>
        </w:tc>
        <w:tc>
          <w:tcPr>
            <w:tcW w:w="1538" w:type="dxa"/>
            <w:vAlign w:val="top"/>
          </w:tcPr>
          <w:p w14:paraId="5F3F6D03">
            <w:pPr>
              <w:pStyle w:val="6"/>
              <w:spacing w:before="85" w:line="219" w:lineRule="auto"/>
              <w:ind w:left="111"/>
              <w:rPr>
                <w:sz w:val="22"/>
                <w:szCs w:val="22"/>
              </w:rPr>
            </w:pPr>
            <w:r>
              <w:rPr>
                <w:spacing w:val="-1"/>
                <w:sz w:val="22"/>
                <w:szCs w:val="22"/>
              </w:rPr>
              <w:t>挥发性有机物</w:t>
            </w:r>
          </w:p>
        </w:tc>
        <w:tc>
          <w:tcPr>
            <w:tcW w:w="851" w:type="dxa"/>
            <w:vAlign w:val="top"/>
          </w:tcPr>
          <w:p w14:paraId="609D932F">
            <w:pPr>
              <w:pStyle w:val="6"/>
              <w:spacing w:before="73" w:line="220" w:lineRule="auto"/>
              <w:ind w:left="257"/>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12"/>
                <w:sz w:val="22"/>
                <w:szCs w:val="22"/>
              </w:rPr>
              <w:t xml:space="preserve"> </w:t>
            </w:r>
            <w:r>
              <w:rPr>
                <w:spacing w:val="-13"/>
                <w:sz w:val="22"/>
                <w:szCs w:val="22"/>
              </w:rPr>
              <w:t>次</w:t>
            </w:r>
          </w:p>
        </w:tc>
        <w:tc>
          <w:tcPr>
            <w:tcW w:w="901" w:type="dxa"/>
            <w:vAlign w:val="top"/>
          </w:tcPr>
          <w:p w14:paraId="680C7E69">
            <w:pPr>
              <w:pStyle w:val="6"/>
              <w:spacing w:before="73" w:line="220" w:lineRule="auto"/>
              <w:ind w:left="143"/>
              <w:rPr>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14"/>
                <w:sz w:val="22"/>
                <w:szCs w:val="22"/>
              </w:rPr>
              <w:t xml:space="preserve"> </w:t>
            </w:r>
            <w:r>
              <w:rPr>
                <w:spacing w:val="-10"/>
                <w:sz w:val="22"/>
                <w:szCs w:val="22"/>
              </w:rPr>
              <w:t>次</w:t>
            </w:r>
            <w:r>
              <w:rPr>
                <w:rFonts w:ascii="Times New Roman" w:hAnsi="Times New Roman" w:eastAsia="Times New Roman" w:cs="Times New Roman"/>
                <w:spacing w:val="-10"/>
                <w:sz w:val="22"/>
                <w:szCs w:val="22"/>
              </w:rPr>
              <w:t>/</w:t>
            </w:r>
            <w:r>
              <w:rPr>
                <w:spacing w:val="-10"/>
                <w:sz w:val="22"/>
                <w:szCs w:val="22"/>
              </w:rPr>
              <w:t>年</w:t>
            </w:r>
          </w:p>
        </w:tc>
        <w:tc>
          <w:tcPr>
            <w:tcW w:w="2525" w:type="dxa"/>
            <w:vMerge w:val="continue"/>
            <w:tcBorders>
              <w:top w:val="nil"/>
              <w:bottom w:val="nil"/>
            </w:tcBorders>
            <w:vAlign w:val="top"/>
          </w:tcPr>
          <w:p w14:paraId="0966128D">
            <w:pPr>
              <w:rPr>
                <w:rFonts w:ascii="Arial"/>
                <w:sz w:val="21"/>
              </w:rPr>
            </w:pPr>
          </w:p>
        </w:tc>
        <w:tc>
          <w:tcPr>
            <w:tcW w:w="122" w:type="dxa"/>
            <w:vMerge w:val="continue"/>
            <w:tcBorders>
              <w:top w:val="nil"/>
              <w:bottom w:val="nil"/>
              <w:right w:val="single" w:color="000000" w:sz="6" w:space="0"/>
            </w:tcBorders>
            <w:vAlign w:val="top"/>
          </w:tcPr>
          <w:p w14:paraId="1BD43E8E">
            <w:pPr>
              <w:rPr>
                <w:rFonts w:ascii="Arial"/>
                <w:sz w:val="21"/>
              </w:rPr>
            </w:pPr>
          </w:p>
        </w:tc>
      </w:tr>
      <w:tr w14:paraId="1663D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58" w:type="dxa"/>
            <w:vMerge w:val="continue"/>
            <w:tcBorders>
              <w:top w:val="nil"/>
              <w:left w:val="single" w:color="000000" w:sz="6" w:space="0"/>
              <w:bottom w:val="nil"/>
            </w:tcBorders>
            <w:vAlign w:val="top"/>
          </w:tcPr>
          <w:p w14:paraId="5F0993A0">
            <w:pPr>
              <w:rPr>
                <w:rFonts w:ascii="Arial"/>
                <w:sz w:val="21"/>
              </w:rPr>
            </w:pPr>
          </w:p>
        </w:tc>
        <w:tc>
          <w:tcPr>
            <w:tcW w:w="736" w:type="dxa"/>
            <w:vMerge w:val="continue"/>
            <w:tcBorders>
              <w:top w:val="nil"/>
            </w:tcBorders>
            <w:vAlign w:val="top"/>
          </w:tcPr>
          <w:p w14:paraId="73FD63CB">
            <w:pPr>
              <w:rPr>
                <w:rFonts w:ascii="Arial"/>
                <w:sz w:val="21"/>
              </w:rPr>
            </w:pPr>
          </w:p>
        </w:tc>
        <w:tc>
          <w:tcPr>
            <w:tcW w:w="1454" w:type="dxa"/>
            <w:vAlign w:val="top"/>
          </w:tcPr>
          <w:p w14:paraId="6AC01A83">
            <w:pPr>
              <w:pStyle w:val="6"/>
              <w:spacing w:before="86" w:line="220" w:lineRule="auto"/>
              <w:ind w:left="181"/>
              <w:rPr>
                <w:sz w:val="22"/>
                <w:szCs w:val="22"/>
              </w:rPr>
            </w:pPr>
            <w:r>
              <w:rPr>
                <w:spacing w:val="-2"/>
                <w:sz w:val="22"/>
                <w:szCs w:val="22"/>
              </w:rPr>
              <w:t>厂内监测点</w:t>
            </w:r>
          </w:p>
        </w:tc>
        <w:tc>
          <w:tcPr>
            <w:tcW w:w="1538" w:type="dxa"/>
            <w:vAlign w:val="top"/>
          </w:tcPr>
          <w:p w14:paraId="2ECD8454">
            <w:pPr>
              <w:pStyle w:val="6"/>
              <w:spacing w:before="87" w:line="219" w:lineRule="auto"/>
              <w:ind w:left="111"/>
              <w:rPr>
                <w:sz w:val="22"/>
                <w:szCs w:val="22"/>
              </w:rPr>
            </w:pPr>
            <w:r>
              <w:rPr>
                <w:spacing w:val="-1"/>
                <w:sz w:val="22"/>
                <w:szCs w:val="22"/>
              </w:rPr>
              <w:t>挥发性有机物</w:t>
            </w:r>
          </w:p>
        </w:tc>
        <w:tc>
          <w:tcPr>
            <w:tcW w:w="851" w:type="dxa"/>
            <w:vAlign w:val="top"/>
          </w:tcPr>
          <w:p w14:paraId="153DEFBD">
            <w:pPr>
              <w:pStyle w:val="6"/>
              <w:spacing w:before="74" w:line="220" w:lineRule="auto"/>
              <w:ind w:left="257"/>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12"/>
                <w:sz w:val="22"/>
                <w:szCs w:val="22"/>
              </w:rPr>
              <w:t xml:space="preserve"> </w:t>
            </w:r>
            <w:r>
              <w:rPr>
                <w:spacing w:val="-13"/>
                <w:sz w:val="22"/>
                <w:szCs w:val="22"/>
              </w:rPr>
              <w:t>次</w:t>
            </w:r>
          </w:p>
        </w:tc>
        <w:tc>
          <w:tcPr>
            <w:tcW w:w="901" w:type="dxa"/>
            <w:vAlign w:val="top"/>
          </w:tcPr>
          <w:p w14:paraId="26948FBA">
            <w:pPr>
              <w:pStyle w:val="6"/>
              <w:spacing w:before="74" w:line="220" w:lineRule="auto"/>
              <w:ind w:left="143"/>
              <w:rPr>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14"/>
                <w:sz w:val="22"/>
                <w:szCs w:val="22"/>
              </w:rPr>
              <w:t xml:space="preserve"> </w:t>
            </w:r>
            <w:r>
              <w:rPr>
                <w:spacing w:val="-10"/>
                <w:sz w:val="22"/>
                <w:szCs w:val="22"/>
              </w:rPr>
              <w:t>次</w:t>
            </w:r>
            <w:r>
              <w:rPr>
                <w:rFonts w:ascii="Times New Roman" w:hAnsi="Times New Roman" w:eastAsia="Times New Roman" w:cs="Times New Roman"/>
                <w:spacing w:val="-10"/>
                <w:sz w:val="22"/>
                <w:szCs w:val="22"/>
              </w:rPr>
              <w:t>/</w:t>
            </w:r>
            <w:r>
              <w:rPr>
                <w:spacing w:val="-10"/>
                <w:sz w:val="22"/>
                <w:szCs w:val="22"/>
              </w:rPr>
              <w:t>年</w:t>
            </w:r>
          </w:p>
        </w:tc>
        <w:tc>
          <w:tcPr>
            <w:tcW w:w="2525" w:type="dxa"/>
            <w:vMerge w:val="continue"/>
            <w:tcBorders>
              <w:top w:val="nil"/>
            </w:tcBorders>
            <w:vAlign w:val="top"/>
          </w:tcPr>
          <w:p w14:paraId="51661445">
            <w:pPr>
              <w:rPr>
                <w:rFonts w:ascii="Arial"/>
                <w:sz w:val="21"/>
              </w:rPr>
            </w:pPr>
          </w:p>
        </w:tc>
        <w:tc>
          <w:tcPr>
            <w:tcW w:w="122" w:type="dxa"/>
            <w:vMerge w:val="continue"/>
            <w:tcBorders>
              <w:top w:val="nil"/>
              <w:right w:val="single" w:color="000000" w:sz="6" w:space="0"/>
            </w:tcBorders>
            <w:vAlign w:val="top"/>
          </w:tcPr>
          <w:p w14:paraId="6B44B7DA">
            <w:pPr>
              <w:rPr>
                <w:rFonts w:ascii="Arial"/>
                <w:sz w:val="21"/>
              </w:rPr>
            </w:pPr>
          </w:p>
        </w:tc>
      </w:tr>
      <w:tr w14:paraId="382D2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24" w:hRule="atLeast"/>
        </w:trPr>
        <w:tc>
          <w:tcPr>
            <w:tcW w:w="858" w:type="dxa"/>
            <w:vMerge w:val="continue"/>
            <w:tcBorders>
              <w:top w:val="nil"/>
              <w:left w:val="single" w:color="000000" w:sz="6" w:space="0"/>
              <w:bottom w:val="single" w:color="000000" w:sz="6" w:space="0"/>
            </w:tcBorders>
            <w:vAlign w:val="top"/>
          </w:tcPr>
          <w:p w14:paraId="5EF7A5C8">
            <w:pPr>
              <w:rPr>
                <w:rFonts w:ascii="Arial"/>
                <w:sz w:val="21"/>
              </w:rPr>
            </w:pPr>
          </w:p>
        </w:tc>
        <w:tc>
          <w:tcPr>
            <w:tcW w:w="8127" w:type="dxa"/>
            <w:gridSpan w:val="7"/>
            <w:tcBorders>
              <w:bottom w:val="single" w:color="000000" w:sz="6" w:space="0"/>
              <w:right w:val="single" w:color="000000" w:sz="6" w:space="0"/>
            </w:tcBorders>
            <w:vAlign w:val="top"/>
          </w:tcPr>
          <w:p w14:paraId="17E77C62">
            <w:pPr>
              <w:spacing w:line="261" w:lineRule="auto"/>
              <w:rPr>
                <w:rFonts w:ascii="Arial"/>
                <w:sz w:val="21"/>
              </w:rPr>
            </w:pPr>
          </w:p>
          <w:p w14:paraId="59DBB963">
            <w:pPr>
              <w:spacing w:line="262" w:lineRule="auto"/>
              <w:rPr>
                <w:rFonts w:ascii="Arial"/>
                <w:sz w:val="21"/>
              </w:rPr>
            </w:pPr>
          </w:p>
          <w:p w14:paraId="5C596EC1">
            <w:pPr>
              <w:pStyle w:val="6"/>
              <w:spacing w:before="81" w:line="227" w:lineRule="auto"/>
              <w:ind w:left="640"/>
            </w:pPr>
            <w:r>
              <w:rPr>
                <w:spacing w:val="7"/>
              </w:rPr>
              <w:t>（</w:t>
            </w:r>
            <w:r>
              <w:rPr>
                <w:rFonts w:ascii="Times New Roman" w:hAnsi="Times New Roman" w:eastAsia="Times New Roman" w:cs="Times New Roman"/>
                <w:spacing w:val="7"/>
              </w:rPr>
              <w:t>4</w:t>
            </w:r>
            <w:r>
              <w:rPr>
                <w:spacing w:val="7"/>
              </w:rPr>
              <w:t>）环境影响分析</w:t>
            </w:r>
          </w:p>
          <w:p w14:paraId="071CF44A">
            <w:pPr>
              <w:pStyle w:val="6"/>
              <w:spacing w:before="148" w:line="340" w:lineRule="auto"/>
              <w:ind w:left="111" w:right="101" w:firstLine="521"/>
            </w:pPr>
            <w:r>
              <w:rPr>
                <w:spacing w:val="13"/>
              </w:rPr>
              <w:t>项目废气主要为卸油、加油及储存过程油气挥发产生的非甲烷总烃，设置三次油气回收处理系统，处理措施均属于《排污许可证申请</w:t>
            </w:r>
            <w:r>
              <w:rPr>
                <w:spacing w:val="7"/>
              </w:rPr>
              <w:t>与核发技术规范 储油库、加油站》</w:t>
            </w:r>
            <w:r>
              <w:rPr>
                <w:spacing w:val="-100"/>
              </w:rPr>
              <w:t xml:space="preserve"> </w:t>
            </w:r>
            <w:r>
              <w:rPr>
                <w:spacing w:val="7"/>
              </w:rPr>
              <w:t>（</w:t>
            </w:r>
            <w:r>
              <w:rPr>
                <w:rFonts w:ascii="Times New Roman" w:hAnsi="Times New Roman" w:eastAsia="Times New Roman" w:cs="Times New Roman"/>
              </w:rPr>
              <w:t>HJ</w:t>
            </w:r>
            <w:r>
              <w:rPr>
                <w:rFonts w:ascii="Times New Roman" w:hAnsi="Times New Roman" w:eastAsia="Times New Roman" w:cs="Times New Roman"/>
                <w:spacing w:val="37"/>
                <w:w w:val="101"/>
              </w:rPr>
              <w:t xml:space="preserve"> </w:t>
            </w:r>
            <w:r>
              <w:rPr>
                <w:rFonts w:ascii="Times New Roman" w:hAnsi="Times New Roman" w:eastAsia="Times New Roman" w:cs="Times New Roman"/>
                <w:spacing w:val="7"/>
              </w:rPr>
              <w:t>1118-2020</w:t>
            </w:r>
            <w:r>
              <w:rPr>
                <w:spacing w:val="7"/>
              </w:rPr>
              <w:t>）</w:t>
            </w:r>
            <w:r>
              <w:rPr>
                <w:spacing w:val="-74"/>
              </w:rPr>
              <w:t xml:space="preserve"> </w:t>
            </w:r>
            <w:r>
              <w:rPr>
                <w:spacing w:val="7"/>
              </w:rPr>
              <w:t>中废气治理可行</w:t>
            </w:r>
            <w:r>
              <w:rPr>
                <w:spacing w:val="13"/>
              </w:rPr>
              <w:t>性措施，可有效减少非甲烷总烃的排放，非甲烷总烃排放浓度能满足</w:t>
            </w:r>
            <w:r>
              <w:rPr>
                <w:spacing w:val="4"/>
              </w:rPr>
              <w:t>《加油站大气污染物排放标准》</w:t>
            </w:r>
            <w:r>
              <w:rPr>
                <w:rFonts w:ascii="Times New Roman" w:hAnsi="Times New Roman" w:eastAsia="Times New Roman" w:cs="Times New Roman"/>
                <w:spacing w:val="4"/>
              </w:rPr>
              <w:t>(</w:t>
            </w:r>
            <w:r>
              <w:rPr>
                <w:rFonts w:ascii="Times New Roman" w:hAnsi="Times New Roman" w:eastAsia="Times New Roman" w:cs="Times New Roman"/>
              </w:rPr>
              <w:t>GB</w:t>
            </w:r>
            <w:r>
              <w:rPr>
                <w:rFonts w:ascii="Times New Roman" w:hAnsi="Times New Roman" w:eastAsia="Times New Roman" w:cs="Times New Roman"/>
                <w:spacing w:val="4"/>
              </w:rPr>
              <w:t>20952-2020)</w:t>
            </w:r>
            <w:r>
              <w:rPr>
                <w:rFonts w:ascii="Times New Roman" w:hAnsi="Times New Roman" w:eastAsia="Times New Roman" w:cs="Times New Roman"/>
                <w:spacing w:val="-29"/>
              </w:rPr>
              <w:t xml:space="preserve"> </w:t>
            </w:r>
            <w:r>
              <w:rPr>
                <w:spacing w:val="4"/>
              </w:rPr>
              <w:t>、《挥发性有机物无组</w:t>
            </w:r>
            <w:r>
              <w:rPr>
                <w:spacing w:val="8"/>
              </w:rPr>
              <w:t>织排放控制标准》（</w:t>
            </w:r>
            <w:r>
              <w:rPr>
                <w:rFonts w:ascii="Times New Roman" w:hAnsi="Times New Roman" w:eastAsia="Times New Roman" w:cs="Times New Roman"/>
              </w:rPr>
              <w:t>GB</w:t>
            </w:r>
            <w:r>
              <w:rPr>
                <w:rFonts w:ascii="Times New Roman" w:hAnsi="Times New Roman" w:eastAsia="Times New Roman" w:cs="Times New Roman"/>
                <w:spacing w:val="8"/>
              </w:rPr>
              <w:t>37822-2019</w:t>
            </w:r>
            <w:r>
              <w:rPr>
                <w:spacing w:val="8"/>
              </w:rPr>
              <w:t>）限值要求，实现达标排放。</w:t>
            </w:r>
          </w:p>
          <w:p w14:paraId="33E5F5FA">
            <w:pPr>
              <w:pStyle w:val="6"/>
              <w:spacing w:line="226" w:lineRule="auto"/>
              <w:ind w:left="106"/>
            </w:pPr>
            <w:r>
              <w:rPr>
                <w:rFonts w:ascii="Times New Roman" w:hAnsi="Times New Roman" w:eastAsia="Times New Roman" w:cs="Times New Roman"/>
                <w:b/>
                <w:bCs/>
                <w:spacing w:val="6"/>
              </w:rPr>
              <w:t xml:space="preserve">4.2.2 </w:t>
            </w:r>
            <w:r>
              <w:rPr>
                <w:b/>
                <w:bCs/>
                <w:spacing w:val="6"/>
              </w:rPr>
              <w:t>废水影响分析及其防治措施</w:t>
            </w:r>
          </w:p>
          <w:p w14:paraId="76D5E374">
            <w:pPr>
              <w:pStyle w:val="6"/>
              <w:spacing w:before="154" w:line="226" w:lineRule="auto"/>
              <w:ind w:left="640"/>
            </w:pPr>
            <w:r>
              <w:rPr>
                <w:spacing w:val="7"/>
              </w:rPr>
              <w:t>（</w:t>
            </w:r>
            <w:r>
              <w:rPr>
                <w:rFonts w:ascii="Times New Roman" w:hAnsi="Times New Roman" w:eastAsia="Times New Roman" w:cs="Times New Roman"/>
                <w:spacing w:val="7"/>
              </w:rPr>
              <w:t>1</w:t>
            </w:r>
            <w:r>
              <w:rPr>
                <w:spacing w:val="7"/>
              </w:rPr>
              <w:t>）废水产排污分析</w:t>
            </w:r>
          </w:p>
          <w:p w14:paraId="6192BF7F">
            <w:pPr>
              <w:pStyle w:val="6"/>
              <w:spacing w:before="155" w:line="224" w:lineRule="auto"/>
              <w:ind w:left="627"/>
            </w:pPr>
            <w:r>
              <w:rPr>
                <w:spacing w:val="8"/>
              </w:rPr>
              <w:t>①生活污水</w:t>
            </w:r>
          </w:p>
          <w:p w14:paraId="2BBE8231">
            <w:pPr>
              <w:pStyle w:val="6"/>
              <w:spacing w:before="151" w:line="339" w:lineRule="auto"/>
              <w:ind w:left="109" w:right="103" w:firstLine="523"/>
              <w:jc w:val="both"/>
            </w:pPr>
            <w:r>
              <w:rPr>
                <w:spacing w:val="13"/>
              </w:rPr>
              <w:t>项目改扩建实施后，营运期生活污水来源员工、司乘人员生活污</w:t>
            </w:r>
            <w:r>
              <w:rPr>
                <w:spacing w:val="16"/>
              </w:rPr>
              <w:t>水</w:t>
            </w:r>
            <w:r>
              <w:rPr>
                <w:spacing w:val="-49"/>
              </w:rPr>
              <w:t xml:space="preserve"> </w:t>
            </w:r>
            <w:r>
              <w:rPr>
                <w:spacing w:val="16"/>
              </w:rPr>
              <w:t>。</w:t>
            </w:r>
            <w:r>
              <w:rPr>
                <w:spacing w:val="-73"/>
              </w:rPr>
              <w:t xml:space="preserve"> </w:t>
            </w:r>
            <w:r>
              <w:rPr>
                <w:spacing w:val="16"/>
              </w:rPr>
              <w:t>根据</w:t>
            </w:r>
            <w:r>
              <w:rPr>
                <w:spacing w:val="-74"/>
              </w:rPr>
              <w:t xml:space="preserve"> </w:t>
            </w:r>
            <w:r>
              <w:rPr>
                <w:spacing w:val="16"/>
              </w:rPr>
              <w:t>前文核算</w:t>
            </w:r>
            <w:r>
              <w:rPr>
                <w:spacing w:val="-58"/>
              </w:rPr>
              <w:t xml:space="preserve"> </w:t>
            </w:r>
            <w:r>
              <w:rPr>
                <w:spacing w:val="16"/>
              </w:rPr>
              <w:t>，</w:t>
            </w:r>
            <w:r>
              <w:rPr>
                <w:spacing w:val="-70"/>
              </w:rPr>
              <w:t xml:space="preserve"> </w:t>
            </w:r>
            <w:r>
              <w:rPr>
                <w:spacing w:val="16"/>
              </w:rPr>
              <w:t>项</w:t>
            </w:r>
            <w:r>
              <w:rPr>
                <w:spacing w:val="-29"/>
              </w:rPr>
              <w:t xml:space="preserve"> </w:t>
            </w:r>
            <w:r>
              <w:rPr>
                <w:spacing w:val="16"/>
              </w:rPr>
              <w:t>目</w:t>
            </w:r>
            <w:r>
              <w:rPr>
                <w:spacing w:val="-70"/>
              </w:rPr>
              <w:t xml:space="preserve"> </w:t>
            </w:r>
            <w:r>
              <w:rPr>
                <w:spacing w:val="16"/>
              </w:rPr>
              <w:t>改扩建后生</w:t>
            </w:r>
            <w:r>
              <w:rPr>
                <w:spacing w:val="-74"/>
              </w:rPr>
              <w:t xml:space="preserve"> </w:t>
            </w:r>
            <w:r>
              <w:rPr>
                <w:spacing w:val="16"/>
              </w:rPr>
              <w:t>活污水排放量为</w:t>
            </w:r>
            <w:r>
              <w:rPr>
                <w:spacing w:val="-19"/>
              </w:rPr>
              <w:t xml:space="preserve"> </w:t>
            </w:r>
            <w:r>
              <w:rPr>
                <w:rFonts w:ascii="Times New Roman" w:hAnsi="Times New Roman" w:eastAsia="Times New Roman" w:cs="Times New Roman"/>
                <w:spacing w:val="16"/>
              </w:rPr>
              <w:t>2.025m</w:t>
            </w:r>
            <w:r>
              <w:rPr>
                <w:rFonts w:ascii="Times New Roman" w:hAnsi="Times New Roman" w:eastAsia="Times New Roman" w:cs="Times New Roman"/>
                <w:spacing w:val="16"/>
                <w:position w:val="8"/>
                <w:sz w:val="16"/>
                <w:szCs w:val="16"/>
              </w:rPr>
              <w:t>3</w:t>
            </w:r>
            <w:r>
              <w:rPr>
                <w:rFonts w:ascii="Times New Roman" w:hAnsi="Times New Roman" w:eastAsia="Times New Roman" w:cs="Times New Roman"/>
                <w:spacing w:val="16"/>
              </w:rPr>
              <w:t>/d</w:t>
            </w:r>
            <w:r>
              <w:rPr>
                <w:rFonts w:ascii="Times New Roman" w:hAnsi="Times New Roman" w:eastAsia="Times New Roman" w:cs="Times New Roman"/>
              </w:rPr>
              <w:t xml:space="preserve"> </w:t>
            </w:r>
            <w:r>
              <w:rPr>
                <w:spacing w:val="7"/>
              </w:rPr>
              <w:t>（</w:t>
            </w:r>
            <w:r>
              <w:rPr>
                <w:rFonts w:ascii="Times New Roman" w:hAnsi="Times New Roman" w:eastAsia="Times New Roman" w:cs="Times New Roman"/>
                <w:spacing w:val="7"/>
              </w:rPr>
              <w:t>739.</w:t>
            </w:r>
            <w:r>
              <w:rPr>
                <w:rFonts w:ascii="Times New Roman" w:hAnsi="Times New Roman" w:eastAsia="Times New Roman" w:cs="Times New Roman"/>
                <w:spacing w:val="-33"/>
              </w:rPr>
              <w:t xml:space="preserve"> </w:t>
            </w:r>
            <w:r>
              <w:rPr>
                <w:rFonts w:ascii="Times New Roman" w:hAnsi="Times New Roman" w:eastAsia="Times New Roman" w:cs="Times New Roman"/>
                <w:spacing w:val="7"/>
              </w:rPr>
              <w:t>125t/a</w:t>
            </w:r>
            <w:r>
              <w:rPr>
                <w:spacing w:val="16"/>
              </w:rPr>
              <w:t>），</w:t>
            </w:r>
            <w:r>
              <w:rPr>
                <w:spacing w:val="7"/>
              </w:rPr>
              <w:t>排入站内西北侧的生化池进</w:t>
            </w:r>
            <w:r>
              <w:rPr>
                <w:spacing w:val="6"/>
              </w:rPr>
              <w:t>行处理，主要污染因子为</w:t>
            </w:r>
            <w:r>
              <w:rPr>
                <w:rFonts w:ascii="Times New Roman" w:hAnsi="Times New Roman" w:eastAsia="Times New Roman" w:cs="Times New Roman"/>
              </w:rPr>
              <w:t>COD</w:t>
            </w:r>
            <w:r>
              <w:rPr>
                <w:rFonts w:ascii="Times New Roman" w:hAnsi="Times New Roman" w:eastAsia="Times New Roman" w:cs="Times New Roman"/>
                <w:spacing w:val="-2"/>
              </w:rPr>
              <w:t xml:space="preserve"> </w:t>
            </w:r>
            <w:r>
              <w:rPr>
                <w:spacing w:val="21"/>
              </w:rPr>
              <w:t>、</w:t>
            </w:r>
            <w:r>
              <w:rPr>
                <w:rFonts w:ascii="Times New Roman" w:hAnsi="Times New Roman" w:eastAsia="Times New Roman" w:cs="Times New Roman"/>
              </w:rPr>
              <w:t>BOD</w:t>
            </w:r>
            <w:r>
              <w:rPr>
                <w:rFonts w:ascii="Times New Roman" w:hAnsi="Times New Roman" w:eastAsia="Times New Roman" w:cs="Times New Roman"/>
                <w:spacing w:val="21"/>
                <w:position w:val="-2"/>
                <w:sz w:val="16"/>
                <w:szCs w:val="16"/>
              </w:rPr>
              <w:t xml:space="preserve">5 </w:t>
            </w:r>
            <w:r>
              <w:rPr>
                <w:spacing w:val="21"/>
              </w:rPr>
              <w:t>、</w:t>
            </w:r>
            <w:r>
              <w:rPr>
                <w:rFonts w:ascii="Times New Roman" w:hAnsi="Times New Roman" w:eastAsia="Times New Roman" w:cs="Times New Roman"/>
              </w:rPr>
              <w:t>SS</w:t>
            </w:r>
            <w:r>
              <w:rPr>
                <w:rFonts w:ascii="Times New Roman" w:hAnsi="Times New Roman" w:eastAsia="Times New Roman" w:cs="Times New Roman"/>
                <w:spacing w:val="-15"/>
              </w:rPr>
              <w:t xml:space="preserve"> </w:t>
            </w:r>
            <w:r>
              <w:rPr>
                <w:spacing w:val="21"/>
              </w:rPr>
              <w:t>、氨氮</w:t>
            </w:r>
            <w:r>
              <w:rPr>
                <w:spacing w:val="-75"/>
              </w:rPr>
              <w:t xml:space="preserve"> </w:t>
            </w:r>
            <w:r>
              <w:rPr>
                <w:spacing w:val="21"/>
              </w:rPr>
              <w:t>，前述浓度值参照《室外排水设计标准》</w:t>
            </w:r>
            <w:r>
              <w:t xml:space="preserve"> </w:t>
            </w:r>
            <w:r>
              <w:rPr>
                <w:spacing w:val="7"/>
              </w:rPr>
              <w:t>（</w:t>
            </w:r>
            <w:r>
              <w:rPr>
                <w:rFonts w:ascii="Times New Roman" w:hAnsi="Times New Roman" w:eastAsia="Times New Roman" w:cs="Times New Roman"/>
              </w:rPr>
              <w:t>GB</w:t>
            </w:r>
            <w:r>
              <w:rPr>
                <w:rFonts w:ascii="Times New Roman" w:hAnsi="Times New Roman" w:eastAsia="Times New Roman" w:cs="Times New Roman"/>
                <w:spacing w:val="7"/>
              </w:rPr>
              <w:t>50014-2021</w:t>
            </w:r>
            <w:r>
              <w:rPr>
                <w:spacing w:val="7"/>
              </w:rPr>
              <w:t>）和《环境工程技术手册</w:t>
            </w:r>
            <w:r>
              <w:rPr>
                <w:rFonts w:ascii="Times New Roman" w:hAnsi="Times New Roman" w:eastAsia="Times New Roman" w:cs="Times New Roman"/>
                <w:spacing w:val="7"/>
              </w:rPr>
              <w:t>-</w:t>
            </w:r>
            <w:r>
              <w:rPr>
                <w:spacing w:val="7"/>
              </w:rPr>
              <w:t>废水污染控制技术手册》进</w:t>
            </w:r>
            <w:r>
              <w:rPr>
                <w:spacing w:val="5"/>
              </w:rPr>
              <w:t>行综合取值，即</w:t>
            </w:r>
            <w:r>
              <w:rPr>
                <w:spacing w:val="-48"/>
              </w:rPr>
              <w:t xml:space="preserve"> </w:t>
            </w:r>
            <w:r>
              <w:rPr>
                <w:rFonts w:ascii="Times New Roman" w:hAnsi="Times New Roman" w:eastAsia="Times New Roman" w:cs="Times New Roman"/>
              </w:rPr>
              <w:t>COD</w:t>
            </w:r>
            <w:r>
              <w:rPr>
                <w:rFonts w:ascii="Times New Roman" w:hAnsi="Times New Roman" w:eastAsia="Times New Roman" w:cs="Times New Roman"/>
                <w:spacing w:val="5"/>
              </w:rPr>
              <w:t xml:space="preserve"> 600</w:t>
            </w:r>
            <w:r>
              <w:rPr>
                <w:rFonts w:ascii="Times New Roman" w:hAnsi="Times New Roman" w:eastAsia="Times New Roman" w:cs="Times New Roman"/>
              </w:rPr>
              <w:t>mg</w:t>
            </w:r>
            <w:r>
              <w:rPr>
                <w:rFonts w:ascii="Times New Roman" w:hAnsi="Times New Roman" w:eastAsia="Times New Roman" w:cs="Times New Roman"/>
                <w:spacing w:val="5"/>
              </w:rPr>
              <w:t>/L</w:t>
            </w:r>
            <w:r>
              <w:rPr>
                <w:rFonts w:ascii="Times New Roman" w:hAnsi="Times New Roman" w:eastAsia="Times New Roman" w:cs="Times New Roman"/>
                <w:spacing w:val="-29"/>
              </w:rPr>
              <w:t xml:space="preserve"> </w:t>
            </w:r>
            <w:r>
              <w:rPr>
                <w:spacing w:val="5"/>
              </w:rPr>
              <w:t>，</w:t>
            </w:r>
            <w:r>
              <w:rPr>
                <w:rFonts w:ascii="Times New Roman" w:hAnsi="Times New Roman" w:eastAsia="Times New Roman" w:cs="Times New Roman"/>
              </w:rPr>
              <w:t>BOD</w:t>
            </w:r>
            <w:r>
              <w:rPr>
                <w:rFonts w:ascii="Times New Roman" w:hAnsi="Times New Roman" w:eastAsia="Times New Roman" w:cs="Times New Roman"/>
                <w:spacing w:val="5"/>
                <w:position w:val="-1"/>
                <w:sz w:val="16"/>
                <w:szCs w:val="16"/>
              </w:rPr>
              <w:t xml:space="preserve">5  </w:t>
            </w:r>
            <w:r>
              <w:rPr>
                <w:rFonts w:ascii="Times New Roman" w:hAnsi="Times New Roman" w:eastAsia="Times New Roman" w:cs="Times New Roman"/>
                <w:spacing w:val="5"/>
              </w:rPr>
              <w:t>400</w:t>
            </w:r>
            <w:r>
              <w:rPr>
                <w:rFonts w:ascii="Times New Roman" w:hAnsi="Times New Roman" w:eastAsia="Times New Roman" w:cs="Times New Roman"/>
              </w:rPr>
              <w:t>mg</w:t>
            </w:r>
            <w:r>
              <w:rPr>
                <w:rFonts w:ascii="Times New Roman" w:hAnsi="Times New Roman" w:eastAsia="Times New Roman" w:cs="Times New Roman"/>
                <w:spacing w:val="5"/>
              </w:rPr>
              <w:t>/L</w:t>
            </w:r>
            <w:r>
              <w:rPr>
                <w:rFonts w:ascii="Times New Roman" w:hAnsi="Times New Roman" w:eastAsia="Times New Roman" w:cs="Times New Roman"/>
                <w:spacing w:val="-30"/>
              </w:rPr>
              <w:t xml:space="preserve"> </w:t>
            </w:r>
            <w:r>
              <w:rPr>
                <w:spacing w:val="4"/>
              </w:rPr>
              <w:t>，</w:t>
            </w:r>
            <w:r>
              <w:rPr>
                <w:rFonts w:ascii="Times New Roman" w:hAnsi="Times New Roman" w:eastAsia="Times New Roman" w:cs="Times New Roman"/>
              </w:rPr>
              <w:t>SS</w:t>
            </w:r>
            <w:r>
              <w:rPr>
                <w:rFonts w:ascii="Times New Roman" w:hAnsi="Times New Roman" w:eastAsia="Times New Roman" w:cs="Times New Roman"/>
                <w:spacing w:val="4"/>
              </w:rPr>
              <w:t xml:space="preserve"> 400</w:t>
            </w:r>
            <w:r>
              <w:rPr>
                <w:rFonts w:ascii="Times New Roman" w:hAnsi="Times New Roman" w:eastAsia="Times New Roman" w:cs="Times New Roman"/>
              </w:rPr>
              <w:t>mg</w:t>
            </w:r>
            <w:r>
              <w:rPr>
                <w:rFonts w:ascii="Times New Roman" w:hAnsi="Times New Roman" w:eastAsia="Times New Roman" w:cs="Times New Roman"/>
                <w:spacing w:val="4"/>
              </w:rPr>
              <w:t>/L</w:t>
            </w:r>
            <w:r>
              <w:rPr>
                <w:rFonts w:ascii="Times New Roman" w:hAnsi="Times New Roman" w:eastAsia="Times New Roman" w:cs="Times New Roman"/>
                <w:spacing w:val="-31"/>
              </w:rPr>
              <w:t xml:space="preserve"> </w:t>
            </w:r>
            <w:r>
              <w:rPr>
                <w:spacing w:val="4"/>
              </w:rPr>
              <w:t>，</w:t>
            </w:r>
            <w:r>
              <w:rPr>
                <w:rFonts w:ascii="Times New Roman" w:hAnsi="Times New Roman" w:eastAsia="Times New Roman" w:cs="Times New Roman"/>
              </w:rPr>
              <w:t>NH</w:t>
            </w:r>
            <w:r>
              <w:rPr>
                <w:rFonts w:ascii="Times New Roman" w:hAnsi="Times New Roman" w:eastAsia="Times New Roman" w:cs="Times New Roman"/>
                <w:spacing w:val="4"/>
                <w:position w:val="-1"/>
                <w:sz w:val="16"/>
                <w:szCs w:val="16"/>
              </w:rPr>
              <w:t>3</w:t>
            </w:r>
            <w:r>
              <w:rPr>
                <w:rFonts w:ascii="Times New Roman" w:hAnsi="Times New Roman" w:eastAsia="Times New Roman" w:cs="Times New Roman"/>
                <w:spacing w:val="4"/>
              </w:rPr>
              <w:t>-N</w:t>
            </w:r>
            <w:r>
              <w:rPr>
                <w:rFonts w:ascii="Times New Roman" w:hAnsi="Times New Roman" w:eastAsia="Times New Roman" w:cs="Times New Roman"/>
              </w:rPr>
              <w:t xml:space="preserve"> </w:t>
            </w:r>
            <w:r>
              <w:rPr>
                <w:rFonts w:ascii="Times New Roman" w:hAnsi="Times New Roman" w:eastAsia="Times New Roman" w:cs="Times New Roman"/>
                <w:spacing w:val="3"/>
              </w:rPr>
              <w:t>50</w:t>
            </w:r>
            <w:r>
              <w:rPr>
                <w:rFonts w:ascii="Times New Roman" w:hAnsi="Times New Roman" w:eastAsia="Times New Roman" w:cs="Times New Roman"/>
              </w:rPr>
              <w:t>mg</w:t>
            </w:r>
            <w:r>
              <w:rPr>
                <w:rFonts w:ascii="Times New Roman" w:hAnsi="Times New Roman" w:eastAsia="Times New Roman" w:cs="Times New Roman"/>
                <w:spacing w:val="3"/>
              </w:rPr>
              <w:t>/L</w:t>
            </w:r>
            <w:r>
              <w:rPr>
                <w:spacing w:val="3"/>
              </w:rPr>
              <w:t>。</w:t>
            </w:r>
          </w:p>
          <w:p w14:paraId="4845073F">
            <w:pPr>
              <w:pStyle w:val="6"/>
              <w:spacing w:before="11" w:line="224" w:lineRule="auto"/>
              <w:ind w:left="626"/>
            </w:pPr>
            <w:r>
              <w:rPr>
                <w:spacing w:val="8"/>
              </w:rPr>
              <w:t>②生产废水</w:t>
            </w:r>
          </w:p>
          <w:p w14:paraId="6F2C316A">
            <w:pPr>
              <w:pStyle w:val="6"/>
              <w:spacing w:before="155" w:line="340" w:lineRule="auto"/>
              <w:ind w:left="104" w:right="101" w:firstLine="528"/>
            </w:pPr>
            <w:r>
              <w:rPr>
                <w:spacing w:val="13"/>
              </w:rPr>
              <w:t>项目改扩建实施后，营运期生产废水主要为场地冲洗废水。根据</w:t>
            </w:r>
            <w:r>
              <w:rPr>
                <w:spacing w:val="19"/>
              </w:rPr>
              <w:t>前文核算</w:t>
            </w:r>
            <w:r>
              <w:rPr>
                <w:spacing w:val="-58"/>
              </w:rPr>
              <w:t xml:space="preserve"> </w:t>
            </w:r>
            <w:r>
              <w:rPr>
                <w:spacing w:val="19"/>
              </w:rPr>
              <w:t>，项</w:t>
            </w:r>
            <w:r>
              <w:rPr>
                <w:spacing w:val="-41"/>
              </w:rPr>
              <w:t xml:space="preserve"> </w:t>
            </w:r>
            <w:r>
              <w:rPr>
                <w:spacing w:val="19"/>
              </w:rPr>
              <w:t>目改扩建后场地冲洗废水最大日排放量为</w:t>
            </w:r>
            <w:r>
              <w:rPr>
                <w:spacing w:val="-27"/>
              </w:rPr>
              <w:t xml:space="preserve"> </w:t>
            </w:r>
            <w:r>
              <w:rPr>
                <w:rFonts w:ascii="Times New Roman" w:hAnsi="Times New Roman" w:eastAsia="Times New Roman" w:cs="Times New Roman"/>
                <w:spacing w:val="19"/>
              </w:rPr>
              <w:t>0.599m</w:t>
            </w:r>
            <w:r>
              <w:rPr>
                <w:rFonts w:ascii="Times New Roman" w:hAnsi="Times New Roman" w:eastAsia="Times New Roman" w:cs="Times New Roman"/>
                <w:spacing w:val="19"/>
                <w:position w:val="8"/>
                <w:sz w:val="16"/>
                <w:szCs w:val="16"/>
              </w:rPr>
              <w:t>3</w:t>
            </w:r>
            <w:r>
              <w:rPr>
                <w:rFonts w:ascii="Times New Roman" w:hAnsi="Times New Roman" w:eastAsia="Times New Roman" w:cs="Times New Roman"/>
                <w:spacing w:val="19"/>
              </w:rPr>
              <w:t>/d</w:t>
            </w:r>
            <w:r>
              <w:rPr>
                <w:rFonts w:ascii="Times New Roman" w:hAnsi="Times New Roman" w:eastAsia="Times New Roman" w:cs="Times New Roman"/>
              </w:rPr>
              <w:t xml:space="preserve"> </w:t>
            </w:r>
            <w:r>
              <w:rPr>
                <w:spacing w:val="7"/>
              </w:rPr>
              <w:t>（</w:t>
            </w:r>
            <w:r>
              <w:rPr>
                <w:rFonts w:ascii="Times New Roman" w:hAnsi="Times New Roman" w:eastAsia="Times New Roman" w:cs="Times New Roman"/>
                <w:spacing w:val="7"/>
              </w:rPr>
              <w:t>31.</w:t>
            </w:r>
            <w:r>
              <w:rPr>
                <w:rFonts w:ascii="Times New Roman" w:hAnsi="Times New Roman" w:eastAsia="Times New Roman" w:cs="Times New Roman"/>
                <w:spacing w:val="-33"/>
              </w:rPr>
              <w:t xml:space="preserve"> </w:t>
            </w:r>
            <w:r>
              <w:rPr>
                <w:rFonts w:ascii="Times New Roman" w:hAnsi="Times New Roman" w:eastAsia="Times New Roman" w:cs="Times New Roman"/>
                <w:spacing w:val="7"/>
              </w:rPr>
              <w:t>169m</w:t>
            </w:r>
            <w:r>
              <w:rPr>
                <w:rFonts w:ascii="Times New Roman" w:hAnsi="Times New Roman" w:eastAsia="Times New Roman" w:cs="Times New Roman"/>
                <w:spacing w:val="7"/>
                <w:position w:val="8"/>
                <w:sz w:val="16"/>
                <w:szCs w:val="16"/>
              </w:rPr>
              <w:t>3</w:t>
            </w:r>
            <w:r>
              <w:rPr>
                <w:rFonts w:ascii="Times New Roman" w:hAnsi="Times New Roman" w:eastAsia="Times New Roman" w:cs="Times New Roman"/>
                <w:spacing w:val="7"/>
              </w:rPr>
              <w:t>/a</w:t>
            </w:r>
            <w:r>
              <w:rPr>
                <w:spacing w:val="5"/>
              </w:rPr>
              <w:t>），</w:t>
            </w:r>
            <w:r>
              <w:rPr>
                <w:spacing w:val="7"/>
              </w:rPr>
              <w:t>排入站内西北侧隔油沉淀池</w:t>
            </w:r>
            <w:r>
              <w:rPr>
                <w:spacing w:val="6"/>
              </w:rPr>
              <w:t>进行处理，主要污染因子</w:t>
            </w:r>
            <w:r>
              <w:rPr>
                <w:spacing w:val="18"/>
              </w:rPr>
              <w:t>为</w:t>
            </w:r>
            <w:r>
              <w:rPr>
                <w:spacing w:val="-19"/>
              </w:rPr>
              <w:t xml:space="preserve"> </w:t>
            </w:r>
            <w:r>
              <w:rPr>
                <w:rFonts w:ascii="Times New Roman" w:hAnsi="Times New Roman" w:eastAsia="Times New Roman" w:cs="Times New Roman"/>
              </w:rPr>
              <w:t>SS</w:t>
            </w:r>
            <w:r>
              <w:rPr>
                <w:rFonts w:ascii="Times New Roman" w:hAnsi="Times New Roman" w:eastAsia="Times New Roman" w:cs="Times New Roman"/>
                <w:spacing w:val="-18"/>
              </w:rPr>
              <w:t xml:space="preserve"> </w:t>
            </w:r>
            <w:r>
              <w:rPr>
                <w:spacing w:val="18"/>
              </w:rPr>
              <w:t>、石油类，前述浓度值参照同类型项</w:t>
            </w:r>
            <w:r>
              <w:rPr>
                <w:spacing w:val="-46"/>
              </w:rPr>
              <w:t xml:space="preserve"> </w:t>
            </w:r>
            <w:r>
              <w:rPr>
                <w:spacing w:val="18"/>
              </w:rPr>
              <w:t>目进行综合取值，</w:t>
            </w:r>
            <w:r>
              <w:rPr>
                <w:spacing w:val="-70"/>
              </w:rPr>
              <w:t xml:space="preserve"> </w:t>
            </w:r>
            <w:r>
              <w:rPr>
                <w:spacing w:val="18"/>
              </w:rPr>
              <w:t>即</w:t>
            </w:r>
            <w:r>
              <w:rPr>
                <w:spacing w:val="-27"/>
              </w:rPr>
              <w:t xml:space="preserve"> </w:t>
            </w:r>
            <w:r>
              <w:rPr>
                <w:rFonts w:ascii="Times New Roman" w:hAnsi="Times New Roman" w:eastAsia="Times New Roman" w:cs="Times New Roman"/>
              </w:rPr>
              <w:t xml:space="preserve">SS </w:t>
            </w:r>
            <w:r>
              <w:rPr>
                <w:rFonts w:ascii="Times New Roman" w:hAnsi="Times New Roman" w:eastAsia="Times New Roman" w:cs="Times New Roman"/>
                <w:spacing w:val="4"/>
              </w:rPr>
              <w:t>400</w:t>
            </w:r>
            <w:r>
              <w:rPr>
                <w:rFonts w:ascii="Times New Roman" w:hAnsi="Times New Roman" w:eastAsia="Times New Roman" w:cs="Times New Roman"/>
              </w:rPr>
              <w:t>mg</w:t>
            </w:r>
            <w:r>
              <w:rPr>
                <w:rFonts w:ascii="Times New Roman" w:hAnsi="Times New Roman" w:eastAsia="Times New Roman" w:cs="Times New Roman"/>
                <w:spacing w:val="4"/>
              </w:rPr>
              <w:t>/L</w:t>
            </w:r>
            <w:r>
              <w:rPr>
                <w:rFonts w:ascii="Times New Roman" w:hAnsi="Times New Roman" w:eastAsia="Times New Roman" w:cs="Times New Roman"/>
                <w:spacing w:val="-19"/>
              </w:rPr>
              <w:t xml:space="preserve"> </w:t>
            </w:r>
            <w:r>
              <w:rPr>
                <w:spacing w:val="4"/>
              </w:rPr>
              <w:t xml:space="preserve">、石油类 </w:t>
            </w:r>
            <w:r>
              <w:rPr>
                <w:rFonts w:ascii="Times New Roman" w:hAnsi="Times New Roman" w:eastAsia="Times New Roman" w:cs="Times New Roman"/>
                <w:spacing w:val="4"/>
              </w:rPr>
              <w:t>30</w:t>
            </w:r>
            <w:r>
              <w:rPr>
                <w:rFonts w:ascii="Times New Roman" w:hAnsi="Times New Roman" w:eastAsia="Times New Roman" w:cs="Times New Roman"/>
              </w:rPr>
              <w:t>mg</w:t>
            </w:r>
            <w:r>
              <w:rPr>
                <w:rFonts w:ascii="Times New Roman" w:hAnsi="Times New Roman" w:eastAsia="Times New Roman" w:cs="Times New Roman"/>
                <w:spacing w:val="4"/>
              </w:rPr>
              <w:t>/L</w:t>
            </w:r>
            <w:r>
              <w:rPr>
                <w:spacing w:val="4"/>
              </w:rPr>
              <w:t>。</w:t>
            </w:r>
          </w:p>
          <w:p w14:paraId="6040FAF0">
            <w:pPr>
              <w:pStyle w:val="6"/>
              <w:spacing w:before="1" w:line="223" w:lineRule="auto"/>
              <w:ind w:left="626"/>
            </w:pPr>
            <w:r>
              <w:rPr>
                <w:spacing w:val="9"/>
              </w:rPr>
              <w:t>③加油棚外场地初期雨水</w:t>
            </w:r>
          </w:p>
        </w:tc>
      </w:tr>
    </w:tbl>
    <w:p w14:paraId="474B3EFA">
      <w:pPr>
        <w:pStyle w:val="2"/>
        <w:rPr>
          <w:sz w:val="21"/>
        </w:rPr>
      </w:pPr>
    </w:p>
    <w:p w14:paraId="4EEDDBF2">
      <w:pPr>
        <w:rPr>
          <w:sz w:val="21"/>
          <w:szCs w:val="21"/>
        </w:rPr>
        <w:sectPr>
          <w:footerReference r:id="rId80" w:type="default"/>
          <w:pgSz w:w="11907" w:h="16840"/>
          <w:pgMar w:top="400" w:right="1453" w:bottom="1008" w:left="1453" w:header="0" w:footer="770" w:gutter="0"/>
          <w:cols w:space="720" w:num="1"/>
        </w:sectPr>
      </w:pPr>
    </w:p>
    <w:p w14:paraId="0EEBE2C2">
      <w:pPr>
        <w:spacing w:before="19"/>
      </w:pPr>
    </w:p>
    <w:p w14:paraId="2FD1EA9F">
      <w:pPr>
        <w:spacing w:before="19"/>
      </w:pPr>
    </w:p>
    <w:p w14:paraId="718C3F52">
      <w:pPr>
        <w:spacing w:before="19"/>
      </w:pPr>
    </w:p>
    <w:p w14:paraId="5DEEF74C">
      <w:pPr>
        <w:spacing w:before="18"/>
      </w:pPr>
    </w:p>
    <w:p w14:paraId="3D40FABE">
      <w:pPr>
        <w:spacing w:before="18"/>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8"/>
        <w:gridCol w:w="113"/>
        <w:gridCol w:w="711"/>
        <w:gridCol w:w="910"/>
        <w:gridCol w:w="932"/>
        <w:gridCol w:w="842"/>
        <w:gridCol w:w="921"/>
        <w:gridCol w:w="769"/>
        <w:gridCol w:w="874"/>
        <w:gridCol w:w="774"/>
        <w:gridCol w:w="1159"/>
        <w:gridCol w:w="122"/>
      </w:tblGrid>
      <w:tr w14:paraId="09EA4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6" w:hRule="atLeast"/>
        </w:trPr>
        <w:tc>
          <w:tcPr>
            <w:tcW w:w="858" w:type="dxa"/>
            <w:vMerge w:val="restart"/>
            <w:tcBorders>
              <w:top w:val="single" w:color="000000" w:sz="6" w:space="0"/>
              <w:left w:val="single" w:color="000000" w:sz="6" w:space="0"/>
              <w:bottom w:val="nil"/>
            </w:tcBorders>
            <w:vAlign w:val="top"/>
          </w:tcPr>
          <w:p w14:paraId="7958A6A7">
            <w:pPr>
              <w:rPr>
                <w:rFonts w:ascii="Arial"/>
                <w:sz w:val="21"/>
              </w:rPr>
            </w:pPr>
          </w:p>
        </w:tc>
        <w:tc>
          <w:tcPr>
            <w:tcW w:w="8127" w:type="dxa"/>
            <w:gridSpan w:val="11"/>
            <w:tcBorders>
              <w:top w:val="single" w:color="000000" w:sz="6" w:space="0"/>
              <w:right w:val="single" w:color="000000" w:sz="6" w:space="0"/>
            </w:tcBorders>
            <w:vAlign w:val="top"/>
          </w:tcPr>
          <w:p w14:paraId="4A4502AA">
            <w:pPr>
              <w:pStyle w:val="6"/>
              <w:spacing w:before="151" w:line="339" w:lineRule="auto"/>
              <w:ind w:left="110" w:right="104" w:firstLine="522"/>
            </w:pPr>
            <w:r>
              <w:rPr>
                <w:spacing w:val="11"/>
              </w:rPr>
              <w:t>项目改扩建实施后，场地初期雨水通过场地内（罩棚外）</w:t>
            </w:r>
            <w:r>
              <w:rPr>
                <w:spacing w:val="-55"/>
              </w:rPr>
              <w:t xml:space="preserve"> </w:t>
            </w:r>
            <w:r>
              <w:rPr>
                <w:spacing w:val="11"/>
              </w:rPr>
              <w:t>已设置</w:t>
            </w:r>
            <w:r>
              <w:rPr>
                <w:spacing w:val="8"/>
              </w:rPr>
              <w:t>地沟，截留汇集至隔油沉淀池进行处理。</w:t>
            </w:r>
          </w:p>
          <w:p w14:paraId="61DDF6FF">
            <w:pPr>
              <w:pStyle w:val="6"/>
              <w:spacing w:line="340" w:lineRule="auto"/>
              <w:ind w:left="110" w:right="101" w:firstLine="522"/>
            </w:pPr>
            <w:r>
              <w:rPr>
                <w:spacing w:val="13"/>
              </w:rPr>
              <w:t>项目位于重庆市九龙坡区（参照沙坪坝区，沙坪坝暴雨强度公式适用范围：长江和嘉陵江之间的地区，包括沙坪坝区、渝中区、九龙</w:t>
            </w:r>
          </w:p>
          <w:p w14:paraId="2ABF8AFC">
            <w:pPr>
              <w:pStyle w:val="6"/>
              <w:spacing w:line="225" w:lineRule="auto"/>
              <w:jc w:val="right"/>
            </w:pPr>
            <w:r>
              <w:rPr>
                <w:spacing w:val="7"/>
              </w:rPr>
              <w:t>坡区、大渡口区和北碚区嘉陵江以南部分区域）暴雨强度计算公式为：</w:t>
            </w:r>
          </w:p>
          <w:p w14:paraId="00AEF416">
            <w:pPr>
              <w:pStyle w:val="6"/>
              <w:spacing w:before="70" w:line="219" w:lineRule="auto"/>
              <w:ind w:left="1980"/>
            </w:pPr>
            <w:r>
              <w:rPr>
                <w:rFonts w:ascii="Times New Roman" w:hAnsi="Times New Roman" w:eastAsia="Times New Roman" w:cs="Times New Roman"/>
                <w:i/>
                <w:iCs/>
                <w:spacing w:val="5"/>
                <w:position w:val="9"/>
              </w:rPr>
              <w:t xml:space="preserve">q </w:t>
            </w:r>
            <w:r>
              <w:rPr>
                <w:position w:val="-12"/>
              </w:rPr>
              <w:drawing>
                <wp:inline distT="0" distB="0" distL="0" distR="0">
                  <wp:extent cx="1412240" cy="37528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45"/>
                          <a:stretch>
                            <a:fillRect/>
                          </a:stretch>
                        </pic:blipFill>
                        <pic:spPr>
                          <a:xfrm>
                            <a:off x="0" y="0"/>
                            <a:ext cx="1412848" cy="375428"/>
                          </a:xfrm>
                          <a:prstGeom prst="rect">
                            <a:avLst/>
                          </a:prstGeom>
                        </pic:spPr>
                      </pic:pic>
                    </a:graphicData>
                  </a:graphic>
                </wp:inline>
              </w:drawing>
            </w:r>
            <w:r>
              <w:rPr>
                <w:rFonts w:ascii="Times New Roman" w:hAnsi="Times New Roman" w:eastAsia="Times New Roman" w:cs="Times New Roman"/>
                <w:i/>
                <w:iCs/>
                <w:spacing w:val="3"/>
                <w:position w:val="9"/>
              </w:rPr>
              <w:t xml:space="preserve"> </w:t>
            </w:r>
            <w:r>
              <w:rPr>
                <w:spacing w:val="5"/>
                <w:position w:val="-22"/>
              </w:rPr>
              <w:t>（升</w:t>
            </w:r>
            <w:r>
              <w:rPr>
                <w:rFonts w:ascii="Times New Roman" w:hAnsi="Times New Roman" w:eastAsia="Times New Roman" w:cs="Times New Roman"/>
                <w:spacing w:val="5"/>
                <w:position w:val="-22"/>
              </w:rPr>
              <w:t>/</w:t>
            </w:r>
            <w:r>
              <w:rPr>
                <w:spacing w:val="5"/>
                <w:position w:val="-22"/>
              </w:rPr>
              <w:t>秒</w:t>
            </w:r>
            <w:r>
              <w:rPr>
                <w:rFonts w:ascii="Times New Roman" w:hAnsi="Times New Roman" w:eastAsia="Times New Roman" w:cs="Times New Roman"/>
                <w:spacing w:val="5"/>
                <w:position w:val="-22"/>
              </w:rPr>
              <w:t>•</w:t>
            </w:r>
            <w:r>
              <w:rPr>
                <w:spacing w:val="5"/>
                <w:position w:val="-22"/>
              </w:rPr>
              <w:t>公顷）</w:t>
            </w:r>
          </w:p>
          <w:p w14:paraId="67E363B6">
            <w:pPr>
              <w:pStyle w:val="6"/>
              <w:spacing w:before="137" w:line="219" w:lineRule="auto"/>
              <w:ind w:left="629"/>
            </w:pPr>
            <w:r>
              <w:rPr>
                <w:spacing w:val="7"/>
              </w:rPr>
              <w:t>其中：</w:t>
            </w:r>
            <w:r>
              <w:rPr>
                <w:rFonts w:ascii="Times New Roman" w:hAnsi="Times New Roman" w:eastAsia="Times New Roman" w:cs="Times New Roman"/>
                <w:spacing w:val="7"/>
              </w:rPr>
              <w:t>q——</w:t>
            </w:r>
            <w:r>
              <w:rPr>
                <w:spacing w:val="7"/>
              </w:rPr>
              <w:t>暴雨强度，</w:t>
            </w:r>
            <w:r>
              <w:rPr>
                <w:rFonts w:ascii="Times New Roman" w:hAnsi="Times New Roman" w:eastAsia="Times New Roman" w:cs="Times New Roman"/>
                <w:spacing w:val="7"/>
              </w:rPr>
              <w:t>L/s·</w:t>
            </w:r>
            <w:r>
              <w:rPr>
                <w:rFonts w:ascii="Times New Roman" w:hAnsi="Times New Roman" w:eastAsia="Times New Roman" w:cs="Times New Roman"/>
              </w:rPr>
              <w:t>hm</w:t>
            </w:r>
            <w:r>
              <w:rPr>
                <w:rFonts w:ascii="Times New Roman" w:hAnsi="Times New Roman" w:eastAsia="Times New Roman" w:cs="Times New Roman"/>
                <w:spacing w:val="7"/>
                <w:position w:val="8"/>
                <w:sz w:val="16"/>
                <w:szCs w:val="16"/>
              </w:rPr>
              <w:t>2</w:t>
            </w:r>
            <w:r>
              <w:rPr>
                <w:spacing w:val="7"/>
              </w:rPr>
              <w:t>；</w:t>
            </w:r>
          </w:p>
          <w:p w14:paraId="60135A8B">
            <w:pPr>
              <w:pStyle w:val="6"/>
              <w:spacing w:before="164" w:line="225" w:lineRule="auto"/>
              <w:ind w:left="623"/>
            </w:pPr>
            <w:r>
              <w:rPr>
                <w:rFonts w:ascii="Times New Roman" w:hAnsi="Times New Roman" w:eastAsia="Times New Roman" w:cs="Times New Roman"/>
                <w:spacing w:val="6"/>
              </w:rPr>
              <w:t>P——</w:t>
            </w:r>
            <w:r>
              <w:rPr>
                <w:spacing w:val="6"/>
              </w:rPr>
              <w:t>重现期，本次取值为</w:t>
            </w:r>
            <w:r>
              <w:rPr>
                <w:spacing w:val="-30"/>
              </w:rPr>
              <w:t xml:space="preserve"> </w:t>
            </w:r>
            <w:r>
              <w:rPr>
                <w:rFonts w:ascii="Times New Roman" w:hAnsi="Times New Roman" w:eastAsia="Times New Roman" w:cs="Times New Roman"/>
                <w:spacing w:val="6"/>
              </w:rPr>
              <w:t xml:space="preserve">1 </w:t>
            </w:r>
            <w:r>
              <w:rPr>
                <w:spacing w:val="6"/>
              </w:rPr>
              <w:t>年；</w:t>
            </w:r>
          </w:p>
          <w:p w14:paraId="248AC81D">
            <w:pPr>
              <w:pStyle w:val="6"/>
              <w:spacing w:before="154" w:line="225" w:lineRule="auto"/>
              <w:ind w:left="621"/>
            </w:pPr>
            <w:r>
              <w:rPr>
                <w:rFonts w:ascii="Times New Roman" w:hAnsi="Times New Roman" w:eastAsia="Times New Roman" w:cs="Times New Roman"/>
                <w:spacing w:val="6"/>
              </w:rPr>
              <w:t>t——</w:t>
            </w:r>
            <w:r>
              <w:rPr>
                <w:spacing w:val="6"/>
              </w:rPr>
              <w:t>降雨历时，本次取</w:t>
            </w:r>
            <w:r>
              <w:rPr>
                <w:spacing w:val="-21"/>
              </w:rPr>
              <w:t xml:space="preserve"> </w:t>
            </w:r>
            <w:r>
              <w:rPr>
                <w:rFonts w:ascii="Times New Roman" w:hAnsi="Times New Roman" w:eastAsia="Times New Roman" w:cs="Times New Roman"/>
                <w:spacing w:val="6"/>
              </w:rPr>
              <w:t>15</w:t>
            </w:r>
            <w:r>
              <w:rPr>
                <w:rFonts w:ascii="Times New Roman" w:hAnsi="Times New Roman" w:eastAsia="Times New Roman" w:cs="Times New Roman"/>
              </w:rPr>
              <w:t>min</w:t>
            </w:r>
            <w:r>
              <w:rPr>
                <w:spacing w:val="6"/>
              </w:rPr>
              <w:t>。</w:t>
            </w:r>
          </w:p>
          <w:p w14:paraId="647A241D">
            <w:pPr>
              <w:pStyle w:val="6"/>
              <w:spacing w:before="155" w:line="332" w:lineRule="auto"/>
              <w:ind w:left="632" w:right="16" w:hanging="4"/>
              <w:rPr>
                <w:rFonts w:ascii="Times New Roman" w:hAnsi="Times New Roman" w:eastAsia="Times New Roman" w:cs="Times New Roman"/>
              </w:rPr>
            </w:pPr>
            <w:r>
              <w:rPr>
                <w:spacing w:val="3"/>
              </w:rPr>
              <w:t>根据上述暴雨强度公式，算得九龙坡区暴雨强度为</w:t>
            </w:r>
            <w:r>
              <w:rPr>
                <w:spacing w:val="-27"/>
              </w:rPr>
              <w:t xml:space="preserve"> </w:t>
            </w:r>
            <w:r>
              <w:rPr>
                <w:rFonts w:ascii="Times New Roman" w:hAnsi="Times New Roman" w:eastAsia="Times New Roman" w:cs="Times New Roman"/>
                <w:spacing w:val="3"/>
              </w:rPr>
              <w:t>188.</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15L/s·</w:t>
            </w:r>
            <w:r>
              <w:rPr>
                <w:rFonts w:ascii="Times New Roman" w:hAnsi="Times New Roman" w:eastAsia="Times New Roman" w:cs="Times New Roman"/>
              </w:rPr>
              <w:t>hm</w:t>
            </w:r>
            <w:r>
              <w:rPr>
                <w:rFonts w:ascii="Times New Roman" w:hAnsi="Times New Roman" w:eastAsia="Times New Roman" w:cs="Times New Roman"/>
                <w:spacing w:val="3"/>
                <w:position w:val="8"/>
                <w:sz w:val="16"/>
                <w:szCs w:val="16"/>
              </w:rPr>
              <w:t>2</w:t>
            </w:r>
            <w:r>
              <w:rPr>
                <w:spacing w:val="3"/>
              </w:rPr>
              <w:t>。</w:t>
            </w:r>
            <w:r>
              <w:rPr>
                <w:spacing w:val="5"/>
              </w:rPr>
              <w:t>设计雨水流量计算公式：</w:t>
            </w:r>
            <w:r>
              <w:rPr>
                <w:rFonts w:ascii="Times New Roman" w:hAnsi="Times New Roman" w:eastAsia="Times New Roman" w:cs="Times New Roman"/>
                <w:spacing w:val="5"/>
              </w:rPr>
              <w:t>Q=φ</w:t>
            </w:r>
            <w:r>
              <w:rPr>
                <w:rFonts w:ascii="Times New Roman" w:hAnsi="Times New Roman" w:eastAsia="Times New Roman" w:cs="Times New Roman"/>
                <w:spacing w:val="-39"/>
              </w:rPr>
              <w:t xml:space="preserve"> </w:t>
            </w:r>
            <w:r>
              <w:rPr>
                <w:rFonts w:ascii="Times New Roman" w:hAnsi="Times New Roman" w:eastAsia="Times New Roman" w:cs="Times New Roman"/>
                <w:spacing w:val="5"/>
              </w:rPr>
              <w:t>×q</w:t>
            </w:r>
            <w:r>
              <w:rPr>
                <w:rFonts w:ascii="Times New Roman" w:hAnsi="Times New Roman" w:eastAsia="Times New Roman" w:cs="Times New Roman"/>
                <w:spacing w:val="-42"/>
              </w:rPr>
              <w:t xml:space="preserve"> </w:t>
            </w:r>
            <w:r>
              <w:rPr>
                <w:rFonts w:ascii="Times New Roman" w:hAnsi="Times New Roman" w:eastAsia="Times New Roman" w:cs="Times New Roman"/>
                <w:spacing w:val="5"/>
              </w:rPr>
              <w:t>×F</w:t>
            </w:r>
          </w:p>
          <w:p w14:paraId="0336CD16">
            <w:pPr>
              <w:pStyle w:val="6"/>
              <w:spacing w:before="21" w:line="221" w:lineRule="auto"/>
              <w:ind w:left="633"/>
            </w:pPr>
            <w:r>
              <w:rPr>
                <w:spacing w:val="7"/>
              </w:rPr>
              <w:t>式中：</w:t>
            </w:r>
            <w:r>
              <w:rPr>
                <w:rFonts w:ascii="Times New Roman" w:hAnsi="Times New Roman" w:eastAsia="Times New Roman" w:cs="Times New Roman"/>
                <w:spacing w:val="7"/>
              </w:rPr>
              <w:t>Q——</w:t>
            </w:r>
            <w:r>
              <w:rPr>
                <w:spacing w:val="7"/>
              </w:rPr>
              <w:t>设计雨水流量，</w:t>
            </w:r>
            <w:r>
              <w:rPr>
                <w:rFonts w:ascii="Times New Roman" w:hAnsi="Times New Roman" w:eastAsia="Times New Roman" w:cs="Times New Roman"/>
                <w:spacing w:val="7"/>
              </w:rPr>
              <w:t>L/s</w:t>
            </w:r>
            <w:r>
              <w:rPr>
                <w:spacing w:val="7"/>
              </w:rPr>
              <w:t>；</w:t>
            </w:r>
          </w:p>
          <w:p w14:paraId="5A89F292">
            <w:pPr>
              <w:pStyle w:val="6"/>
              <w:spacing w:before="161" w:line="212" w:lineRule="auto"/>
              <w:ind w:left="627"/>
            </w:pPr>
            <w:r>
              <w:rPr>
                <w:rFonts w:ascii="Times New Roman" w:hAnsi="Times New Roman" w:eastAsia="Times New Roman" w:cs="Times New Roman"/>
                <w:spacing w:val="7"/>
              </w:rPr>
              <w:t>q——</w:t>
            </w:r>
            <w:r>
              <w:rPr>
                <w:spacing w:val="7"/>
              </w:rPr>
              <w:t>暴雨强度，</w:t>
            </w:r>
            <w:r>
              <w:rPr>
                <w:rFonts w:ascii="Times New Roman" w:hAnsi="Times New Roman" w:eastAsia="Times New Roman" w:cs="Times New Roman"/>
                <w:spacing w:val="7"/>
              </w:rPr>
              <w:t>L/</w:t>
            </w:r>
            <w:r>
              <w:rPr>
                <w:spacing w:val="7"/>
              </w:rPr>
              <w:t>（</w:t>
            </w:r>
            <w:r>
              <w:rPr>
                <w:rFonts w:ascii="Times New Roman" w:hAnsi="Times New Roman" w:eastAsia="Times New Roman" w:cs="Times New Roman"/>
                <w:spacing w:val="7"/>
              </w:rPr>
              <w:t>s•</w:t>
            </w:r>
            <w:r>
              <w:rPr>
                <w:rFonts w:ascii="Times New Roman" w:hAnsi="Times New Roman" w:eastAsia="Times New Roman" w:cs="Times New Roman"/>
              </w:rPr>
              <w:t>hm</w:t>
            </w:r>
            <w:r>
              <w:rPr>
                <w:rFonts w:ascii="Times New Roman" w:hAnsi="Times New Roman" w:eastAsia="Times New Roman" w:cs="Times New Roman"/>
                <w:spacing w:val="7"/>
                <w:position w:val="1"/>
                <w:sz w:val="16"/>
                <w:szCs w:val="16"/>
              </w:rPr>
              <w:t xml:space="preserve">2 </w:t>
            </w:r>
            <w:r>
              <w:rPr>
                <w:spacing w:val="-16"/>
                <w:position w:val="1"/>
              </w:rPr>
              <w:t>）</w:t>
            </w:r>
            <w:r>
              <w:rPr>
                <w:spacing w:val="-16"/>
              </w:rPr>
              <w:t>；</w:t>
            </w:r>
          </w:p>
          <w:p w14:paraId="5C42FA01">
            <w:pPr>
              <w:pStyle w:val="6"/>
              <w:spacing w:before="164" w:line="226" w:lineRule="auto"/>
              <w:ind w:left="622"/>
            </w:pPr>
            <w:r>
              <w:rPr>
                <w:rFonts w:ascii="Times New Roman" w:hAnsi="Times New Roman" w:eastAsia="Times New Roman" w:cs="Times New Roman"/>
                <w:spacing w:val="8"/>
              </w:rPr>
              <w:t>F——</w:t>
            </w:r>
            <w:r>
              <w:rPr>
                <w:spacing w:val="8"/>
              </w:rPr>
              <w:t>汇水面积，</w:t>
            </w:r>
            <w:r>
              <w:rPr>
                <w:rFonts w:ascii="Times New Roman" w:hAnsi="Times New Roman" w:eastAsia="Times New Roman" w:cs="Times New Roman"/>
              </w:rPr>
              <w:t>hm</w:t>
            </w:r>
            <w:r>
              <w:rPr>
                <w:rFonts w:ascii="Times New Roman" w:hAnsi="Times New Roman" w:eastAsia="Times New Roman" w:cs="Times New Roman"/>
                <w:spacing w:val="8"/>
                <w:position w:val="8"/>
                <w:sz w:val="16"/>
                <w:szCs w:val="16"/>
              </w:rPr>
              <w:t>2</w:t>
            </w:r>
            <w:r>
              <w:rPr>
                <w:spacing w:val="8"/>
              </w:rPr>
              <w:t>；</w:t>
            </w:r>
          </w:p>
          <w:p w14:paraId="0879A9E3">
            <w:pPr>
              <w:pStyle w:val="6"/>
              <w:spacing w:before="152" w:line="221" w:lineRule="auto"/>
              <w:ind w:left="627"/>
            </w:pPr>
            <w:r>
              <w:rPr>
                <w:rFonts w:ascii="Times New Roman" w:hAnsi="Times New Roman" w:eastAsia="Times New Roman" w:cs="Times New Roman"/>
                <w:spacing w:val="7"/>
              </w:rPr>
              <w:t>φ——</w:t>
            </w:r>
            <w:r>
              <w:rPr>
                <w:spacing w:val="7"/>
              </w:rPr>
              <w:t>综合径流系数。</w:t>
            </w:r>
          </w:p>
          <w:p w14:paraId="30FF2C07">
            <w:pPr>
              <w:pStyle w:val="6"/>
              <w:spacing w:before="161" w:line="340" w:lineRule="auto"/>
              <w:ind w:left="110" w:right="60" w:firstLine="518"/>
            </w:pPr>
            <w:r>
              <w:rPr>
                <w:spacing w:val="6"/>
              </w:rPr>
              <w:t>加油罩棚外场地汇水总面积（刨除厂内绿化面积等）约为</w:t>
            </w:r>
            <w:r>
              <w:rPr>
                <w:spacing w:val="-35"/>
              </w:rPr>
              <w:t xml:space="preserve"> </w:t>
            </w:r>
            <w:r>
              <w:rPr>
                <w:rFonts w:ascii="Times New Roman" w:hAnsi="Times New Roman" w:eastAsia="Times New Roman" w:cs="Times New Roman"/>
                <w:spacing w:val="6"/>
              </w:rPr>
              <w:t>350m</w:t>
            </w:r>
            <w:r>
              <w:rPr>
                <w:rFonts w:ascii="Times New Roman" w:hAnsi="Times New Roman" w:eastAsia="Times New Roman" w:cs="Times New Roman"/>
                <w:spacing w:val="6"/>
                <w:position w:val="8"/>
                <w:sz w:val="16"/>
                <w:szCs w:val="16"/>
              </w:rPr>
              <w:t>2</w:t>
            </w:r>
            <w:r>
              <w:rPr>
                <w:spacing w:val="6"/>
              </w:rPr>
              <w:t>，</w:t>
            </w:r>
            <w:r>
              <w:rPr>
                <w:spacing w:val="4"/>
              </w:rPr>
              <w:t>径流系数取</w:t>
            </w:r>
            <w:r>
              <w:rPr>
                <w:spacing w:val="-48"/>
              </w:rPr>
              <w:t xml:space="preserve"> </w:t>
            </w:r>
            <w:r>
              <w:rPr>
                <w:rFonts w:ascii="Times New Roman" w:hAnsi="Times New Roman" w:eastAsia="Times New Roman" w:cs="Times New Roman"/>
                <w:spacing w:val="4"/>
              </w:rPr>
              <w:t>0.9</w:t>
            </w:r>
            <w:r>
              <w:rPr>
                <w:rFonts w:ascii="Times New Roman" w:hAnsi="Times New Roman" w:eastAsia="Times New Roman" w:cs="Times New Roman"/>
                <w:spacing w:val="-29"/>
              </w:rPr>
              <w:t xml:space="preserve"> </w:t>
            </w:r>
            <w:r>
              <w:rPr>
                <w:spacing w:val="4"/>
              </w:rPr>
              <w:t>，即设计雨水流量为</w:t>
            </w:r>
            <w:r>
              <w:rPr>
                <w:spacing w:val="-45"/>
              </w:rPr>
              <w:t xml:space="preserve"> </w:t>
            </w:r>
            <w:r>
              <w:rPr>
                <w:rFonts w:ascii="Times New Roman" w:hAnsi="Times New Roman" w:eastAsia="Times New Roman" w:cs="Times New Roman"/>
                <w:spacing w:val="4"/>
              </w:rPr>
              <w:t>5.927L/s</w:t>
            </w:r>
            <w:r>
              <w:rPr>
                <w:rFonts w:ascii="Times New Roman" w:hAnsi="Times New Roman" w:eastAsia="Times New Roman" w:cs="Times New Roman"/>
                <w:spacing w:val="-29"/>
              </w:rPr>
              <w:t xml:space="preserve"> </w:t>
            </w:r>
            <w:r>
              <w:rPr>
                <w:spacing w:val="4"/>
              </w:rPr>
              <w:t>，则暴雨期间</w:t>
            </w:r>
            <w:r>
              <w:rPr>
                <w:spacing w:val="-27"/>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3"/>
              </w:rPr>
              <w:t>5</w:t>
            </w:r>
            <w:r>
              <w:rPr>
                <w:rFonts w:ascii="Times New Roman" w:hAnsi="Times New Roman" w:eastAsia="Times New Roman" w:cs="Times New Roman"/>
              </w:rPr>
              <w:t>min</w:t>
            </w:r>
            <w:r>
              <w:rPr>
                <w:rFonts w:ascii="Times New Roman" w:hAnsi="Times New Roman" w:eastAsia="Times New Roman" w:cs="Times New Roman"/>
                <w:spacing w:val="46"/>
              </w:rPr>
              <w:t xml:space="preserve"> </w:t>
            </w:r>
            <w:r>
              <w:rPr>
                <w:spacing w:val="3"/>
              </w:rPr>
              <w:t>内收</w:t>
            </w:r>
            <w:r>
              <w:rPr>
                <w:spacing w:val="8"/>
              </w:rPr>
              <w:t>集初期雨水水量约</w:t>
            </w:r>
            <w:r>
              <w:rPr>
                <w:spacing w:val="-28"/>
              </w:rPr>
              <w:t xml:space="preserve"> </w:t>
            </w:r>
            <w:r>
              <w:rPr>
                <w:rFonts w:ascii="Times New Roman" w:hAnsi="Times New Roman" w:eastAsia="Times New Roman" w:cs="Times New Roman"/>
                <w:spacing w:val="8"/>
              </w:rPr>
              <w:t>5.33m</w:t>
            </w:r>
            <w:r>
              <w:rPr>
                <w:rFonts w:ascii="Times New Roman" w:hAnsi="Times New Roman" w:eastAsia="Times New Roman" w:cs="Times New Roman"/>
                <w:spacing w:val="8"/>
                <w:position w:val="8"/>
                <w:sz w:val="16"/>
                <w:szCs w:val="16"/>
              </w:rPr>
              <w:t>3</w:t>
            </w:r>
            <w:r>
              <w:rPr>
                <w:rFonts w:ascii="Times New Roman" w:hAnsi="Times New Roman" w:eastAsia="Times New Roman" w:cs="Times New Roman"/>
                <w:spacing w:val="8"/>
              </w:rPr>
              <w:t>/</w:t>
            </w:r>
            <w:r>
              <w:rPr>
                <w:spacing w:val="8"/>
              </w:rPr>
              <w:t>次，调整系数按</w:t>
            </w:r>
            <w:r>
              <w:rPr>
                <w:spacing w:val="-27"/>
              </w:rPr>
              <w:t xml:space="preserve"> </w:t>
            </w:r>
            <w:r>
              <w:rPr>
                <w:rFonts w:ascii="Times New Roman" w:hAnsi="Times New Roman" w:eastAsia="Times New Roman" w:cs="Times New Roman"/>
                <w:spacing w:val="8"/>
              </w:rPr>
              <w:t>1.1</w:t>
            </w:r>
            <w:r>
              <w:rPr>
                <w:rFonts w:ascii="Times New Roman" w:hAnsi="Times New Roman" w:eastAsia="Times New Roman" w:cs="Times New Roman"/>
                <w:spacing w:val="20"/>
              </w:rPr>
              <w:t xml:space="preserve"> </w:t>
            </w:r>
            <w:r>
              <w:rPr>
                <w:spacing w:val="8"/>
              </w:rPr>
              <w:t>计，因此项目所需初期</w:t>
            </w:r>
            <w:r>
              <w:rPr>
                <w:spacing w:val="5"/>
              </w:rPr>
              <w:t>雨水池有效容积为</w:t>
            </w:r>
            <w:r>
              <w:rPr>
                <w:spacing w:val="-39"/>
              </w:rPr>
              <w:t xml:space="preserve"> </w:t>
            </w:r>
            <w:r>
              <w:rPr>
                <w:rFonts w:ascii="Times New Roman" w:hAnsi="Times New Roman" w:eastAsia="Times New Roman" w:cs="Times New Roman"/>
                <w:spacing w:val="5"/>
              </w:rPr>
              <w:t>5.86m</w:t>
            </w:r>
            <w:r>
              <w:rPr>
                <w:rFonts w:ascii="Times New Roman" w:hAnsi="Times New Roman" w:eastAsia="Times New Roman" w:cs="Times New Roman"/>
                <w:spacing w:val="5"/>
                <w:position w:val="8"/>
                <w:sz w:val="16"/>
                <w:szCs w:val="16"/>
              </w:rPr>
              <w:t>3</w:t>
            </w:r>
            <w:r>
              <w:rPr>
                <w:spacing w:val="5"/>
              </w:rPr>
              <w:t>。</w:t>
            </w:r>
          </w:p>
          <w:p w14:paraId="7A415424">
            <w:pPr>
              <w:pStyle w:val="6"/>
              <w:spacing w:before="3" w:line="339" w:lineRule="auto"/>
              <w:ind w:left="109" w:right="104" w:firstLine="523"/>
              <w:jc w:val="both"/>
            </w:pPr>
            <w:r>
              <w:rPr>
                <w:spacing w:val="10"/>
              </w:rPr>
              <w:t>项目已建</w:t>
            </w:r>
            <w:r>
              <w:rPr>
                <w:spacing w:val="-22"/>
              </w:rPr>
              <w:t xml:space="preserve"> </w:t>
            </w:r>
            <w:r>
              <w:rPr>
                <w:rFonts w:ascii="Times New Roman" w:hAnsi="Times New Roman" w:eastAsia="Times New Roman" w:cs="Times New Roman"/>
                <w:spacing w:val="10"/>
              </w:rPr>
              <w:t>1</w:t>
            </w:r>
            <w:r>
              <w:rPr>
                <w:rFonts w:ascii="Times New Roman" w:hAnsi="Times New Roman" w:eastAsia="Times New Roman" w:cs="Times New Roman"/>
                <w:spacing w:val="20"/>
              </w:rPr>
              <w:t xml:space="preserve"> </w:t>
            </w:r>
            <w:r>
              <w:rPr>
                <w:spacing w:val="10"/>
              </w:rPr>
              <w:t>座隔油沉淀池（三段式隔油沉淀池</w:t>
            </w:r>
            <w:r>
              <w:rPr>
                <w:spacing w:val="4"/>
              </w:rPr>
              <w:t>）</w:t>
            </w:r>
            <w:r>
              <w:rPr>
                <w:spacing w:val="-75"/>
              </w:rPr>
              <w:t xml:space="preserve"> </w:t>
            </w:r>
            <w:r>
              <w:rPr>
                <w:spacing w:val="4"/>
              </w:rPr>
              <w:t>，</w:t>
            </w:r>
            <w:r>
              <w:rPr>
                <w:spacing w:val="10"/>
              </w:rPr>
              <w:t>兼作初期雨水</w:t>
            </w:r>
            <w:r>
              <w:rPr>
                <w:spacing w:val="6"/>
              </w:rPr>
              <w:t>池，有效容积为</w:t>
            </w:r>
            <w:r>
              <w:rPr>
                <w:spacing w:val="-39"/>
              </w:rPr>
              <w:t xml:space="preserve"> </w:t>
            </w:r>
            <w:r>
              <w:rPr>
                <w:rFonts w:ascii="Times New Roman" w:hAnsi="Times New Roman" w:eastAsia="Times New Roman" w:cs="Times New Roman"/>
                <w:spacing w:val="6"/>
              </w:rPr>
              <w:t>7.5m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9"/>
                <w:position w:val="8"/>
                <w:sz w:val="16"/>
                <w:szCs w:val="16"/>
              </w:rPr>
              <w:t xml:space="preserve"> </w:t>
            </w:r>
            <w:r>
              <w:rPr>
                <w:spacing w:val="6"/>
              </w:rPr>
              <w:t>，满足初期雨水收集处理能力，经隔油沉淀后排</w:t>
            </w:r>
            <w:r>
              <w:rPr>
                <w:spacing w:val="8"/>
              </w:rPr>
              <w:t>入汇入市政污水管网。</w:t>
            </w:r>
          </w:p>
          <w:p w14:paraId="75059D03">
            <w:pPr>
              <w:pStyle w:val="6"/>
              <w:spacing w:before="1" w:line="218" w:lineRule="auto"/>
              <w:ind w:left="1292"/>
            </w:pPr>
            <w:r>
              <w:rPr>
                <w:spacing w:val="7"/>
              </w:rPr>
              <w:t>表</w:t>
            </w:r>
            <w:r>
              <w:rPr>
                <w:spacing w:val="-49"/>
              </w:rPr>
              <w:t xml:space="preserve"> </w:t>
            </w:r>
            <w:r>
              <w:rPr>
                <w:rFonts w:ascii="Times New Roman" w:hAnsi="Times New Roman" w:eastAsia="Times New Roman" w:cs="Times New Roman"/>
                <w:spacing w:val="7"/>
              </w:rPr>
              <w:t xml:space="preserve">4.2-7    </w:t>
            </w:r>
            <w:r>
              <w:rPr>
                <w:spacing w:val="7"/>
              </w:rPr>
              <w:t>本项目实施后全站废水产生情况一览表</w:t>
            </w:r>
          </w:p>
        </w:tc>
      </w:tr>
      <w:tr w14:paraId="3ADB0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2" w:hRule="atLeast"/>
        </w:trPr>
        <w:tc>
          <w:tcPr>
            <w:tcW w:w="858" w:type="dxa"/>
            <w:vMerge w:val="continue"/>
            <w:tcBorders>
              <w:top w:val="nil"/>
              <w:left w:val="single" w:color="000000" w:sz="6" w:space="0"/>
              <w:bottom w:val="nil"/>
            </w:tcBorders>
            <w:vAlign w:val="top"/>
          </w:tcPr>
          <w:p w14:paraId="665D3349">
            <w:pPr>
              <w:rPr>
                <w:rFonts w:ascii="Arial"/>
                <w:sz w:val="21"/>
              </w:rPr>
            </w:pPr>
          </w:p>
        </w:tc>
        <w:tc>
          <w:tcPr>
            <w:tcW w:w="113" w:type="dxa"/>
            <w:tcBorders>
              <w:top w:val="nil"/>
              <w:bottom w:val="nil"/>
            </w:tcBorders>
            <w:vAlign w:val="top"/>
          </w:tcPr>
          <w:p w14:paraId="12512991">
            <w:pPr>
              <w:rPr>
                <w:rFonts w:ascii="Arial"/>
                <w:sz w:val="21"/>
              </w:rPr>
            </w:pPr>
          </w:p>
        </w:tc>
        <w:tc>
          <w:tcPr>
            <w:tcW w:w="711" w:type="dxa"/>
            <w:vMerge w:val="restart"/>
            <w:tcBorders>
              <w:bottom w:val="nil"/>
            </w:tcBorders>
            <w:vAlign w:val="top"/>
          </w:tcPr>
          <w:p w14:paraId="09731C4B">
            <w:pPr>
              <w:spacing w:line="335" w:lineRule="auto"/>
              <w:rPr>
                <w:rFonts w:ascii="Arial"/>
                <w:sz w:val="21"/>
              </w:rPr>
            </w:pPr>
          </w:p>
          <w:p w14:paraId="2333C05C">
            <w:pPr>
              <w:spacing w:line="336" w:lineRule="auto"/>
              <w:rPr>
                <w:rFonts w:ascii="Arial"/>
                <w:sz w:val="21"/>
              </w:rPr>
            </w:pPr>
          </w:p>
          <w:p w14:paraId="2E703082">
            <w:pPr>
              <w:pStyle w:val="6"/>
              <w:spacing w:before="71" w:line="220" w:lineRule="auto"/>
              <w:ind w:left="135"/>
              <w:rPr>
                <w:sz w:val="22"/>
                <w:szCs w:val="22"/>
              </w:rPr>
            </w:pPr>
            <w:r>
              <w:rPr>
                <w:spacing w:val="-4"/>
                <w:sz w:val="22"/>
                <w:szCs w:val="22"/>
              </w:rPr>
              <w:t>类别</w:t>
            </w:r>
          </w:p>
        </w:tc>
        <w:tc>
          <w:tcPr>
            <w:tcW w:w="910" w:type="dxa"/>
            <w:vMerge w:val="restart"/>
            <w:tcBorders>
              <w:bottom w:val="nil"/>
            </w:tcBorders>
            <w:vAlign w:val="top"/>
          </w:tcPr>
          <w:p w14:paraId="428BFE37">
            <w:pPr>
              <w:spacing w:line="264" w:lineRule="auto"/>
              <w:rPr>
                <w:rFonts w:ascii="Arial"/>
                <w:sz w:val="21"/>
              </w:rPr>
            </w:pPr>
          </w:p>
          <w:p w14:paraId="71C970C9">
            <w:pPr>
              <w:spacing w:line="265" w:lineRule="auto"/>
              <w:rPr>
                <w:rFonts w:ascii="Arial"/>
                <w:sz w:val="21"/>
              </w:rPr>
            </w:pPr>
          </w:p>
          <w:p w14:paraId="5313EBF6">
            <w:pPr>
              <w:pStyle w:val="6"/>
              <w:spacing w:before="71"/>
              <w:ind w:left="236" w:right="126" w:hanging="108"/>
              <w:rPr>
                <w:sz w:val="22"/>
                <w:szCs w:val="22"/>
              </w:rPr>
            </w:pPr>
            <w:r>
              <w:rPr>
                <w:spacing w:val="-4"/>
                <w:sz w:val="22"/>
                <w:szCs w:val="22"/>
              </w:rPr>
              <w:t>污染物种类</w:t>
            </w:r>
          </w:p>
        </w:tc>
        <w:tc>
          <w:tcPr>
            <w:tcW w:w="932" w:type="dxa"/>
            <w:vMerge w:val="restart"/>
            <w:tcBorders>
              <w:bottom w:val="nil"/>
            </w:tcBorders>
            <w:vAlign w:val="top"/>
          </w:tcPr>
          <w:p w14:paraId="19DCDE13">
            <w:pPr>
              <w:spacing w:line="265" w:lineRule="auto"/>
              <w:rPr>
                <w:rFonts w:ascii="Arial"/>
                <w:sz w:val="21"/>
              </w:rPr>
            </w:pPr>
          </w:p>
          <w:p w14:paraId="31172CBC">
            <w:pPr>
              <w:spacing w:line="266" w:lineRule="auto"/>
              <w:rPr>
                <w:rFonts w:ascii="Arial"/>
                <w:sz w:val="21"/>
              </w:rPr>
            </w:pPr>
          </w:p>
          <w:p w14:paraId="0092B44C">
            <w:pPr>
              <w:pStyle w:val="6"/>
              <w:spacing w:before="71"/>
              <w:ind w:left="112" w:right="108" w:firstLine="27"/>
              <w:rPr>
                <w:rFonts w:ascii="Times New Roman" w:hAnsi="Times New Roman" w:eastAsia="Times New Roman" w:cs="Times New Roman"/>
                <w:sz w:val="22"/>
                <w:szCs w:val="22"/>
              </w:rPr>
            </w:pPr>
            <w:r>
              <w:rPr>
                <w:spacing w:val="-3"/>
                <w:sz w:val="22"/>
                <w:szCs w:val="22"/>
              </w:rPr>
              <w:t>废水排</w:t>
            </w:r>
            <w:r>
              <w:rPr>
                <w:spacing w:val="-2"/>
                <w:sz w:val="22"/>
                <w:szCs w:val="22"/>
              </w:rPr>
              <w:t>放量</w:t>
            </w:r>
            <w:r>
              <w:rPr>
                <w:spacing w:val="-55"/>
                <w:sz w:val="22"/>
                <w:szCs w:val="22"/>
              </w:rPr>
              <w:t xml:space="preserve"> </w:t>
            </w:r>
            <w:r>
              <w:rPr>
                <w:rFonts w:ascii="Times New Roman" w:hAnsi="Times New Roman" w:eastAsia="Times New Roman" w:cs="Times New Roman"/>
                <w:spacing w:val="-2"/>
                <w:sz w:val="22"/>
                <w:szCs w:val="22"/>
              </w:rPr>
              <w:t>t/a</w:t>
            </w:r>
          </w:p>
        </w:tc>
        <w:tc>
          <w:tcPr>
            <w:tcW w:w="1763" w:type="dxa"/>
            <w:gridSpan w:val="2"/>
            <w:vAlign w:val="top"/>
          </w:tcPr>
          <w:p w14:paraId="449FFD48">
            <w:pPr>
              <w:spacing w:line="399" w:lineRule="auto"/>
              <w:rPr>
                <w:rFonts w:ascii="Arial"/>
                <w:sz w:val="21"/>
              </w:rPr>
            </w:pPr>
          </w:p>
          <w:p w14:paraId="09F74474">
            <w:pPr>
              <w:pStyle w:val="6"/>
              <w:spacing w:before="71" w:line="222" w:lineRule="auto"/>
              <w:ind w:left="562"/>
              <w:rPr>
                <w:sz w:val="22"/>
                <w:szCs w:val="22"/>
              </w:rPr>
            </w:pPr>
            <w:r>
              <w:rPr>
                <w:spacing w:val="-4"/>
                <w:sz w:val="22"/>
                <w:szCs w:val="22"/>
              </w:rPr>
              <w:t>处理前</w:t>
            </w:r>
          </w:p>
        </w:tc>
        <w:tc>
          <w:tcPr>
            <w:tcW w:w="1643" w:type="dxa"/>
            <w:gridSpan w:val="2"/>
            <w:vAlign w:val="top"/>
          </w:tcPr>
          <w:p w14:paraId="715D08FE">
            <w:pPr>
              <w:pStyle w:val="6"/>
              <w:spacing w:before="45" w:line="221" w:lineRule="auto"/>
              <w:ind w:left="174"/>
              <w:rPr>
                <w:sz w:val="22"/>
                <w:szCs w:val="22"/>
              </w:rPr>
            </w:pPr>
            <w:r>
              <w:rPr>
                <w:spacing w:val="-2"/>
                <w:sz w:val="22"/>
                <w:szCs w:val="22"/>
              </w:rPr>
              <w:t>处理后（三级</w:t>
            </w:r>
          </w:p>
          <w:p w14:paraId="0D130282">
            <w:pPr>
              <w:pStyle w:val="6"/>
              <w:spacing w:before="19" w:line="221" w:lineRule="auto"/>
              <w:ind w:left="171"/>
              <w:rPr>
                <w:sz w:val="22"/>
                <w:szCs w:val="22"/>
              </w:rPr>
            </w:pPr>
            <w:r>
              <w:rPr>
                <w:spacing w:val="-2"/>
                <w:sz w:val="22"/>
                <w:szCs w:val="22"/>
              </w:rPr>
              <w:t>标准，排入大</w:t>
            </w:r>
          </w:p>
          <w:p w14:paraId="557CAC1A">
            <w:pPr>
              <w:pStyle w:val="6"/>
              <w:spacing w:before="22" w:line="220" w:lineRule="auto"/>
              <w:ind w:left="285"/>
              <w:rPr>
                <w:sz w:val="22"/>
                <w:szCs w:val="22"/>
              </w:rPr>
            </w:pPr>
            <w:r>
              <w:rPr>
                <w:spacing w:val="-3"/>
                <w:sz w:val="22"/>
                <w:szCs w:val="22"/>
              </w:rPr>
              <w:t>九污水处理</w:t>
            </w:r>
          </w:p>
          <w:p w14:paraId="04CCCC44">
            <w:pPr>
              <w:pStyle w:val="6"/>
              <w:spacing w:before="22" w:line="195" w:lineRule="auto"/>
              <w:ind w:left="612"/>
              <w:rPr>
                <w:sz w:val="22"/>
                <w:szCs w:val="22"/>
              </w:rPr>
            </w:pPr>
            <w:r>
              <w:rPr>
                <w:spacing w:val="-6"/>
                <w:sz w:val="22"/>
                <w:szCs w:val="22"/>
              </w:rPr>
              <w:t>厂）</w:t>
            </w:r>
          </w:p>
        </w:tc>
        <w:tc>
          <w:tcPr>
            <w:tcW w:w="1933" w:type="dxa"/>
            <w:gridSpan w:val="2"/>
            <w:vAlign w:val="top"/>
          </w:tcPr>
          <w:p w14:paraId="4BEC1C50">
            <w:pPr>
              <w:spacing w:line="255" w:lineRule="auto"/>
              <w:rPr>
                <w:rFonts w:ascii="Arial"/>
                <w:sz w:val="21"/>
              </w:rPr>
            </w:pPr>
          </w:p>
          <w:p w14:paraId="5846F116">
            <w:pPr>
              <w:pStyle w:val="6"/>
              <w:spacing w:before="72" w:line="242" w:lineRule="auto"/>
              <w:ind w:left="120" w:right="71" w:firstLine="2"/>
              <w:rPr>
                <w:sz w:val="22"/>
                <w:szCs w:val="22"/>
              </w:rPr>
            </w:pPr>
            <w:r>
              <w:rPr>
                <w:spacing w:val="-12"/>
                <w:sz w:val="22"/>
                <w:szCs w:val="22"/>
              </w:rPr>
              <w:t>处理后（一级</w:t>
            </w:r>
            <w:r>
              <w:rPr>
                <w:spacing w:val="-49"/>
                <w:sz w:val="22"/>
                <w:szCs w:val="22"/>
              </w:rPr>
              <w:t xml:space="preserve"> </w:t>
            </w:r>
            <w:r>
              <w:rPr>
                <w:rFonts w:ascii="Times New Roman" w:hAnsi="Times New Roman" w:eastAsia="Times New Roman" w:cs="Times New Roman"/>
                <w:spacing w:val="-12"/>
                <w:sz w:val="22"/>
                <w:szCs w:val="22"/>
              </w:rPr>
              <w:t xml:space="preserve">A </w:t>
            </w:r>
            <w:r>
              <w:rPr>
                <w:spacing w:val="-12"/>
                <w:sz w:val="22"/>
                <w:szCs w:val="22"/>
              </w:rPr>
              <w:t>标</w:t>
            </w:r>
            <w:r>
              <w:rPr>
                <w:spacing w:val="-3"/>
                <w:sz w:val="22"/>
                <w:szCs w:val="22"/>
              </w:rPr>
              <w:t>准，排入外环境）</w:t>
            </w:r>
          </w:p>
        </w:tc>
        <w:tc>
          <w:tcPr>
            <w:tcW w:w="122" w:type="dxa"/>
            <w:tcBorders>
              <w:top w:val="nil"/>
              <w:bottom w:val="nil"/>
              <w:right w:val="single" w:color="000000" w:sz="6" w:space="0"/>
            </w:tcBorders>
            <w:vAlign w:val="top"/>
          </w:tcPr>
          <w:p w14:paraId="66E1B40E">
            <w:pPr>
              <w:rPr>
                <w:rFonts w:ascii="Arial"/>
                <w:sz w:val="21"/>
              </w:rPr>
            </w:pPr>
          </w:p>
        </w:tc>
      </w:tr>
      <w:tr w14:paraId="370E4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58" w:type="dxa"/>
            <w:vMerge w:val="continue"/>
            <w:tcBorders>
              <w:top w:val="nil"/>
              <w:left w:val="single" w:color="000000" w:sz="6" w:space="0"/>
              <w:bottom w:val="nil"/>
            </w:tcBorders>
            <w:vAlign w:val="top"/>
          </w:tcPr>
          <w:p w14:paraId="356320D6">
            <w:pPr>
              <w:rPr>
                <w:rFonts w:ascii="Arial"/>
                <w:sz w:val="21"/>
              </w:rPr>
            </w:pPr>
          </w:p>
        </w:tc>
        <w:tc>
          <w:tcPr>
            <w:tcW w:w="113" w:type="dxa"/>
            <w:tcBorders>
              <w:top w:val="nil"/>
              <w:bottom w:val="nil"/>
            </w:tcBorders>
            <w:vAlign w:val="top"/>
          </w:tcPr>
          <w:p w14:paraId="45248283">
            <w:pPr>
              <w:rPr>
                <w:rFonts w:ascii="Arial"/>
                <w:sz w:val="21"/>
              </w:rPr>
            </w:pPr>
          </w:p>
        </w:tc>
        <w:tc>
          <w:tcPr>
            <w:tcW w:w="711" w:type="dxa"/>
            <w:vMerge w:val="continue"/>
            <w:tcBorders>
              <w:top w:val="nil"/>
            </w:tcBorders>
            <w:vAlign w:val="top"/>
          </w:tcPr>
          <w:p w14:paraId="17AEAFAD">
            <w:pPr>
              <w:rPr>
                <w:rFonts w:ascii="Arial"/>
                <w:sz w:val="21"/>
              </w:rPr>
            </w:pPr>
          </w:p>
        </w:tc>
        <w:tc>
          <w:tcPr>
            <w:tcW w:w="910" w:type="dxa"/>
            <w:vMerge w:val="continue"/>
            <w:tcBorders>
              <w:top w:val="nil"/>
            </w:tcBorders>
            <w:vAlign w:val="top"/>
          </w:tcPr>
          <w:p w14:paraId="16AC83AF">
            <w:pPr>
              <w:rPr>
                <w:rFonts w:ascii="Arial"/>
                <w:sz w:val="21"/>
              </w:rPr>
            </w:pPr>
          </w:p>
        </w:tc>
        <w:tc>
          <w:tcPr>
            <w:tcW w:w="932" w:type="dxa"/>
            <w:vMerge w:val="continue"/>
            <w:tcBorders>
              <w:top w:val="nil"/>
            </w:tcBorders>
            <w:vAlign w:val="top"/>
          </w:tcPr>
          <w:p w14:paraId="5AFB454E">
            <w:pPr>
              <w:rPr>
                <w:rFonts w:ascii="Arial"/>
                <w:sz w:val="21"/>
              </w:rPr>
            </w:pPr>
          </w:p>
        </w:tc>
        <w:tc>
          <w:tcPr>
            <w:tcW w:w="842" w:type="dxa"/>
            <w:vAlign w:val="top"/>
          </w:tcPr>
          <w:p w14:paraId="178351FF">
            <w:pPr>
              <w:pStyle w:val="6"/>
              <w:spacing w:before="48" w:line="217" w:lineRule="auto"/>
              <w:ind w:left="179" w:right="181" w:firstLine="18"/>
              <w:rPr>
                <w:rFonts w:ascii="Times New Roman" w:hAnsi="Times New Roman" w:eastAsia="Times New Roman" w:cs="Times New Roman"/>
                <w:sz w:val="22"/>
                <w:szCs w:val="22"/>
              </w:rPr>
            </w:pPr>
            <w:r>
              <w:rPr>
                <w:spacing w:val="-4"/>
                <w:sz w:val="22"/>
                <w:szCs w:val="22"/>
              </w:rPr>
              <w:t>浓度</w:t>
            </w:r>
            <w:r>
              <w:rPr>
                <w:rFonts w:ascii="Times New Roman" w:hAnsi="Times New Roman" w:eastAsia="Times New Roman" w:cs="Times New Roman"/>
                <w:spacing w:val="-1"/>
                <w:sz w:val="22"/>
                <w:szCs w:val="22"/>
              </w:rPr>
              <w:t>mg/L</w:t>
            </w:r>
          </w:p>
        </w:tc>
        <w:tc>
          <w:tcPr>
            <w:tcW w:w="921" w:type="dxa"/>
            <w:vAlign w:val="top"/>
          </w:tcPr>
          <w:p w14:paraId="1EFF5EBD">
            <w:pPr>
              <w:pStyle w:val="6"/>
              <w:spacing w:before="175" w:line="220" w:lineRule="auto"/>
              <w:jc w:val="right"/>
              <w:rPr>
                <w:rFonts w:ascii="Times New Roman" w:hAnsi="Times New Roman" w:eastAsia="Times New Roman" w:cs="Times New Roman"/>
                <w:sz w:val="22"/>
                <w:szCs w:val="22"/>
              </w:rPr>
            </w:pPr>
            <w:r>
              <w:rPr>
                <w:spacing w:val="-4"/>
                <w:sz w:val="22"/>
                <w:szCs w:val="22"/>
              </w:rPr>
              <w:t>产生</w:t>
            </w:r>
            <w:r>
              <w:rPr>
                <w:spacing w:val="-3"/>
                <w:sz w:val="22"/>
                <w:szCs w:val="22"/>
              </w:rPr>
              <w:t>量</w:t>
            </w:r>
            <w:r>
              <w:rPr>
                <w:spacing w:val="-57"/>
                <w:sz w:val="22"/>
                <w:szCs w:val="22"/>
              </w:rPr>
              <w:t xml:space="preserve"> </w:t>
            </w:r>
            <w:r>
              <w:rPr>
                <w:rFonts w:ascii="Times New Roman" w:hAnsi="Times New Roman" w:eastAsia="Times New Roman" w:cs="Times New Roman"/>
                <w:spacing w:val="-3"/>
                <w:sz w:val="22"/>
                <w:szCs w:val="22"/>
              </w:rPr>
              <w:t>t/</w:t>
            </w:r>
            <w:r>
              <w:rPr>
                <w:rFonts w:ascii="Times New Roman" w:hAnsi="Times New Roman" w:eastAsia="Times New Roman" w:cs="Times New Roman"/>
                <w:spacing w:val="-1"/>
                <w:sz w:val="22"/>
                <w:szCs w:val="22"/>
              </w:rPr>
              <w:t>a</w:t>
            </w:r>
          </w:p>
        </w:tc>
        <w:tc>
          <w:tcPr>
            <w:tcW w:w="769" w:type="dxa"/>
            <w:vAlign w:val="top"/>
          </w:tcPr>
          <w:p w14:paraId="3D701790">
            <w:pPr>
              <w:pStyle w:val="6"/>
              <w:spacing w:before="48" w:line="217" w:lineRule="auto"/>
              <w:ind w:left="139" w:right="150" w:firstLine="23"/>
              <w:rPr>
                <w:rFonts w:ascii="Times New Roman" w:hAnsi="Times New Roman" w:eastAsia="Times New Roman" w:cs="Times New Roman"/>
                <w:sz w:val="22"/>
                <w:szCs w:val="22"/>
              </w:rPr>
            </w:pPr>
            <w:r>
              <w:rPr>
                <w:spacing w:val="-4"/>
                <w:sz w:val="22"/>
                <w:szCs w:val="22"/>
              </w:rPr>
              <w:t>浓度</w:t>
            </w:r>
            <w:r>
              <w:rPr>
                <w:rFonts w:ascii="Times New Roman" w:hAnsi="Times New Roman" w:eastAsia="Times New Roman" w:cs="Times New Roman"/>
                <w:spacing w:val="-1"/>
                <w:sz w:val="22"/>
                <w:szCs w:val="22"/>
              </w:rPr>
              <w:t>mg/L</w:t>
            </w:r>
          </w:p>
        </w:tc>
        <w:tc>
          <w:tcPr>
            <w:tcW w:w="874" w:type="dxa"/>
            <w:vAlign w:val="top"/>
          </w:tcPr>
          <w:p w14:paraId="679C8D18">
            <w:pPr>
              <w:pStyle w:val="6"/>
              <w:spacing w:before="47" w:line="222" w:lineRule="auto"/>
              <w:ind w:left="109"/>
              <w:rPr>
                <w:sz w:val="22"/>
                <w:szCs w:val="22"/>
              </w:rPr>
            </w:pPr>
            <w:r>
              <w:rPr>
                <w:spacing w:val="-3"/>
                <w:sz w:val="22"/>
                <w:szCs w:val="22"/>
              </w:rPr>
              <w:t>排放量</w:t>
            </w:r>
          </w:p>
          <w:p w14:paraId="0A7053F5">
            <w:pPr>
              <w:spacing w:before="39" w:line="175" w:lineRule="auto"/>
              <w:ind w:left="32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t/a</w:t>
            </w:r>
          </w:p>
        </w:tc>
        <w:tc>
          <w:tcPr>
            <w:tcW w:w="774" w:type="dxa"/>
            <w:vAlign w:val="top"/>
          </w:tcPr>
          <w:p w14:paraId="60F20762">
            <w:pPr>
              <w:pStyle w:val="6"/>
              <w:spacing w:before="48" w:line="217" w:lineRule="auto"/>
              <w:ind w:left="142" w:right="149" w:firstLine="26"/>
              <w:rPr>
                <w:rFonts w:ascii="Times New Roman" w:hAnsi="Times New Roman" w:eastAsia="Times New Roman" w:cs="Times New Roman"/>
                <w:sz w:val="22"/>
                <w:szCs w:val="22"/>
              </w:rPr>
            </w:pPr>
            <w:r>
              <w:rPr>
                <w:spacing w:val="-4"/>
                <w:sz w:val="22"/>
                <w:szCs w:val="22"/>
              </w:rPr>
              <w:t>浓度</w:t>
            </w:r>
            <w:r>
              <w:rPr>
                <w:rFonts w:ascii="Times New Roman" w:hAnsi="Times New Roman" w:eastAsia="Times New Roman" w:cs="Times New Roman"/>
                <w:spacing w:val="-1"/>
                <w:sz w:val="22"/>
                <w:szCs w:val="22"/>
              </w:rPr>
              <w:t>mg/L</w:t>
            </w:r>
          </w:p>
        </w:tc>
        <w:tc>
          <w:tcPr>
            <w:tcW w:w="1159" w:type="dxa"/>
            <w:vAlign w:val="top"/>
          </w:tcPr>
          <w:p w14:paraId="369221DB">
            <w:pPr>
              <w:pStyle w:val="6"/>
              <w:spacing w:before="175" w:line="222" w:lineRule="auto"/>
              <w:ind w:left="114"/>
              <w:rPr>
                <w:rFonts w:ascii="Times New Roman" w:hAnsi="Times New Roman" w:eastAsia="Times New Roman" w:cs="Times New Roman"/>
                <w:sz w:val="22"/>
                <w:szCs w:val="22"/>
              </w:rPr>
            </w:pPr>
            <w:r>
              <w:rPr>
                <w:spacing w:val="-2"/>
                <w:sz w:val="22"/>
                <w:szCs w:val="22"/>
              </w:rPr>
              <w:t>排放量</w:t>
            </w:r>
            <w:r>
              <w:rPr>
                <w:spacing w:val="-51"/>
                <w:sz w:val="22"/>
                <w:szCs w:val="22"/>
              </w:rPr>
              <w:t xml:space="preserve"> </w:t>
            </w:r>
            <w:r>
              <w:rPr>
                <w:rFonts w:ascii="Times New Roman" w:hAnsi="Times New Roman" w:eastAsia="Times New Roman" w:cs="Times New Roman"/>
                <w:spacing w:val="-2"/>
                <w:sz w:val="22"/>
                <w:szCs w:val="22"/>
              </w:rPr>
              <w:t>t/a</w:t>
            </w:r>
          </w:p>
        </w:tc>
        <w:tc>
          <w:tcPr>
            <w:tcW w:w="122" w:type="dxa"/>
            <w:tcBorders>
              <w:top w:val="nil"/>
              <w:bottom w:val="nil"/>
              <w:right w:val="single" w:color="000000" w:sz="6" w:space="0"/>
            </w:tcBorders>
            <w:vAlign w:val="top"/>
          </w:tcPr>
          <w:p w14:paraId="559FA0F3">
            <w:pPr>
              <w:rPr>
                <w:rFonts w:ascii="Arial"/>
                <w:sz w:val="21"/>
              </w:rPr>
            </w:pPr>
          </w:p>
        </w:tc>
      </w:tr>
      <w:tr w14:paraId="4F076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58" w:type="dxa"/>
            <w:vMerge w:val="continue"/>
            <w:tcBorders>
              <w:top w:val="nil"/>
              <w:left w:val="single" w:color="000000" w:sz="6" w:space="0"/>
              <w:bottom w:val="single" w:color="000000" w:sz="6" w:space="0"/>
            </w:tcBorders>
            <w:vAlign w:val="top"/>
          </w:tcPr>
          <w:p w14:paraId="415C838C">
            <w:pPr>
              <w:rPr>
                <w:rFonts w:ascii="Arial"/>
                <w:sz w:val="21"/>
              </w:rPr>
            </w:pPr>
          </w:p>
        </w:tc>
        <w:tc>
          <w:tcPr>
            <w:tcW w:w="113" w:type="dxa"/>
            <w:tcBorders>
              <w:top w:val="nil"/>
              <w:bottom w:val="single" w:color="000000" w:sz="6" w:space="0"/>
            </w:tcBorders>
            <w:vAlign w:val="top"/>
          </w:tcPr>
          <w:p w14:paraId="30E1C174">
            <w:pPr>
              <w:rPr>
                <w:rFonts w:ascii="Arial"/>
                <w:sz w:val="21"/>
              </w:rPr>
            </w:pPr>
          </w:p>
        </w:tc>
        <w:tc>
          <w:tcPr>
            <w:tcW w:w="711" w:type="dxa"/>
            <w:tcBorders>
              <w:bottom w:val="single" w:color="000000" w:sz="6" w:space="0"/>
            </w:tcBorders>
            <w:vAlign w:val="top"/>
          </w:tcPr>
          <w:p w14:paraId="741E481D">
            <w:pPr>
              <w:pStyle w:val="6"/>
              <w:spacing w:before="73" w:line="221" w:lineRule="auto"/>
              <w:ind w:left="136"/>
              <w:rPr>
                <w:sz w:val="22"/>
                <w:szCs w:val="22"/>
              </w:rPr>
            </w:pPr>
            <w:r>
              <w:rPr>
                <w:spacing w:val="-5"/>
                <w:sz w:val="22"/>
                <w:szCs w:val="22"/>
              </w:rPr>
              <w:t>生活</w:t>
            </w:r>
          </w:p>
        </w:tc>
        <w:tc>
          <w:tcPr>
            <w:tcW w:w="910" w:type="dxa"/>
            <w:tcBorders>
              <w:bottom w:val="single" w:color="000000" w:sz="6" w:space="0"/>
            </w:tcBorders>
            <w:vAlign w:val="top"/>
          </w:tcPr>
          <w:p w14:paraId="366F9DED">
            <w:pPr>
              <w:spacing w:before="108" w:line="189" w:lineRule="auto"/>
              <w:ind w:left="22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COD</w:t>
            </w:r>
          </w:p>
        </w:tc>
        <w:tc>
          <w:tcPr>
            <w:tcW w:w="932" w:type="dxa"/>
            <w:tcBorders>
              <w:bottom w:val="single" w:color="000000" w:sz="6" w:space="0"/>
            </w:tcBorders>
            <w:vAlign w:val="top"/>
          </w:tcPr>
          <w:p w14:paraId="4E18F4EE">
            <w:pPr>
              <w:spacing w:before="109" w:line="189" w:lineRule="auto"/>
              <w:ind w:left="11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739.125</w:t>
            </w:r>
          </w:p>
        </w:tc>
        <w:tc>
          <w:tcPr>
            <w:tcW w:w="842" w:type="dxa"/>
            <w:tcBorders>
              <w:bottom w:val="single" w:color="000000" w:sz="6" w:space="0"/>
            </w:tcBorders>
            <w:vAlign w:val="top"/>
          </w:tcPr>
          <w:p w14:paraId="3D5C29AD">
            <w:pPr>
              <w:spacing w:before="109" w:line="189" w:lineRule="auto"/>
              <w:ind w:left="26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600</w:t>
            </w:r>
          </w:p>
        </w:tc>
        <w:tc>
          <w:tcPr>
            <w:tcW w:w="921" w:type="dxa"/>
            <w:tcBorders>
              <w:bottom w:val="single" w:color="000000" w:sz="6" w:space="0"/>
            </w:tcBorders>
            <w:vAlign w:val="top"/>
          </w:tcPr>
          <w:p w14:paraId="7262A931">
            <w:pPr>
              <w:spacing w:before="109" w:line="189" w:lineRule="auto"/>
              <w:ind w:left="2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0.443</w:t>
            </w:r>
          </w:p>
        </w:tc>
        <w:tc>
          <w:tcPr>
            <w:tcW w:w="769" w:type="dxa"/>
            <w:tcBorders>
              <w:bottom w:val="single" w:color="000000" w:sz="6" w:space="0"/>
            </w:tcBorders>
            <w:vAlign w:val="top"/>
          </w:tcPr>
          <w:p w14:paraId="1B7D1B45">
            <w:pPr>
              <w:spacing w:before="104" w:line="193" w:lineRule="auto"/>
              <w:ind w:left="35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4" w:type="dxa"/>
            <w:tcBorders>
              <w:bottom w:val="single" w:color="000000" w:sz="6" w:space="0"/>
            </w:tcBorders>
            <w:vAlign w:val="top"/>
          </w:tcPr>
          <w:p w14:paraId="3CD982C1">
            <w:pPr>
              <w:spacing w:before="104" w:line="193" w:lineRule="auto"/>
              <w:ind w:left="40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74" w:type="dxa"/>
            <w:tcBorders>
              <w:bottom w:val="single" w:color="000000" w:sz="6" w:space="0"/>
            </w:tcBorders>
            <w:vAlign w:val="top"/>
          </w:tcPr>
          <w:p w14:paraId="08F4FED0">
            <w:pPr>
              <w:spacing w:before="104" w:line="193" w:lineRule="auto"/>
              <w:ind w:left="35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59" w:type="dxa"/>
            <w:tcBorders>
              <w:bottom w:val="single" w:color="000000" w:sz="6" w:space="0"/>
            </w:tcBorders>
            <w:vAlign w:val="top"/>
          </w:tcPr>
          <w:p w14:paraId="1E7E4799">
            <w:pPr>
              <w:spacing w:before="104" w:line="193" w:lineRule="auto"/>
              <w:ind w:left="55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2" w:type="dxa"/>
            <w:tcBorders>
              <w:top w:val="nil"/>
              <w:bottom w:val="single" w:color="000000" w:sz="6" w:space="0"/>
              <w:right w:val="single" w:color="000000" w:sz="6" w:space="0"/>
            </w:tcBorders>
            <w:vAlign w:val="top"/>
          </w:tcPr>
          <w:p w14:paraId="5875E867">
            <w:pPr>
              <w:rPr>
                <w:rFonts w:ascii="Arial"/>
                <w:sz w:val="21"/>
              </w:rPr>
            </w:pPr>
          </w:p>
        </w:tc>
      </w:tr>
    </w:tbl>
    <w:p w14:paraId="5FE0E0CB">
      <w:pPr>
        <w:pStyle w:val="2"/>
        <w:rPr>
          <w:sz w:val="21"/>
        </w:rPr>
      </w:pPr>
    </w:p>
    <w:p w14:paraId="65396514">
      <w:pPr>
        <w:rPr>
          <w:sz w:val="21"/>
          <w:szCs w:val="21"/>
        </w:rPr>
        <w:sectPr>
          <w:footerReference r:id="rId81" w:type="default"/>
          <w:pgSz w:w="11907" w:h="16840"/>
          <w:pgMar w:top="400" w:right="1453" w:bottom="1005" w:left="1453" w:header="0" w:footer="776" w:gutter="0"/>
          <w:cols w:space="720" w:num="1"/>
        </w:sectPr>
      </w:pPr>
    </w:p>
    <w:p w14:paraId="2B69BB0C">
      <w:pPr>
        <w:spacing w:before="19"/>
      </w:pPr>
    </w:p>
    <w:p w14:paraId="29AE3443">
      <w:pPr>
        <w:spacing w:before="19"/>
      </w:pPr>
    </w:p>
    <w:p w14:paraId="6838CFF8">
      <w:pPr>
        <w:spacing w:before="19"/>
      </w:pPr>
    </w:p>
    <w:p w14:paraId="3E4773A2">
      <w:pPr>
        <w:spacing w:before="18"/>
      </w:pPr>
    </w:p>
    <w:p w14:paraId="3B8AB3F6">
      <w:pPr>
        <w:spacing w:before="18"/>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8"/>
        <w:gridCol w:w="114"/>
        <w:gridCol w:w="724"/>
        <w:gridCol w:w="160"/>
        <w:gridCol w:w="751"/>
        <w:gridCol w:w="106"/>
        <w:gridCol w:w="458"/>
        <w:gridCol w:w="368"/>
        <w:gridCol w:w="20"/>
        <w:gridCol w:w="608"/>
        <w:gridCol w:w="213"/>
        <w:gridCol w:w="78"/>
        <w:gridCol w:w="339"/>
        <w:gridCol w:w="376"/>
        <w:gridCol w:w="129"/>
        <w:gridCol w:w="398"/>
        <w:gridCol w:w="371"/>
        <w:gridCol w:w="304"/>
        <w:gridCol w:w="232"/>
        <w:gridCol w:w="337"/>
        <w:gridCol w:w="24"/>
        <w:gridCol w:w="570"/>
        <w:gridCol w:w="180"/>
        <w:gridCol w:w="177"/>
        <w:gridCol w:w="519"/>
        <w:gridCol w:w="449"/>
        <w:gridCol w:w="122"/>
      </w:tblGrid>
      <w:tr w14:paraId="51E29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58" w:type="dxa"/>
            <w:vMerge w:val="restart"/>
            <w:tcBorders>
              <w:top w:val="single" w:color="000000" w:sz="6" w:space="0"/>
              <w:left w:val="single" w:color="000000" w:sz="6" w:space="0"/>
              <w:bottom w:val="nil"/>
            </w:tcBorders>
            <w:vAlign w:val="top"/>
          </w:tcPr>
          <w:p w14:paraId="7A287327">
            <w:pPr>
              <w:rPr>
                <w:rFonts w:ascii="Arial"/>
                <w:sz w:val="21"/>
              </w:rPr>
            </w:pPr>
          </w:p>
        </w:tc>
        <w:tc>
          <w:tcPr>
            <w:tcW w:w="114" w:type="dxa"/>
            <w:tcBorders>
              <w:top w:val="single" w:color="000000" w:sz="6" w:space="0"/>
              <w:bottom w:val="nil"/>
            </w:tcBorders>
            <w:vAlign w:val="top"/>
          </w:tcPr>
          <w:p w14:paraId="1531551D">
            <w:pPr>
              <w:rPr>
                <w:rFonts w:ascii="Arial"/>
                <w:sz w:val="21"/>
              </w:rPr>
            </w:pPr>
          </w:p>
        </w:tc>
        <w:tc>
          <w:tcPr>
            <w:tcW w:w="724" w:type="dxa"/>
            <w:vMerge w:val="restart"/>
            <w:tcBorders>
              <w:top w:val="single" w:color="000000" w:sz="6" w:space="0"/>
              <w:bottom w:val="nil"/>
            </w:tcBorders>
            <w:vAlign w:val="top"/>
          </w:tcPr>
          <w:p w14:paraId="4F5808C3">
            <w:pPr>
              <w:pStyle w:val="6"/>
              <w:spacing w:before="46" w:line="220" w:lineRule="auto"/>
              <w:ind w:left="135"/>
              <w:rPr>
                <w:sz w:val="22"/>
                <w:szCs w:val="22"/>
              </w:rPr>
            </w:pPr>
            <w:r>
              <w:rPr>
                <w:spacing w:val="-5"/>
                <w:sz w:val="22"/>
                <w:szCs w:val="22"/>
              </w:rPr>
              <w:t>污水</w:t>
            </w:r>
          </w:p>
        </w:tc>
        <w:tc>
          <w:tcPr>
            <w:tcW w:w="911" w:type="dxa"/>
            <w:gridSpan w:val="2"/>
            <w:tcBorders>
              <w:top w:val="single" w:color="000000" w:sz="6" w:space="0"/>
            </w:tcBorders>
            <w:vAlign w:val="top"/>
          </w:tcPr>
          <w:p w14:paraId="389A848A">
            <w:pPr>
              <w:spacing w:before="110" w:line="196" w:lineRule="auto"/>
              <w:ind w:left="161"/>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BOD</w:t>
            </w:r>
            <w:r>
              <w:rPr>
                <w:rFonts w:ascii="Times New Roman" w:hAnsi="Times New Roman" w:eastAsia="Times New Roman" w:cs="Times New Roman"/>
                <w:spacing w:val="-1"/>
                <w:position w:val="-1"/>
                <w:sz w:val="14"/>
                <w:szCs w:val="14"/>
              </w:rPr>
              <w:t>5</w:t>
            </w:r>
          </w:p>
        </w:tc>
        <w:tc>
          <w:tcPr>
            <w:tcW w:w="932" w:type="dxa"/>
            <w:gridSpan w:val="3"/>
            <w:vMerge w:val="restart"/>
            <w:tcBorders>
              <w:top w:val="single" w:color="000000" w:sz="6" w:space="0"/>
              <w:bottom w:val="nil"/>
            </w:tcBorders>
            <w:vAlign w:val="top"/>
          </w:tcPr>
          <w:p w14:paraId="2778DC9D">
            <w:pPr>
              <w:rPr>
                <w:rFonts w:ascii="Arial"/>
                <w:sz w:val="21"/>
              </w:rPr>
            </w:pPr>
          </w:p>
        </w:tc>
        <w:tc>
          <w:tcPr>
            <w:tcW w:w="841" w:type="dxa"/>
            <w:gridSpan w:val="3"/>
            <w:tcBorders>
              <w:top w:val="single" w:color="000000" w:sz="6" w:space="0"/>
            </w:tcBorders>
            <w:vAlign w:val="top"/>
          </w:tcPr>
          <w:p w14:paraId="0F068B12">
            <w:pPr>
              <w:spacing w:before="110" w:line="189" w:lineRule="auto"/>
              <w:ind w:left="24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400</w:t>
            </w:r>
          </w:p>
        </w:tc>
        <w:tc>
          <w:tcPr>
            <w:tcW w:w="922" w:type="dxa"/>
            <w:gridSpan w:val="4"/>
            <w:tcBorders>
              <w:top w:val="single" w:color="000000" w:sz="6" w:space="0"/>
            </w:tcBorders>
            <w:vAlign w:val="top"/>
          </w:tcPr>
          <w:p w14:paraId="294D7AB3">
            <w:pPr>
              <w:spacing w:before="110" w:line="189" w:lineRule="auto"/>
              <w:ind w:left="2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0.296</w:t>
            </w:r>
          </w:p>
        </w:tc>
        <w:tc>
          <w:tcPr>
            <w:tcW w:w="769" w:type="dxa"/>
            <w:gridSpan w:val="2"/>
            <w:tcBorders>
              <w:top w:val="single" w:color="000000" w:sz="6" w:space="0"/>
            </w:tcBorders>
            <w:vAlign w:val="top"/>
          </w:tcPr>
          <w:p w14:paraId="7A048043">
            <w:pPr>
              <w:spacing w:before="106"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gridSpan w:val="3"/>
            <w:tcBorders>
              <w:top w:val="single" w:color="000000" w:sz="6" w:space="0"/>
            </w:tcBorders>
            <w:vAlign w:val="top"/>
          </w:tcPr>
          <w:p w14:paraId="209EA91C">
            <w:pPr>
              <w:spacing w:before="106" w:line="193" w:lineRule="auto"/>
              <w:ind w:left="39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74" w:type="dxa"/>
            <w:gridSpan w:val="3"/>
            <w:tcBorders>
              <w:top w:val="single" w:color="000000" w:sz="6" w:space="0"/>
            </w:tcBorders>
            <w:vAlign w:val="top"/>
          </w:tcPr>
          <w:p w14:paraId="602343C3">
            <w:pPr>
              <w:spacing w:before="106" w:line="193" w:lineRule="auto"/>
              <w:ind w:left="34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45" w:type="dxa"/>
            <w:gridSpan w:val="3"/>
            <w:tcBorders>
              <w:top w:val="single" w:color="000000" w:sz="6" w:space="0"/>
            </w:tcBorders>
            <w:vAlign w:val="top"/>
          </w:tcPr>
          <w:p w14:paraId="5FF6A65C">
            <w:pPr>
              <w:spacing w:before="106" w:line="193" w:lineRule="auto"/>
              <w:ind w:left="5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2" w:type="dxa"/>
            <w:tcBorders>
              <w:top w:val="single" w:color="000000" w:sz="6" w:space="0"/>
              <w:bottom w:val="nil"/>
              <w:right w:val="single" w:color="000000" w:sz="6" w:space="0"/>
            </w:tcBorders>
            <w:vAlign w:val="top"/>
          </w:tcPr>
          <w:p w14:paraId="5BB844D1">
            <w:pPr>
              <w:rPr>
                <w:rFonts w:ascii="Arial"/>
                <w:sz w:val="21"/>
              </w:rPr>
            </w:pPr>
          </w:p>
        </w:tc>
      </w:tr>
      <w:tr w14:paraId="0ADDF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58" w:type="dxa"/>
            <w:vMerge w:val="continue"/>
            <w:tcBorders>
              <w:top w:val="nil"/>
              <w:left w:val="single" w:color="000000" w:sz="6" w:space="0"/>
              <w:bottom w:val="nil"/>
            </w:tcBorders>
            <w:vAlign w:val="top"/>
          </w:tcPr>
          <w:p w14:paraId="48AE3AA3">
            <w:pPr>
              <w:rPr>
                <w:rFonts w:ascii="Arial"/>
                <w:sz w:val="21"/>
              </w:rPr>
            </w:pPr>
          </w:p>
        </w:tc>
        <w:tc>
          <w:tcPr>
            <w:tcW w:w="114" w:type="dxa"/>
            <w:tcBorders>
              <w:top w:val="nil"/>
              <w:bottom w:val="nil"/>
            </w:tcBorders>
            <w:vAlign w:val="top"/>
          </w:tcPr>
          <w:p w14:paraId="605E0A2D">
            <w:pPr>
              <w:rPr>
                <w:rFonts w:ascii="Arial"/>
                <w:sz w:val="21"/>
              </w:rPr>
            </w:pPr>
          </w:p>
        </w:tc>
        <w:tc>
          <w:tcPr>
            <w:tcW w:w="724" w:type="dxa"/>
            <w:vMerge w:val="continue"/>
            <w:tcBorders>
              <w:top w:val="nil"/>
              <w:bottom w:val="nil"/>
            </w:tcBorders>
            <w:vAlign w:val="top"/>
          </w:tcPr>
          <w:p w14:paraId="1A084C1E">
            <w:pPr>
              <w:rPr>
                <w:rFonts w:ascii="Arial"/>
                <w:sz w:val="21"/>
              </w:rPr>
            </w:pPr>
          </w:p>
        </w:tc>
        <w:tc>
          <w:tcPr>
            <w:tcW w:w="911" w:type="dxa"/>
            <w:gridSpan w:val="2"/>
            <w:vAlign w:val="top"/>
          </w:tcPr>
          <w:p w14:paraId="659576DC">
            <w:pPr>
              <w:spacing w:before="99" w:line="189" w:lineRule="auto"/>
              <w:ind w:left="317"/>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SS</w:t>
            </w:r>
          </w:p>
        </w:tc>
        <w:tc>
          <w:tcPr>
            <w:tcW w:w="932" w:type="dxa"/>
            <w:gridSpan w:val="3"/>
            <w:vMerge w:val="continue"/>
            <w:tcBorders>
              <w:top w:val="nil"/>
              <w:bottom w:val="nil"/>
            </w:tcBorders>
            <w:vAlign w:val="top"/>
          </w:tcPr>
          <w:p w14:paraId="5C75FEE6">
            <w:pPr>
              <w:rPr>
                <w:rFonts w:ascii="Arial"/>
                <w:sz w:val="21"/>
              </w:rPr>
            </w:pPr>
          </w:p>
        </w:tc>
        <w:tc>
          <w:tcPr>
            <w:tcW w:w="841" w:type="dxa"/>
            <w:gridSpan w:val="3"/>
            <w:vAlign w:val="top"/>
          </w:tcPr>
          <w:p w14:paraId="3B4E4BEB">
            <w:pPr>
              <w:spacing w:before="99" w:line="189" w:lineRule="auto"/>
              <w:ind w:left="24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400</w:t>
            </w:r>
          </w:p>
        </w:tc>
        <w:tc>
          <w:tcPr>
            <w:tcW w:w="922" w:type="dxa"/>
            <w:gridSpan w:val="4"/>
            <w:vAlign w:val="top"/>
          </w:tcPr>
          <w:p w14:paraId="39DFEA9A">
            <w:pPr>
              <w:spacing w:before="99" w:line="189" w:lineRule="auto"/>
              <w:ind w:left="2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0.296</w:t>
            </w:r>
          </w:p>
        </w:tc>
        <w:tc>
          <w:tcPr>
            <w:tcW w:w="769" w:type="dxa"/>
            <w:gridSpan w:val="2"/>
            <w:vAlign w:val="top"/>
          </w:tcPr>
          <w:p w14:paraId="4B3E756C">
            <w:pPr>
              <w:spacing w:before="95"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gridSpan w:val="3"/>
            <w:vAlign w:val="top"/>
          </w:tcPr>
          <w:p w14:paraId="500B631E">
            <w:pPr>
              <w:spacing w:before="95" w:line="193" w:lineRule="auto"/>
              <w:ind w:left="39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74" w:type="dxa"/>
            <w:gridSpan w:val="3"/>
            <w:vAlign w:val="top"/>
          </w:tcPr>
          <w:p w14:paraId="57A54C37">
            <w:pPr>
              <w:spacing w:before="95" w:line="193" w:lineRule="auto"/>
              <w:ind w:left="34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45" w:type="dxa"/>
            <w:gridSpan w:val="3"/>
            <w:vAlign w:val="top"/>
          </w:tcPr>
          <w:p w14:paraId="19A261CA">
            <w:pPr>
              <w:spacing w:before="95" w:line="193" w:lineRule="auto"/>
              <w:ind w:left="5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2" w:type="dxa"/>
            <w:tcBorders>
              <w:top w:val="nil"/>
              <w:bottom w:val="nil"/>
              <w:right w:val="single" w:color="000000" w:sz="6" w:space="0"/>
            </w:tcBorders>
            <w:vAlign w:val="top"/>
          </w:tcPr>
          <w:p w14:paraId="37357027">
            <w:pPr>
              <w:rPr>
                <w:rFonts w:ascii="Arial"/>
                <w:sz w:val="21"/>
              </w:rPr>
            </w:pPr>
          </w:p>
        </w:tc>
      </w:tr>
      <w:tr w14:paraId="76321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858" w:type="dxa"/>
            <w:vMerge w:val="continue"/>
            <w:tcBorders>
              <w:top w:val="nil"/>
              <w:left w:val="single" w:color="000000" w:sz="6" w:space="0"/>
              <w:bottom w:val="nil"/>
            </w:tcBorders>
            <w:vAlign w:val="top"/>
          </w:tcPr>
          <w:p w14:paraId="30F0173B">
            <w:pPr>
              <w:rPr>
                <w:rFonts w:ascii="Arial"/>
                <w:sz w:val="21"/>
              </w:rPr>
            </w:pPr>
          </w:p>
        </w:tc>
        <w:tc>
          <w:tcPr>
            <w:tcW w:w="114" w:type="dxa"/>
            <w:tcBorders>
              <w:top w:val="nil"/>
              <w:bottom w:val="nil"/>
            </w:tcBorders>
            <w:vAlign w:val="top"/>
          </w:tcPr>
          <w:p w14:paraId="359732AE">
            <w:pPr>
              <w:rPr>
                <w:rFonts w:ascii="Arial"/>
                <w:sz w:val="21"/>
              </w:rPr>
            </w:pPr>
          </w:p>
        </w:tc>
        <w:tc>
          <w:tcPr>
            <w:tcW w:w="724" w:type="dxa"/>
            <w:vMerge w:val="continue"/>
            <w:tcBorders>
              <w:top w:val="nil"/>
            </w:tcBorders>
            <w:vAlign w:val="top"/>
          </w:tcPr>
          <w:p w14:paraId="540EE04A">
            <w:pPr>
              <w:rPr>
                <w:rFonts w:ascii="Arial"/>
                <w:sz w:val="21"/>
              </w:rPr>
            </w:pPr>
          </w:p>
        </w:tc>
        <w:tc>
          <w:tcPr>
            <w:tcW w:w="911" w:type="dxa"/>
            <w:gridSpan w:val="2"/>
            <w:vAlign w:val="top"/>
          </w:tcPr>
          <w:p w14:paraId="0EE52AD1">
            <w:pPr>
              <w:pStyle w:val="6"/>
              <w:spacing w:before="63" w:line="219" w:lineRule="auto"/>
              <w:ind w:left="214"/>
              <w:rPr>
                <w:sz w:val="22"/>
                <w:szCs w:val="22"/>
              </w:rPr>
            </w:pPr>
            <w:r>
              <w:rPr>
                <w:spacing w:val="-4"/>
                <w:sz w:val="22"/>
                <w:szCs w:val="22"/>
              </w:rPr>
              <w:t>氨氮</w:t>
            </w:r>
          </w:p>
        </w:tc>
        <w:tc>
          <w:tcPr>
            <w:tcW w:w="932" w:type="dxa"/>
            <w:gridSpan w:val="3"/>
            <w:vMerge w:val="continue"/>
            <w:tcBorders>
              <w:top w:val="nil"/>
            </w:tcBorders>
            <w:vAlign w:val="top"/>
          </w:tcPr>
          <w:p w14:paraId="3FCD8686">
            <w:pPr>
              <w:rPr>
                <w:rFonts w:ascii="Arial"/>
                <w:sz w:val="21"/>
              </w:rPr>
            </w:pPr>
          </w:p>
        </w:tc>
        <w:tc>
          <w:tcPr>
            <w:tcW w:w="841" w:type="dxa"/>
            <w:gridSpan w:val="3"/>
            <w:vAlign w:val="top"/>
          </w:tcPr>
          <w:p w14:paraId="606D9534">
            <w:pPr>
              <w:spacing w:before="100" w:line="189" w:lineRule="auto"/>
              <w:ind w:left="30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922" w:type="dxa"/>
            <w:gridSpan w:val="4"/>
            <w:vAlign w:val="top"/>
          </w:tcPr>
          <w:p w14:paraId="2CD5B893">
            <w:pPr>
              <w:spacing w:before="100" w:line="189" w:lineRule="auto"/>
              <w:ind w:left="2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0.037</w:t>
            </w:r>
          </w:p>
        </w:tc>
        <w:tc>
          <w:tcPr>
            <w:tcW w:w="769" w:type="dxa"/>
            <w:gridSpan w:val="2"/>
            <w:vAlign w:val="top"/>
          </w:tcPr>
          <w:p w14:paraId="442C6042">
            <w:pPr>
              <w:spacing w:before="96"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gridSpan w:val="3"/>
            <w:vAlign w:val="top"/>
          </w:tcPr>
          <w:p w14:paraId="1E0F6E91">
            <w:pPr>
              <w:spacing w:before="96" w:line="193" w:lineRule="auto"/>
              <w:ind w:left="39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74" w:type="dxa"/>
            <w:gridSpan w:val="3"/>
            <w:vAlign w:val="top"/>
          </w:tcPr>
          <w:p w14:paraId="2C8B48C1">
            <w:pPr>
              <w:spacing w:before="96" w:line="193" w:lineRule="auto"/>
              <w:ind w:left="34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45" w:type="dxa"/>
            <w:gridSpan w:val="3"/>
            <w:vAlign w:val="top"/>
          </w:tcPr>
          <w:p w14:paraId="1F1AE50E">
            <w:pPr>
              <w:spacing w:before="96" w:line="193" w:lineRule="auto"/>
              <w:ind w:left="5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2" w:type="dxa"/>
            <w:tcBorders>
              <w:top w:val="nil"/>
              <w:bottom w:val="nil"/>
              <w:right w:val="single" w:color="000000" w:sz="6" w:space="0"/>
            </w:tcBorders>
            <w:vAlign w:val="top"/>
          </w:tcPr>
          <w:p w14:paraId="48CF9623">
            <w:pPr>
              <w:rPr>
                <w:rFonts w:ascii="Arial"/>
                <w:sz w:val="21"/>
              </w:rPr>
            </w:pPr>
          </w:p>
        </w:tc>
      </w:tr>
      <w:tr w14:paraId="3F32C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58" w:type="dxa"/>
            <w:vMerge w:val="continue"/>
            <w:tcBorders>
              <w:top w:val="nil"/>
              <w:left w:val="single" w:color="000000" w:sz="6" w:space="0"/>
              <w:bottom w:val="nil"/>
            </w:tcBorders>
            <w:vAlign w:val="top"/>
          </w:tcPr>
          <w:p w14:paraId="7CBE5CA5">
            <w:pPr>
              <w:rPr>
                <w:rFonts w:ascii="Arial"/>
                <w:sz w:val="21"/>
              </w:rPr>
            </w:pPr>
          </w:p>
        </w:tc>
        <w:tc>
          <w:tcPr>
            <w:tcW w:w="114" w:type="dxa"/>
            <w:tcBorders>
              <w:top w:val="nil"/>
              <w:bottom w:val="nil"/>
            </w:tcBorders>
            <w:vAlign w:val="top"/>
          </w:tcPr>
          <w:p w14:paraId="36EC00D9">
            <w:pPr>
              <w:rPr>
                <w:rFonts w:ascii="Arial"/>
                <w:sz w:val="21"/>
              </w:rPr>
            </w:pPr>
          </w:p>
        </w:tc>
        <w:tc>
          <w:tcPr>
            <w:tcW w:w="724" w:type="dxa"/>
            <w:vMerge w:val="restart"/>
            <w:tcBorders>
              <w:bottom w:val="nil"/>
            </w:tcBorders>
            <w:vAlign w:val="top"/>
          </w:tcPr>
          <w:p w14:paraId="7A766D68">
            <w:pPr>
              <w:pStyle w:val="6"/>
              <w:spacing w:before="34" w:line="221" w:lineRule="auto"/>
              <w:ind w:left="133"/>
              <w:rPr>
                <w:sz w:val="22"/>
                <w:szCs w:val="22"/>
              </w:rPr>
            </w:pPr>
            <w:r>
              <w:rPr>
                <w:spacing w:val="-3"/>
                <w:sz w:val="22"/>
                <w:szCs w:val="22"/>
              </w:rPr>
              <w:t>场地</w:t>
            </w:r>
          </w:p>
          <w:p w14:paraId="3F13C108">
            <w:pPr>
              <w:pStyle w:val="6"/>
              <w:spacing w:before="21" w:line="222" w:lineRule="auto"/>
              <w:ind w:left="134"/>
              <w:rPr>
                <w:sz w:val="22"/>
                <w:szCs w:val="22"/>
              </w:rPr>
            </w:pPr>
            <w:r>
              <w:rPr>
                <w:spacing w:val="-4"/>
                <w:sz w:val="22"/>
                <w:szCs w:val="22"/>
              </w:rPr>
              <w:t>冲洗</w:t>
            </w:r>
          </w:p>
          <w:p w14:paraId="03D5FC6E">
            <w:pPr>
              <w:pStyle w:val="6"/>
              <w:spacing w:before="19" w:line="207" w:lineRule="auto"/>
              <w:ind w:left="133"/>
              <w:rPr>
                <w:sz w:val="22"/>
                <w:szCs w:val="22"/>
              </w:rPr>
            </w:pPr>
            <w:r>
              <w:rPr>
                <w:spacing w:val="-3"/>
                <w:sz w:val="22"/>
                <w:szCs w:val="22"/>
              </w:rPr>
              <w:t>废水</w:t>
            </w:r>
          </w:p>
        </w:tc>
        <w:tc>
          <w:tcPr>
            <w:tcW w:w="911" w:type="dxa"/>
            <w:gridSpan w:val="2"/>
            <w:vAlign w:val="top"/>
          </w:tcPr>
          <w:p w14:paraId="2CCCB6DB">
            <w:pPr>
              <w:spacing w:before="110" w:line="189" w:lineRule="auto"/>
              <w:ind w:left="32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SS</w:t>
            </w:r>
          </w:p>
        </w:tc>
        <w:tc>
          <w:tcPr>
            <w:tcW w:w="932" w:type="dxa"/>
            <w:gridSpan w:val="3"/>
            <w:vMerge w:val="restart"/>
            <w:tcBorders>
              <w:bottom w:val="nil"/>
            </w:tcBorders>
            <w:vAlign w:val="top"/>
          </w:tcPr>
          <w:p w14:paraId="24CCD93E">
            <w:pPr>
              <w:spacing w:line="290" w:lineRule="auto"/>
              <w:rPr>
                <w:rFonts w:ascii="Arial"/>
                <w:sz w:val="21"/>
              </w:rPr>
            </w:pPr>
          </w:p>
          <w:p w14:paraId="3239C264">
            <w:pPr>
              <w:spacing w:before="64" w:line="189" w:lineRule="auto"/>
              <w:ind w:left="14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31.169</w:t>
            </w:r>
          </w:p>
        </w:tc>
        <w:tc>
          <w:tcPr>
            <w:tcW w:w="841" w:type="dxa"/>
            <w:gridSpan w:val="3"/>
            <w:vAlign w:val="top"/>
          </w:tcPr>
          <w:p w14:paraId="08C8990E">
            <w:pPr>
              <w:spacing w:before="99" w:line="189" w:lineRule="auto"/>
              <w:ind w:left="24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400</w:t>
            </w:r>
          </w:p>
        </w:tc>
        <w:tc>
          <w:tcPr>
            <w:tcW w:w="922" w:type="dxa"/>
            <w:gridSpan w:val="4"/>
            <w:vAlign w:val="top"/>
          </w:tcPr>
          <w:p w14:paraId="27F509E5">
            <w:pPr>
              <w:spacing w:before="99" w:line="189" w:lineRule="auto"/>
              <w:ind w:left="2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0.012</w:t>
            </w:r>
          </w:p>
        </w:tc>
        <w:tc>
          <w:tcPr>
            <w:tcW w:w="769" w:type="dxa"/>
            <w:gridSpan w:val="2"/>
            <w:vAlign w:val="top"/>
          </w:tcPr>
          <w:p w14:paraId="05016E85">
            <w:pPr>
              <w:spacing w:before="94"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gridSpan w:val="3"/>
            <w:vAlign w:val="top"/>
          </w:tcPr>
          <w:p w14:paraId="0288A8A7">
            <w:pPr>
              <w:spacing w:before="94" w:line="193" w:lineRule="auto"/>
              <w:ind w:left="39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74" w:type="dxa"/>
            <w:gridSpan w:val="3"/>
            <w:vAlign w:val="top"/>
          </w:tcPr>
          <w:p w14:paraId="66901A09">
            <w:pPr>
              <w:spacing w:before="94" w:line="193" w:lineRule="auto"/>
              <w:ind w:left="34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45" w:type="dxa"/>
            <w:gridSpan w:val="3"/>
            <w:vAlign w:val="top"/>
          </w:tcPr>
          <w:p w14:paraId="0F98ABA4">
            <w:pPr>
              <w:spacing w:before="94" w:line="193" w:lineRule="auto"/>
              <w:ind w:left="5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2" w:type="dxa"/>
            <w:tcBorders>
              <w:top w:val="nil"/>
              <w:bottom w:val="nil"/>
              <w:right w:val="single" w:color="000000" w:sz="6" w:space="0"/>
            </w:tcBorders>
            <w:vAlign w:val="top"/>
          </w:tcPr>
          <w:p w14:paraId="206FB8AF">
            <w:pPr>
              <w:rPr>
                <w:rFonts w:ascii="Arial"/>
                <w:sz w:val="21"/>
              </w:rPr>
            </w:pPr>
          </w:p>
        </w:tc>
      </w:tr>
      <w:tr w14:paraId="36418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858" w:type="dxa"/>
            <w:vMerge w:val="continue"/>
            <w:tcBorders>
              <w:top w:val="nil"/>
              <w:left w:val="single" w:color="000000" w:sz="6" w:space="0"/>
              <w:bottom w:val="nil"/>
            </w:tcBorders>
            <w:vAlign w:val="top"/>
          </w:tcPr>
          <w:p w14:paraId="06E4BC63">
            <w:pPr>
              <w:rPr>
                <w:rFonts w:ascii="Arial"/>
                <w:sz w:val="21"/>
              </w:rPr>
            </w:pPr>
          </w:p>
        </w:tc>
        <w:tc>
          <w:tcPr>
            <w:tcW w:w="114" w:type="dxa"/>
            <w:tcBorders>
              <w:top w:val="nil"/>
              <w:bottom w:val="nil"/>
            </w:tcBorders>
            <w:vAlign w:val="top"/>
          </w:tcPr>
          <w:p w14:paraId="10D17756">
            <w:pPr>
              <w:rPr>
                <w:rFonts w:ascii="Arial"/>
                <w:sz w:val="21"/>
              </w:rPr>
            </w:pPr>
          </w:p>
        </w:tc>
        <w:tc>
          <w:tcPr>
            <w:tcW w:w="724" w:type="dxa"/>
            <w:vMerge w:val="continue"/>
            <w:tcBorders>
              <w:top w:val="nil"/>
            </w:tcBorders>
            <w:vAlign w:val="top"/>
          </w:tcPr>
          <w:p w14:paraId="3068C922">
            <w:pPr>
              <w:rPr>
                <w:rFonts w:ascii="Arial"/>
                <w:sz w:val="21"/>
              </w:rPr>
            </w:pPr>
          </w:p>
        </w:tc>
        <w:tc>
          <w:tcPr>
            <w:tcW w:w="911" w:type="dxa"/>
            <w:gridSpan w:val="2"/>
            <w:vAlign w:val="top"/>
          </w:tcPr>
          <w:p w14:paraId="4F373FEB">
            <w:pPr>
              <w:pStyle w:val="6"/>
              <w:spacing w:before="160" w:line="220" w:lineRule="auto"/>
              <w:ind w:left="114"/>
              <w:rPr>
                <w:sz w:val="22"/>
                <w:szCs w:val="22"/>
              </w:rPr>
            </w:pPr>
            <w:r>
              <w:rPr>
                <w:spacing w:val="-3"/>
                <w:sz w:val="22"/>
                <w:szCs w:val="22"/>
              </w:rPr>
              <w:t>石油类</w:t>
            </w:r>
          </w:p>
        </w:tc>
        <w:tc>
          <w:tcPr>
            <w:tcW w:w="932" w:type="dxa"/>
            <w:gridSpan w:val="3"/>
            <w:vMerge w:val="continue"/>
            <w:tcBorders>
              <w:top w:val="nil"/>
            </w:tcBorders>
            <w:vAlign w:val="top"/>
          </w:tcPr>
          <w:p w14:paraId="41FA4925">
            <w:pPr>
              <w:rPr>
                <w:rFonts w:ascii="Arial"/>
                <w:sz w:val="21"/>
              </w:rPr>
            </w:pPr>
          </w:p>
        </w:tc>
        <w:tc>
          <w:tcPr>
            <w:tcW w:w="841" w:type="dxa"/>
            <w:gridSpan w:val="3"/>
            <w:vAlign w:val="top"/>
          </w:tcPr>
          <w:p w14:paraId="47725A3B">
            <w:pPr>
              <w:spacing w:before="186" w:line="189" w:lineRule="auto"/>
              <w:ind w:left="30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922" w:type="dxa"/>
            <w:gridSpan w:val="4"/>
            <w:vAlign w:val="top"/>
          </w:tcPr>
          <w:p w14:paraId="12E87CB3">
            <w:pPr>
              <w:spacing w:before="186" w:line="189" w:lineRule="auto"/>
              <w:ind w:left="2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0.001</w:t>
            </w:r>
          </w:p>
        </w:tc>
        <w:tc>
          <w:tcPr>
            <w:tcW w:w="769" w:type="dxa"/>
            <w:gridSpan w:val="2"/>
            <w:vAlign w:val="top"/>
          </w:tcPr>
          <w:p w14:paraId="64BF6F34">
            <w:pPr>
              <w:spacing w:before="181"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gridSpan w:val="3"/>
            <w:vAlign w:val="top"/>
          </w:tcPr>
          <w:p w14:paraId="25080AC6">
            <w:pPr>
              <w:spacing w:before="181" w:line="193" w:lineRule="auto"/>
              <w:ind w:left="39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74" w:type="dxa"/>
            <w:gridSpan w:val="3"/>
            <w:vAlign w:val="top"/>
          </w:tcPr>
          <w:p w14:paraId="54123E38">
            <w:pPr>
              <w:spacing w:before="181" w:line="193" w:lineRule="auto"/>
              <w:ind w:left="34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45" w:type="dxa"/>
            <w:gridSpan w:val="3"/>
            <w:vAlign w:val="top"/>
          </w:tcPr>
          <w:p w14:paraId="49C4B1FC">
            <w:pPr>
              <w:spacing w:before="181" w:line="193" w:lineRule="auto"/>
              <w:ind w:left="5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2" w:type="dxa"/>
            <w:tcBorders>
              <w:top w:val="nil"/>
              <w:bottom w:val="nil"/>
              <w:right w:val="single" w:color="000000" w:sz="6" w:space="0"/>
            </w:tcBorders>
            <w:vAlign w:val="top"/>
          </w:tcPr>
          <w:p w14:paraId="4689EB89">
            <w:pPr>
              <w:rPr>
                <w:rFonts w:ascii="Arial"/>
                <w:sz w:val="21"/>
              </w:rPr>
            </w:pPr>
          </w:p>
        </w:tc>
      </w:tr>
      <w:tr w14:paraId="53E68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858" w:type="dxa"/>
            <w:vMerge w:val="continue"/>
            <w:tcBorders>
              <w:top w:val="nil"/>
              <w:left w:val="single" w:color="000000" w:sz="6" w:space="0"/>
              <w:bottom w:val="nil"/>
            </w:tcBorders>
            <w:vAlign w:val="top"/>
          </w:tcPr>
          <w:p w14:paraId="57F28A0D">
            <w:pPr>
              <w:rPr>
                <w:rFonts w:ascii="Arial"/>
                <w:sz w:val="21"/>
              </w:rPr>
            </w:pPr>
          </w:p>
        </w:tc>
        <w:tc>
          <w:tcPr>
            <w:tcW w:w="114" w:type="dxa"/>
            <w:tcBorders>
              <w:top w:val="nil"/>
              <w:bottom w:val="nil"/>
            </w:tcBorders>
            <w:vAlign w:val="top"/>
          </w:tcPr>
          <w:p w14:paraId="7E833012">
            <w:pPr>
              <w:rPr>
                <w:rFonts w:ascii="Arial"/>
                <w:sz w:val="21"/>
              </w:rPr>
            </w:pPr>
          </w:p>
        </w:tc>
        <w:tc>
          <w:tcPr>
            <w:tcW w:w="724" w:type="dxa"/>
            <w:vMerge w:val="restart"/>
            <w:tcBorders>
              <w:bottom w:val="nil"/>
            </w:tcBorders>
            <w:vAlign w:val="top"/>
          </w:tcPr>
          <w:p w14:paraId="0F432468">
            <w:pPr>
              <w:spacing w:line="260" w:lineRule="auto"/>
              <w:rPr>
                <w:rFonts w:ascii="Arial"/>
                <w:sz w:val="21"/>
              </w:rPr>
            </w:pPr>
          </w:p>
          <w:p w14:paraId="505D8751">
            <w:pPr>
              <w:spacing w:line="261" w:lineRule="auto"/>
              <w:rPr>
                <w:rFonts w:ascii="Arial"/>
                <w:sz w:val="21"/>
              </w:rPr>
            </w:pPr>
          </w:p>
          <w:p w14:paraId="1B2472D8">
            <w:pPr>
              <w:spacing w:line="261" w:lineRule="auto"/>
              <w:rPr>
                <w:rFonts w:ascii="Arial"/>
                <w:sz w:val="21"/>
              </w:rPr>
            </w:pPr>
          </w:p>
          <w:p w14:paraId="5518AB39">
            <w:pPr>
              <w:pStyle w:val="6"/>
              <w:spacing w:before="71" w:line="222" w:lineRule="auto"/>
              <w:ind w:left="134"/>
              <w:rPr>
                <w:sz w:val="22"/>
                <w:szCs w:val="22"/>
              </w:rPr>
            </w:pPr>
            <w:r>
              <w:rPr>
                <w:spacing w:val="-4"/>
                <w:sz w:val="22"/>
                <w:szCs w:val="22"/>
              </w:rPr>
              <w:t>合计</w:t>
            </w:r>
          </w:p>
        </w:tc>
        <w:tc>
          <w:tcPr>
            <w:tcW w:w="911" w:type="dxa"/>
            <w:gridSpan w:val="2"/>
            <w:vAlign w:val="top"/>
          </w:tcPr>
          <w:p w14:paraId="30D10A27">
            <w:pPr>
              <w:spacing w:before="97" w:line="189" w:lineRule="auto"/>
              <w:ind w:left="21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COD</w:t>
            </w:r>
          </w:p>
        </w:tc>
        <w:tc>
          <w:tcPr>
            <w:tcW w:w="932" w:type="dxa"/>
            <w:gridSpan w:val="3"/>
            <w:vMerge w:val="restart"/>
            <w:tcBorders>
              <w:bottom w:val="nil"/>
            </w:tcBorders>
            <w:vAlign w:val="top"/>
          </w:tcPr>
          <w:p w14:paraId="725604C6">
            <w:pPr>
              <w:spacing w:line="276" w:lineRule="auto"/>
              <w:rPr>
                <w:rFonts w:ascii="Arial"/>
                <w:sz w:val="21"/>
              </w:rPr>
            </w:pPr>
          </w:p>
          <w:p w14:paraId="2429DA0D">
            <w:pPr>
              <w:spacing w:line="276" w:lineRule="auto"/>
              <w:rPr>
                <w:rFonts w:ascii="Arial"/>
                <w:sz w:val="21"/>
              </w:rPr>
            </w:pPr>
          </w:p>
          <w:p w14:paraId="0A5F160A">
            <w:pPr>
              <w:spacing w:line="276" w:lineRule="auto"/>
              <w:rPr>
                <w:rFonts w:ascii="Arial"/>
                <w:sz w:val="21"/>
              </w:rPr>
            </w:pPr>
          </w:p>
          <w:p w14:paraId="5684BF64">
            <w:pPr>
              <w:spacing w:before="64" w:line="189" w:lineRule="auto"/>
              <w:ind w:left="9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770.294</w:t>
            </w:r>
          </w:p>
        </w:tc>
        <w:tc>
          <w:tcPr>
            <w:tcW w:w="841" w:type="dxa"/>
            <w:gridSpan w:val="3"/>
            <w:vAlign w:val="top"/>
          </w:tcPr>
          <w:p w14:paraId="22A11259">
            <w:pPr>
              <w:spacing w:before="98" w:line="189" w:lineRule="auto"/>
              <w:ind w:left="24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576</w:t>
            </w:r>
          </w:p>
        </w:tc>
        <w:tc>
          <w:tcPr>
            <w:tcW w:w="922" w:type="dxa"/>
            <w:gridSpan w:val="4"/>
            <w:vAlign w:val="top"/>
          </w:tcPr>
          <w:p w14:paraId="2A900A06">
            <w:pPr>
              <w:spacing w:before="98" w:line="189" w:lineRule="auto"/>
              <w:ind w:left="2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0.443</w:t>
            </w:r>
          </w:p>
        </w:tc>
        <w:tc>
          <w:tcPr>
            <w:tcW w:w="769" w:type="dxa"/>
            <w:gridSpan w:val="2"/>
            <w:vAlign w:val="top"/>
          </w:tcPr>
          <w:p w14:paraId="1DE021C1">
            <w:pPr>
              <w:spacing w:before="98" w:line="189" w:lineRule="auto"/>
              <w:ind w:left="21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500</w:t>
            </w:r>
          </w:p>
        </w:tc>
        <w:tc>
          <w:tcPr>
            <w:tcW w:w="873" w:type="dxa"/>
            <w:gridSpan w:val="3"/>
            <w:vAlign w:val="top"/>
          </w:tcPr>
          <w:p w14:paraId="0725B162">
            <w:pPr>
              <w:spacing w:before="98" w:line="189" w:lineRule="auto"/>
              <w:ind w:left="1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0.385</w:t>
            </w:r>
          </w:p>
        </w:tc>
        <w:tc>
          <w:tcPr>
            <w:tcW w:w="774" w:type="dxa"/>
            <w:gridSpan w:val="3"/>
            <w:vAlign w:val="top"/>
          </w:tcPr>
          <w:p w14:paraId="70237436">
            <w:pPr>
              <w:spacing w:before="98" w:line="189" w:lineRule="auto"/>
              <w:ind w:left="27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1145" w:type="dxa"/>
            <w:gridSpan w:val="3"/>
            <w:vAlign w:val="top"/>
          </w:tcPr>
          <w:p w14:paraId="05CD48FC">
            <w:pPr>
              <w:spacing w:before="98" w:line="189" w:lineRule="auto"/>
              <w:ind w:left="3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0.039</w:t>
            </w:r>
          </w:p>
        </w:tc>
        <w:tc>
          <w:tcPr>
            <w:tcW w:w="122" w:type="dxa"/>
            <w:tcBorders>
              <w:top w:val="nil"/>
              <w:bottom w:val="nil"/>
              <w:right w:val="single" w:color="000000" w:sz="6" w:space="0"/>
            </w:tcBorders>
            <w:vAlign w:val="top"/>
          </w:tcPr>
          <w:p w14:paraId="32501288">
            <w:pPr>
              <w:rPr>
                <w:rFonts w:ascii="Arial"/>
                <w:sz w:val="21"/>
              </w:rPr>
            </w:pPr>
          </w:p>
        </w:tc>
      </w:tr>
      <w:tr w14:paraId="0959C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58" w:type="dxa"/>
            <w:vMerge w:val="continue"/>
            <w:tcBorders>
              <w:top w:val="nil"/>
              <w:left w:val="single" w:color="000000" w:sz="6" w:space="0"/>
              <w:bottom w:val="nil"/>
            </w:tcBorders>
            <w:vAlign w:val="top"/>
          </w:tcPr>
          <w:p w14:paraId="56E8E8EB">
            <w:pPr>
              <w:rPr>
                <w:rFonts w:ascii="Arial"/>
                <w:sz w:val="21"/>
              </w:rPr>
            </w:pPr>
          </w:p>
        </w:tc>
        <w:tc>
          <w:tcPr>
            <w:tcW w:w="114" w:type="dxa"/>
            <w:tcBorders>
              <w:top w:val="nil"/>
              <w:bottom w:val="nil"/>
            </w:tcBorders>
            <w:vAlign w:val="top"/>
          </w:tcPr>
          <w:p w14:paraId="5686B9C6">
            <w:pPr>
              <w:rPr>
                <w:rFonts w:ascii="Arial"/>
                <w:sz w:val="21"/>
              </w:rPr>
            </w:pPr>
          </w:p>
        </w:tc>
        <w:tc>
          <w:tcPr>
            <w:tcW w:w="724" w:type="dxa"/>
            <w:vMerge w:val="continue"/>
            <w:tcBorders>
              <w:top w:val="nil"/>
              <w:bottom w:val="nil"/>
            </w:tcBorders>
            <w:vAlign w:val="top"/>
          </w:tcPr>
          <w:p w14:paraId="62D2A9D0">
            <w:pPr>
              <w:rPr>
                <w:rFonts w:ascii="Arial"/>
                <w:sz w:val="21"/>
              </w:rPr>
            </w:pPr>
          </w:p>
        </w:tc>
        <w:tc>
          <w:tcPr>
            <w:tcW w:w="911" w:type="dxa"/>
            <w:gridSpan w:val="2"/>
            <w:vAlign w:val="top"/>
          </w:tcPr>
          <w:p w14:paraId="341E0CAD">
            <w:pPr>
              <w:spacing w:before="101" w:line="196" w:lineRule="auto"/>
              <w:ind w:left="170"/>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BOD</w:t>
            </w:r>
            <w:r>
              <w:rPr>
                <w:rFonts w:ascii="Times New Roman" w:hAnsi="Times New Roman" w:eastAsia="Times New Roman" w:cs="Times New Roman"/>
                <w:spacing w:val="-1"/>
                <w:position w:val="-1"/>
                <w:sz w:val="14"/>
                <w:szCs w:val="14"/>
              </w:rPr>
              <w:t>5</w:t>
            </w:r>
          </w:p>
        </w:tc>
        <w:tc>
          <w:tcPr>
            <w:tcW w:w="932" w:type="dxa"/>
            <w:gridSpan w:val="3"/>
            <w:vMerge w:val="continue"/>
            <w:tcBorders>
              <w:top w:val="nil"/>
              <w:bottom w:val="nil"/>
            </w:tcBorders>
            <w:vAlign w:val="top"/>
          </w:tcPr>
          <w:p w14:paraId="1E728156">
            <w:pPr>
              <w:rPr>
                <w:rFonts w:ascii="Arial"/>
                <w:sz w:val="21"/>
              </w:rPr>
            </w:pPr>
          </w:p>
        </w:tc>
        <w:tc>
          <w:tcPr>
            <w:tcW w:w="841" w:type="dxa"/>
            <w:gridSpan w:val="3"/>
            <w:vAlign w:val="top"/>
          </w:tcPr>
          <w:p w14:paraId="3092A939">
            <w:pPr>
              <w:spacing w:before="102" w:line="189" w:lineRule="auto"/>
              <w:ind w:left="24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384</w:t>
            </w:r>
          </w:p>
        </w:tc>
        <w:tc>
          <w:tcPr>
            <w:tcW w:w="922" w:type="dxa"/>
            <w:gridSpan w:val="4"/>
            <w:vAlign w:val="top"/>
          </w:tcPr>
          <w:p w14:paraId="5C428989">
            <w:pPr>
              <w:spacing w:before="102" w:line="189" w:lineRule="auto"/>
              <w:ind w:left="2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0.296</w:t>
            </w:r>
          </w:p>
        </w:tc>
        <w:tc>
          <w:tcPr>
            <w:tcW w:w="769" w:type="dxa"/>
            <w:gridSpan w:val="2"/>
            <w:vAlign w:val="top"/>
          </w:tcPr>
          <w:p w14:paraId="15D7F0A5">
            <w:pPr>
              <w:spacing w:before="102" w:line="189" w:lineRule="auto"/>
              <w:ind w:left="21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c>
          <w:tcPr>
            <w:tcW w:w="873" w:type="dxa"/>
            <w:gridSpan w:val="3"/>
            <w:vAlign w:val="top"/>
          </w:tcPr>
          <w:p w14:paraId="42DA076C">
            <w:pPr>
              <w:spacing w:before="102" w:line="189" w:lineRule="auto"/>
              <w:ind w:left="1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0.231</w:t>
            </w:r>
          </w:p>
        </w:tc>
        <w:tc>
          <w:tcPr>
            <w:tcW w:w="774" w:type="dxa"/>
            <w:gridSpan w:val="3"/>
            <w:vAlign w:val="top"/>
          </w:tcPr>
          <w:p w14:paraId="7D037FE1">
            <w:pPr>
              <w:spacing w:before="102" w:line="189" w:lineRule="auto"/>
              <w:ind w:left="289"/>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1145" w:type="dxa"/>
            <w:gridSpan w:val="3"/>
            <w:vAlign w:val="top"/>
          </w:tcPr>
          <w:p w14:paraId="529B5DAF">
            <w:pPr>
              <w:spacing w:before="102" w:line="189" w:lineRule="auto"/>
              <w:ind w:left="3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0.008</w:t>
            </w:r>
          </w:p>
        </w:tc>
        <w:tc>
          <w:tcPr>
            <w:tcW w:w="122" w:type="dxa"/>
            <w:tcBorders>
              <w:top w:val="nil"/>
              <w:bottom w:val="nil"/>
              <w:right w:val="single" w:color="000000" w:sz="6" w:space="0"/>
            </w:tcBorders>
            <w:vAlign w:val="top"/>
          </w:tcPr>
          <w:p w14:paraId="1DDA14BD">
            <w:pPr>
              <w:rPr>
                <w:rFonts w:ascii="Arial"/>
                <w:sz w:val="21"/>
              </w:rPr>
            </w:pPr>
          </w:p>
        </w:tc>
      </w:tr>
      <w:tr w14:paraId="206FD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58" w:type="dxa"/>
            <w:vMerge w:val="continue"/>
            <w:tcBorders>
              <w:top w:val="nil"/>
              <w:left w:val="single" w:color="000000" w:sz="6" w:space="0"/>
              <w:bottom w:val="nil"/>
            </w:tcBorders>
            <w:vAlign w:val="top"/>
          </w:tcPr>
          <w:p w14:paraId="320306D6">
            <w:pPr>
              <w:rPr>
                <w:rFonts w:ascii="Arial"/>
                <w:sz w:val="21"/>
              </w:rPr>
            </w:pPr>
          </w:p>
        </w:tc>
        <w:tc>
          <w:tcPr>
            <w:tcW w:w="114" w:type="dxa"/>
            <w:tcBorders>
              <w:top w:val="nil"/>
              <w:bottom w:val="nil"/>
            </w:tcBorders>
            <w:vAlign w:val="top"/>
          </w:tcPr>
          <w:p w14:paraId="234F82B6">
            <w:pPr>
              <w:rPr>
                <w:rFonts w:ascii="Arial"/>
                <w:sz w:val="21"/>
              </w:rPr>
            </w:pPr>
          </w:p>
        </w:tc>
        <w:tc>
          <w:tcPr>
            <w:tcW w:w="724" w:type="dxa"/>
            <w:vMerge w:val="continue"/>
            <w:tcBorders>
              <w:top w:val="nil"/>
              <w:bottom w:val="nil"/>
            </w:tcBorders>
            <w:vAlign w:val="top"/>
          </w:tcPr>
          <w:p w14:paraId="1C96C8C6">
            <w:pPr>
              <w:rPr>
                <w:rFonts w:ascii="Arial"/>
                <w:sz w:val="21"/>
              </w:rPr>
            </w:pPr>
          </w:p>
        </w:tc>
        <w:tc>
          <w:tcPr>
            <w:tcW w:w="911" w:type="dxa"/>
            <w:gridSpan w:val="2"/>
            <w:vAlign w:val="top"/>
          </w:tcPr>
          <w:p w14:paraId="466C5CD9">
            <w:pPr>
              <w:spacing w:before="103" w:line="189" w:lineRule="auto"/>
              <w:ind w:left="32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SS</w:t>
            </w:r>
          </w:p>
        </w:tc>
        <w:tc>
          <w:tcPr>
            <w:tcW w:w="932" w:type="dxa"/>
            <w:gridSpan w:val="3"/>
            <w:vMerge w:val="continue"/>
            <w:tcBorders>
              <w:top w:val="nil"/>
              <w:bottom w:val="nil"/>
            </w:tcBorders>
            <w:vAlign w:val="top"/>
          </w:tcPr>
          <w:p w14:paraId="266EC8AE">
            <w:pPr>
              <w:rPr>
                <w:rFonts w:ascii="Arial"/>
                <w:sz w:val="21"/>
              </w:rPr>
            </w:pPr>
          </w:p>
        </w:tc>
        <w:tc>
          <w:tcPr>
            <w:tcW w:w="841" w:type="dxa"/>
            <w:gridSpan w:val="3"/>
            <w:vAlign w:val="top"/>
          </w:tcPr>
          <w:p w14:paraId="5126D053">
            <w:pPr>
              <w:spacing w:before="103" w:line="189" w:lineRule="auto"/>
              <w:ind w:left="24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400</w:t>
            </w:r>
          </w:p>
        </w:tc>
        <w:tc>
          <w:tcPr>
            <w:tcW w:w="922" w:type="dxa"/>
            <w:gridSpan w:val="4"/>
            <w:vAlign w:val="top"/>
          </w:tcPr>
          <w:p w14:paraId="4B33A320">
            <w:pPr>
              <w:spacing w:before="103" w:line="189" w:lineRule="auto"/>
              <w:ind w:left="2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0.308</w:t>
            </w:r>
          </w:p>
        </w:tc>
        <w:tc>
          <w:tcPr>
            <w:tcW w:w="769" w:type="dxa"/>
            <w:gridSpan w:val="2"/>
            <w:vAlign w:val="top"/>
          </w:tcPr>
          <w:p w14:paraId="4AB04676">
            <w:pPr>
              <w:spacing w:before="103" w:line="189" w:lineRule="auto"/>
              <w:ind w:left="20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400</w:t>
            </w:r>
          </w:p>
        </w:tc>
        <w:tc>
          <w:tcPr>
            <w:tcW w:w="873" w:type="dxa"/>
            <w:gridSpan w:val="3"/>
            <w:vAlign w:val="top"/>
          </w:tcPr>
          <w:p w14:paraId="166A6A9C">
            <w:pPr>
              <w:spacing w:before="103" w:line="189" w:lineRule="auto"/>
              <w:ind w:left="1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0.308</w:t>
            </w:r>
          </w:p>
        </w:tc>
        <w:tc>
          <w:tcPr>
            <w:tcW w:w="774" w:type="dxa"/>
            <w:gridSpan w:val="3"/>
            <w:vAlign w:val="top"/>
          </w:tcPr>
          <w:p w14:paraId="58B40549">
            <w:pPr>
              <w:spacing w:before="103" w:line="189" w:lineRule="auto"/>
              <w:ind w:left="289"/>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1145" w:type="dxa"/>
            <w:gridSpan w:val="3"/>
            <w:vAlign w:val="top"/>
          </w:tcPr>
          <w:p w14:paraId="473F6DD7">
            <w:pPr>
              <w:spacing w:before="103" w:line="189" w:lineRule="auto"/>
              <w:ind w:left="3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0.008</w:t>
            </w:r>
          </w:p>
        </w:tc>
        <w:tc>
          <w:tcPr>
            <w:tcW w:w="122" w:type="dxa"/>
            <w:tcBorders>
              <w:top w:val="nil"/>
              <w:bottom w:val="nil"/>
              <w:right w:val="single" w:color="000000" w:sz="6" w:space="0"/>
            </w:tcBorders>
            <w:vAlign w:val="top"/>
          </w:tcPr>
          <w:p w14:paraId="370C27CD">
            <w:pPr>
              <w:rPr>
                <w:rFonts w:ascii="Arial"/>
                <w:sz w:val="21"/>
              </w:rPr>
            </w:pPr>
          </w:p>
        </w:tc>
      </w:tr>
      <w:tr w14:paraId="1E5E3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858" w:type="dxa"/>
            <w:vMerge w:val="continue"/>
            <w:tcBorders>
              <w:top w:val="nil"/>
              <w:left w:val="single" w:color="000000" w:sz="6" w:space="0"/>
              <w:bottom w:val="nil"/>
            </w:tcBorders>
            <w:vAlign w:val="top"/>
          </w:tcPr>
          <w:p w14:paraId="1D86AFAE">
            <w:pPr>
              <w:rPr>
                <w:rFonts w:ascii="Arial"/>
                <w:sz w:val="21"/>
              </w:rPr>
            </w:pPr>
          </w:p>
        </w:tc>
        <w:tc>
          <w:tcPr>
            <w:tcW w:w="114" w:type="dxa"/>
            <w:tcBorders>
              <w:top w:val="nil"/>
              <w:bottom w:val="nil"/>
            </w:tcBorders>
            <w:vAlign w:val="top"/>
          </w:tcPr>
          <w:p w14:paraId="62B800FD">
            <w:pPr>
              <w:rPr>
                <w:rFonts w:ascii="Arial"/>
                <w:sz w:val="21"/>
              </w:rPr>
            </w:pPr>
          </w:p>
        </w:tc>
        <w:tc>
          <w:tcPr>
            <w:tcW w:w="724" w:type="dxa"/>
            <w:vMerge w:val="continue"/>
            <w:tcBorders>
              <w:top w:val="nil"/>
              <w:bottom w:val="nil"/>
            </w:tcBorders>
            <w:vAlign w:val="top"/>
          </w:tcPr>
          <w:p w14:paraId="510096F3">
            <w:pPr>
              <w:rPr>
                <w:rFonts w:ascii="Arial"/>
                <w:sz w:val="21"/>
              </w:rPr>
            </w:pPr>
          </w:p>
        </w:tc>
        <w:tc>
          <w:tcPr>
            <w:tcW w:w="911" w:type="dxa"/>
            <w:gridSpan w:val="2"/>
            <w:vAlign w:val="top"/>
          </w:tcPr>
          <w:p w14:paraId="2770089F">
            <w:pPr>
              <w:pStyle w:val="6"/>
              <w:spacing w:before="161" w:line="219" w:lineRule="auto"/>
              <w:ind w:left="223"/>
              <w:rPr>
                <w:sz w:val="22"/>
                <w:szCs w:val="22"/>
              </w:rPr>
            </w:pPr>
            <w:r>
              <w:rPr>
                <w:spacing w:val="-4"/>
                <w:sz w:val="22"/>
                <w:szCs w:val="22"/>
              </w:rPr>
              <w:t>氨氮</w:t>
            </w:r>
          </w:p>
        </w:tc>
        <w:tc>
          <w:tcPr>
            <w:tcW w:w="932" w:type="dxa"/>
            <w:gridSpan w:val="3"/>
            <w:vMerge w:val="continue"/>
            <w:tcBorders>
              <w:top w:val="nil"/>
              <w:bottom w:val="nil"/>
            </w:tcBorders>
            <w:vAlign w:val="top"/>
          </w:tcPr>
          <w:p w14:paraId="6E652A01">
            <w:pPr>
              <w:rPr>
                <w:rFonts w:ascii="Arial"/>
                <w:sz w:val="21"/>
              </w:rPr>
            </w:pPr>
          </w:p>
        </w:tc>
        <w:tc>
          <w:tcPr>
            <w:tcW w:w="841" w:type="dxa"/>
            <w:gridSpan w:val="3"/>
            <w:vAlign w:val="top"/>
          </w:tcPr>
          <w:p w14:paraId="71149DF7">
            <w:pPr>
              <w:spacing w:before="198" w:line="189" w:lineRule="auto"/>
              <w:ind w:left="2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48</w:t>
            </w:r>
          </w:p>
        </w:tc>
        <w:tc>
          <w:tcPr>
            <w:tcW w:w="922" w:type="dxa"/>
            <w:gridSpan w:val="4"/>
            <w:vAlign w:val="top"/>
          </w:tcPr>
          <w:p w14:paraId="789D968A">
            <w:pPr>
              <w:spacing w:before="198" w:line="189" w:lineRule="auto"/>
              <w:ind w:left="2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0.037</w:t>
            </w:r>
          </w:p>
        </w:tc>
        <w:tc>
          <w:tcPr>
            <w:tcW w:w="769" w:type="dxa"/>
            <w:gridSpan w:val="2"/>
            <w:vAlign w:val="top"/>
          </w:tcPr>
          <w:p w14:paraId="209D91BD">
            <w:pPr>
              <w:spacing w:before="198" w:line="189" w:lineRule="auto"/>
              <w:ind w:left="26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35</w:t>
            </w:r>
          </w:p>
        </w:tc>
        <w:tc>
          <w:tcPr>
            <w:tcW w:w="873" w:type="dxa"/>
            <w:gridSpan w:val="3"/>
            <w:vAlign w:val="top"/>
          </w:tcPr>
          <w:p w14:paraId="5DF42825">
            <w:pPr>
              <w:spacing w:before="198" w:line="189" w:lineRule="auto"/>
              <w:ind w:left="1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0.027</w:t>
            </w:r>
          </w:p>
        </w:tc>
        <w:tc>
          <w:tcPr>
            <w:tcW w:w="774" w:type="dxa"/>
            <w:gridSpan w:val="3"/>
            <w:vAlign w:val="top"/>
          </w:tcPr>
          <w:p w14:paraId="4AEF1989">
            <w:pPr>
              <w:pStyle w:val="6"/>
              <w:spacing w:before="161" w:line="232" w:lineRule="auto"/>
              <w:ind w:right="13"/>
              <w:jc w:val="right"/>
              <w:rPr>
                <w:sz w:val="22"/>
                <w:szCs w:val="22"/>
              </w:rPr>
            </w:pPr>
            <w:r>
              <w:rPr>
                <w:rFonts w:ascii="Times New Roman" w:hAnsi="Times New Roman" w:eastAsia="Times New Roman" w:cs="Times New Roman"/>
                <w:spacing w:val="-3"/>
                <w:sz w:val="22"/>
                <w:szCs w:val="22"/>
              </w:rPr>
              <w:t>5</w:t>
            </w:r>
            <w:r>
              <w:rPr>
                <w:spacing w:val="-3"/>
                <w:sz w:val="22"/>
                <w:szCs w:val="22"/>
              </w:rPr>
              <w:t>（</w:t>
            </w:r>
            <w:r>
              <w:rPr>
                <w:rFonts w:ascii="Times New Roman" w:hAnsi="Times New Roman" w:eastAsia="Times New Roman" w:cs="Times New Roman"/>
                <w:spacing w:val="-3"/>
                <w:sz w:val="22"/>
                <w:szCs w:val="22"/>
              </w:rPr>
              <w:t>8</w:t>
            </w:r>
            <w:r>
              <w:rPr>
                <w:spacing w:val="-3"/>
                <w:sz w:val="22"/>
                <w:szCs w:val="22"/>
              </w:rPr>
              <w:t>）</w:t>
            </w:r>
          </w:p>
        </w:tc>
        <w:tc>
          <w:tcPr>
            <w:tcW w:w="1145" w:type="dxa"/>
            <w:gridSpan w:val="3"/>
            <w:vAlign w:val="top"/>
          </w:tcPr>
          <w:p w14:paraId="57BAFB82">
            <w:pPr>
              <w:spacing w:before="57" w:line="189" w:lineRule="auto"/>
              <w:ind w:left="3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0.004</w:t>
            </w:r>
          </w:p>
          <w:p w14:paraId="772924D7">
            <w:pPr>
              <w:pStyle w:val="6"/>
              <w:spacing w:before="31" w:line="202" w:lineRule="auto"/>
              <w:ind w:left="116"/>
              <w:rPr>
                <w:sz w:val="22"/>
                <w:szCs w:val="22"/>
              </w:rPr>
            </w:pPr>
            <w:r>
              <w:rPr>
                <w:spacing w:val="-3"/>
                <w:sz w:val="22"/>
                <w:szCs w:val="22"/>
              </w:rPr>
              <w:t>（</w:t>
            </w:r>
            <w:r>
              <w:rPr>
                <w:rFonts w:ascii="Times New Roman" w:hAnsi="Times New Roman" w:eastAsia="Times New Roman" w:cs="Times New Roman"/>
                <w:spacing w:val="-3"/>
                <w:sz w:val="22"/>
                <w:szCs w:val="22"/>
              </w:rPr>
              <w:t>0.006</w:t>
            </w:r>
            <w:r>
              <w:rPr>
                <w:spacing w:val="-3"/>
                <w:sz w:val="22"/>
                <w:szCs w:val="22"/>
              </w:rPr>
              <w:t>）</w:t>
            </w:r>
          </w:p>
        </w:tc>
        <w:tc>
          <w:tcPr>
            <w:tcW w:w="122" w:type="dxa"/>
            <w:tcBorders>
              <w:top w:val="nil"/>
              <w:bottom w:val="nil"/>
              <w:right w:val="single" w:color="000000" w:sz="6" w:space="0"/>
            </w:tcBorders>
            <w:vAlign w:val="top"/>
          </w:tcPr>
          <w:p w14:paraId="0BAD44B5">
            <w:pPr>
              <w:rPr>
                <w:rFonts w:ascii="Arial"/>
                <w:sz w:val="21"/>
              </w:rPr>
            </w:pPr>
          </w:p>
        </w:tc>
      </w:tr>
      <w:tr w14:paraId="6BDCB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58" w:type="dxa"/>
            <w:vMerge w:val="continue"/>
            <w:tcBorders>
              <w:top w:val="nil"/>
              <w:left w:val="single" w:color="000000" w:sz="6" w:space="0"/>
              <w:bottom w:val="nil"/>
            </w:tcBorders>
            <w:vAlign w:val="top"/>
          </w:tcPr>
          <w:p w14:paraId="4972EC0A">
            <w:pPr>
              <w:rPr>
                <w:rFonts w:ascii="Arial"/>
                <w:sz w:val="21"/>
              </w:rPr>
            </w:pPr>
          </w:p>
        </w:tc>
        <w:tc>
          <w:tcPr>
            <w:tcW w:w="114" w:type="dxa"/>
            <w:tcBorders>
              <w:top w:val="nil"/>
              <w:bottom w:val="nil"/>
            </w:tcBorders>
            <w:vAlign w:val="top"/>
          </w:tcPr>
          <w:p w14:paraId="75F14E37">
            <w:pPr>
              <w:rPr>
                <w:rFonts w:ascii="Arial"/>
                <w:sz w:val="21"/>
              </w:rPr>
            </w:pPr>
          </w:p>
        </w:tc>
        <w:tc>
          <w:tcPr>
            <w:tcW w:w="724" w:type="dxa"/>
            <w:vMerge w:val="continue"/>
            <w:tcBorders>
              <w:top w:val="nil"/>
            </w:tcBorders>
            <w:vAlign w:val="top"/>
          </w:tcPr>
          <w:p w14:paraId="1729E34A">
            <w:pPr>
              <w:rPr>
                <w:rFonts w:ascii="Arial"/>
                <w:sz w:val="21"/>
              </w:rPr>
            </w:pPr>
          </w:p>
        </w:tc>
        <w:tc>
          <w:tcPr>
            <w:tcW w:w="911" w:type="dxa"/>
            <w:gridSpan w:val="2"/>
            <w:vAlign w:val="top"/>
          </w:tcPr>
          <w:p w14:paraId="02458CC8">
            <w:pPr>
              <w:pStyle w:val="6"/>
              <w:spacing w:before="68" w:line="220" w:lineRule="auto"/>
              <w:ind w:left="114"/>
              <w:rPr>
                <w:sz w:val="22"/>
                <w:szCs w:val="22"/>
              </w:rPr>
            </w:pPr>
            <w:r>
              <w:rPr>
                <w:spacing w:val="-3"/>
                <w:sz w:val="22"/>
                <w:szCs w:val="22"/>
              </w:rPr>
              <w:t>石油类</w:t>
            </w:r>
          </w:p>
        </w:tc>
        <w:tc>
          <w:tcPr>
            <w:tcW w:w="932" w:type="dxa"/>
            <w:gridSpan w:val="3"/>
            <w:vMerge w:val="continue"/>
            <w:tcBorders>
              <w:top w:val="nil"/>
            </w:tcBorders>
            <w:vAlign w:val="top"/>
          </w:tcPr>
          <w:p w14:paraId="3846573A">
            <w:pPr>
              <w:rPr>
                <w:rFonts w:ascii="Arial"/>
                <w:sz w:val="21"/>
              </w:rPr>
            </w:pPr>
          </w:p>
        </w:tc>
        <w:tc>
          <w:tcPr>
            <w:tcW w:w="841" w:type="dxa"/>
            <w:gridSpan w:val="3"/>
            <w:vAlign w:val="top"/>
          </w:tcPr>
          <w:p w14:paraId="79B5EDD6">
            <w:pPr>
              <w:spacing w:before="104" w:line="189" w:lineRule="auto"/>
              <w:ind w:left="29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1.2</w:t>
            </w:r>
          </w:p>
        </w:tc>
        <w:tc>
          <w:tcPr>
            <w:tcW w:w="922" w:type="dxa"/>
            <w:gridSpan w:val="4"/>
            <w:vAlign w:val="top"/>
          </w:tcPr>
          <w:p w14:paraId="45328FB6">
            <w:pPr>
              <w:spacing w:before="104" w:line="189" w:lineRule="auto"/>
              <w:ind w:left="2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0.001</w:t>
            </w:r>
          </w:p>
        </w:tc>
        <w:tc>
          <w:tcPr>
            <w:tcW w:w="769" w:type="dxa"/>
            <w:gridSpan w:val="2"/>
            <w:vAlign w:val="top"/>
          </w:tcPr>
          <w:p w14:paraId="5E6AC851">
            <w:pPr>
              <w:spacing w:before="104" w:line="189" w:lineRule="auto"/>
              <w:ind w:left="340"/>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873" w:type="dxa"/>
            <w:gridSpan w:val="3"/>
            <w:vAlign w:val="top"/>
          </w:tcPr>
          <w:p w14:paraId="19237C0A">
            <w:pPr>
              <w:spacing w:before="104" w:line="189" w:lineRule="auto"/>
              <w:ind w:left="31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774" w:type="dxa"/>
            <w:gridSpan w:val="3"/>
            <w:vAlign w:val="top"/>
          </w:tcPr>
          <w:p w14:paraId="1A1C5CBE">
            <w:pPr>
              <w:spacing w:before="104" w:line="189" w:lineRule="auto"/>
              <w:ind w:left="344"/>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145" w:type="dxa"/>
            <w:gridSpan w:val="3"/>
            <w:vAlign w:val="top"/>
          </w:tcPr>
          <w:p w14:paraId="019071AB">
            <w:pPr>
              <w:spacing w:before="104" w:line="189" w:lineRule="auto"/>
              <w:ind w:left="27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0.0007</w:t>
            </w:r>
          </w:p>
        </w:tc>
        <w:tc>
          <w:tcPr>
            <w:tcW w:w="122" w:type="dxa"/>
            <w:tcBorders>
              <w:top w:val="nil"/>
              <w:bottom w:val="nil"/>
              <w:right w:val="single" w:color="000000" w:sz="6" w:space="0"/>
            </w:tcBorders>
            <w:vAlign w:val="top"/>
          </w:tcPr>
          <w:p w14:paraId="76ADEBF7">
            <w:pPr>
              <w:rPr>
                <w:rFonts w:ascii="Arial"/>
                <w:sz w:val="21"/>
              </w:rPr>
            </w:pPr>
          </w:p>
        </w:tc>
      </w:tr>
      <w:tr w14:paraId="0CA8D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858" w:type="dxa"/>
            <w:vMerge w:val="continue"/>
            <w:tcBorders>
              <w:top w:val="nil"/>
              <w:left w:val="single" w:color="000000" w:sz="6" w:space="0"/>
              <w:bottom w:val="nil"/>
            </w:tcBorders>
            <w:vAlign w:val="top"/>
          </w:tcPr>
          <w:p w14:paraId="45481F73">
            <w:pPr>
              <w:rPr>
                <w:rFonts w:ascii="Arial"/>
                <w:sz w:val="21"/>
              </w:rPr>
            </w:pPr>
          </w:p>
        </w:tc>
        <w:tc>
          <w:tcPr>
            <w:tcW w:w="8127" w:type="dxa"/>
            <w:gridSpan w:val="26"/>
            <w:tcBorders>
              <w:right w:val="single" w:color="000000" w:sz="6" w:space="0"/>
            </w:tcBorders>
            <w:vAlign w:val="top"/>
          </w:tcPr>
          <w:p w14:paraId="15E01F84">
            <w:pPr>
              <w:spacing w:line="262" w:lineRule="auto"/>
              <w:rPr>
                <w:rFonts w:ascii="Arial"/>
                <w:sz w:val="21"/>
              </w:rPr>
            </w:pPr>
          </w:p>
          <w:p w14:paraId="746F9A42">
            <w:pPr>
              <w:spacing w:line="262" w:lineRule="auto"/>
              <w:rPr>
                <w:rFonts w:ascii="Arial"/>
                <w:sz w:val="21"/>
              </w:rPr>
            </w:pPr>
          </w:p>
          <w:p w14:paraId="0C6B35CA">
            <w:pPr>
              <w:pStyle w:val="6"/>
              <w:spacing w:before="82" w:line="225" w:lineRule="auto"/>
              <w:ind w:left="1162"/>
            </w:pPr>
            <w:r>
              <w:rPr>
                <w:spacing w:val="7"/>
              </w:rPr>
              <w:t>表</w:t>
            </w:r>
            <w:r>
              <w:rPr>
                <w:spacing w:val="-47"/>
              </w:rPr>
              <w:t xml:space="preserve"> </w:t>
            </w:r>
            <w:r>
              <w:rPr>
                <w:rFonts w:ascii="Times New Roman" w:hAnsi="Times New Roman" w:eastAsia="Times New Roman" w:cs="Times New Roman"/>
                <w:spacing w:val="7"/>
              </w:rPr>
              <w:t xml:space="preserve">4.2-8    </w:t>
            </w:r>
            <w:r>
              <w:rPr>
                <w:spacing w:val="7"/>
              </w:rPr>
              <w:t>废水类别、污染物及污染治理设施信息表</w:t>
            </w:r>
          </w:p>
        </w:tc>
      </w:tr>
      <w:tr w14:paraId="4B2ED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858" w:type="dxa"/>
            <w:vMerge w:val="continue"/>
            <w:tcBorders>
              <w:top w:val="nil"/>
              <w:left w:val="single" w:color="000000" w:sz="6" w:space="0"/>
              <w:bottom w:val="nil"/>
            </w:tcBorders>
            <w:vAlign w:val="top"/>
          </w:tcPr>
          <w:p w14:paraId="13AF70DA">
            <w:pPr>
              <w:rPr>
                <w:rFonts w:ascii="Arial"/>
                <w:sz w:val="21"/>
              </w:rPr>
            </w:pPr>
          </w:p>
        </w:tc>
        <w:tc>
          <w:tcPr>
            <w:tcW w:w="114" w:type="dxa"/>
            <w:tcBorders>
              <w:top w:val="nil"/>
              <w:bottom w:val="nil"/>
            </w:tcBorders>
            <w:vAlign w:val="top"/>
          </w:tcPr>
          <w:p w14:paraId="35A8FDA4">
            <w:pPr>
              <w:rPr>
                <w:rFonts w:ascii="Arial"/>
                <w:sz w:val="21"/>
              </w:rPr>
            </w:pPr>
          </w:p>
        </w:tc>
        <w:tc>
          <w:tcPr>
            <w:tcW w:w="724" w:type="dxa"/>
            <w:vMerge w:val="restart"/>
            <w:tcBorders>
              <w:bottom w:val="nil"/>
            </w:tcBorders>
            <w:vAlign w:val="top"/>
          </w:tcPr>
          <w:p w14:paraId="181CCB64">
            <w:pPr>
              <w:spacing w:line="390" w:lineRule="auto"/>
              <w:rPr>
                <w:rFonts w:ascii="Arial"/>
                <w:sz w:val="21"/>
              </w:rPr>
            </w:pPr>
          </w:p>
          <w:p w14:paraId="64CB1F58">
            <w:pPr>
              <w:pStyle w:val="6"/>
              <w:spacing w:before="71"/>
              <w:ind w:left="106" w:right="77"/>
              <w:rPr>
                <w:sz w:val="22"/>
                <w:szCs w:val="22"/>
              </w:rPr>
            </w:pPr>
            <w:r>
              <w:rPr>
                <w:spacing w:val="-9"/>
                <w:sz w:val="22"/>
                <w:szCs w:val="22"/>
              </w:rPr>
              <w:t>废</w:t>
            </w:r>
            <w:r>
              <w:rPr>
                <w:spacing w:val="1"/>
                <w:sz w:val="22"/>
                <w:szCs w:val="22"/>
              </w:rPr>
              <w:t xml:space="preserve"> </w:t>
            </w:r>
            <w:r>
              <w:rPr>
                <w:spacing w:val="-9"/>
                <w:sz w:val="22"/>
                <w:szCs w:val="22"/>
              </w:rPr>
              <w:t>水</w:t>
            </w:r>
            <w:r>
              <w:rPr>
                <w:spacing w:val="-4"/>
                <w:sz w:val="22"/>
                <w:szCs w:val="22"/>
              </w:rPr>
              <w:t>类别</w:t>
            </w:r>
          </w:p>
        </w:tc>
        <w:tc>
          <w:tcPr>
            <w:tcW w:w="1017" w:type="dxa"/>
            <w:gridSpan w:val="3"/>
            <w:vMerge w:val="restart"/>
            <w:tcBorders>
              <w:bottom w:val="nil"/>
            </w:tcBorders>
            <w:vAlign w:val="top"/>
          </w:tcPr>
          <w:p w14:paraId="50D60789">
            <w:pPr>
              <w:spacing w:line="390" w:lineRule="auto"/>
              <w:rPr>
                <w:rFonts w:ascii="Arial"/>
                <w:sz w:val="21"/>
              </w:rPr>
            </w:pPr>
          </w:p>
          <w:p w14:paraId="02DA2122">
            <w:pPr>
              <w:pStyle w:val="6"/>
              <w:spacing w:before="71"/>
              <w:ind w:left="142" w:right="76" w:firstLine="1"/>
              <w:rPr>
                <w:sz w:val="22"/>
                <w:szCs w:val="22"/>
              </w:rPr>
            </w:pPr>
            <w:r>
              <w:rPr>
                <w:spacing w:val="-10"/>
                <w:sz w:val="22"/>
                <w:szCs w:val="22"/>
              </w:rPr>
              <w:t>污</w:t>
            </w:r>
            <w:r>
              <w:rPr>
                <w:spacing w:val="-28"/>
                <w:sz w:val="22"/>
                <w:szCs w:val="22"/>
              </w:rPr>
              <w:t xml:space="preserve"> </w:t>
            </w:r>
            <w:r>
              <w:rPr>
                <w:spacing w:val="-10"/>
                <w:sz w:val="22"/>
                <w:szCs w:val="22"/>
              </w:rPr>
              <w:t>染</w:t>
            </w:r>
            <w:r>
              <w:rPr>
                <w:spacing w:val="-32"/>
                <w:sz w:val="22"/>
                <w:szCs w:val="22"/>
              </w:rPr>
              <w:t xml:space="preserve"> </w:t>
            </w:r>
            <w:r>
              <w:rPr>
                <w:spacing w:val="-10"/>
                <w:sz w:val="22"/>
                <w:szCs w:val="22"/>
              </w:rPr>
              <w:t>物</w:t>
            </w:r>
            <w:r>
              <w:rPr>
                <w:spacing w:val="-4"/>
                <w:sz w:val="22"/>
                <w:szCs w:val="22"/>
              </w:rPr>
              <w:t>种类</w:t>
            </w:r>
          </w:p>
        </w:tc>
        <w:tc>
          <w:tcPr>
            <w:tcW w:w="458" w:type="dxa"/>
            <w:vMerge w:val="restart"/>
            <w:tcBorders>
              <w:bottom w:val="nil"/>
            </w:tcBorders>
            <w:textDirection w:val="tbRlV"/>
            <w:vAlign w:val="top"/>
          </w:tcPr>
          <w:p w14:paraId="0DB8752F">
            <w:pPr>
              <w:pStyle w:val="6"/>
              <w:spacing w:before="100" w:line="210" w:lineRule="auto"/>
              <w:ind w:left="179"/>
              <w:rPr>
                <w:sz w:val="22"/>
                <w:szCs w:val="22"/>
              </w:rPr>
            </w:pPr>
            <w:r>
              <w:rPr>
                <w:spacing w:val="48"/>
                <w:sz w:val="22"/>
                <w:szCs w:val="22"/>
              </w:rPr>
              <w:t>排放去向</w:t>
            </w:r>
          </w:p>
        </w:tc>
        <w:tc>
          <w:tcPr>
            <w:tcW w:w="996" w:type="dxa"/>
            <w:gridSpan w:val="3"/>
            <w:vMerge w:val="restart"/>
            <w:tcBorders>
              <w:bottom w:val="nil"/>
            </w:tcBorders>
            <w:vAlign w:val="top"/>
          </w:tcPr>
          <w:p w14:paraId="7040D62B">
            <w:pPr>
              <w:spacing w:line="390" w:lineRule="auto"/>
              <w:rPr>
                <w:rFonts w:ascii="Arial"/>
                <w:sz w:val="21"/>
              </w:rPr>
            </w:pPr>
          </w:p>
          <w:p w14:paraId="62F614FF">
            <w:pPr>
              <w:pStyle w:val="6"/>
              <w:spacing w:before="71"/>
              <w:ind w:left="140" w:right="76"/>
              <w:rPr>
                <w:sz w:val="22"/>
                <w:szCs w:val="22"/>
              </w:rPr>
            </w:pPr>
            <w:r>
              <w:rPr>
                <w:spacing w:val="37"/>
                <w:sz w:val="22"/>
                <w:szCs w:val="22"/>
              </w:rPr>
              <w:t>排放规</w:t>
            </w:r>
            <w:r>
              <w:rPr>
                <w:sz w:val="22"/>
                <w:szCs w:val="22"/>
              </w:rPr>
              <w:t>律</w:t>
            </w:r>
          </w:p>
        </w:tc>
        <w:tc>
          <w:tcPr>
            <w:tcW w:w="2440" w:type="dxa"/>
            <w:gridSpan w:val="9"/>
            <w:vAlign w:val="top"/>
          </w:tcPr>
          <w:p w14:paraId="3BD8EDFD">
            <w:pPr>
              <w:pStyle w:val="6"/>
              <w:spacing w:before="37" w:line="199" w:lineRule="auto"/>
              <w:ind w:left="144"/>
              <w:rPr>
                <w:sz w:val="22"/>
                <w:szCs w:val="22"/>
              </w:rPr>
            </w:pPr>
            <w:r>
              <w:rPr>
                <w:spacing w:val="-2"/>
                <w:sz w:val="22"/>
                <w:szCs w:val="22"/>
              </w:rPr>
              <w:t>污染治理设施</w:t>
            </w:r>
          </w:p>
        </w:tc>
        <w:tc>
          <w:tcPr>
            <w:tcW w:w="931" w:type="dxa"/>
            <w:gridSpan w:val="3"/>
            <w:vMerge w:val="restart"/>
            <w:tcBorders>
              <w:bottom w:val="nil"/>
            </w:tcBorders>
            <w:vAlign w:val="top"/>
          </w:tcPr>
          <w:p w14:paraId="3A86C8BC">
            <w:pPr>
              <w:spacing w:line="390" w:lineRule="auto"/>
              <w:rPr>
                <w:rFonts w:ascii="Arial"/>
                <w:sz w:val="21"/>
              </w:rPr>
            </w:pPr>
          </w:p>
          <w:p w14:paraId="3D025189">
            <w:pPr>
              <w:pStyle w:val="6"/>
              <w:spacing w:before="71"/>
              <w:ind w:left="147" w:right="70" w:hanging="1"/>
              <w:rPr>
                <w:sz w:val="22"/>
                <w:szCs w:val="22"/>
              </w:rPr>
            </w:pPr>
            <w:r>
              <w:rPr>
                <w:spacing w:val="16"/>
                <w:sz w:val="22"/>
                <w:szCs w:val="22"/>
              </w:rPr>
              <w:t>排放口</w:t>
            </w:r>
            <w:r>
              <w:rPr>
                <w:spacing w:val="-5"/>
                <w:sz w:val="22"/>
                <w:szCs w:val="22"/>
              </w:rPr>
              <w:t>编号</w:t>
            </w:r>
          </w:p>
        </w:tc>
        <w:tc>
          <w:tcPr>
            <w:tcW w:w="876" w:type="dxa"/>
            <w:gridSpan w:val="3"/>
            <w:vMerge w:val="restart"/>
            <w:tcBorders>
              <w:bottom w:val="nil"/>
            </w:tcBorders>
            <w:vAlign w:val="top"/>
          </w:tcPr>
          <w:p w14:paraId="511D2C86">
            <w:pPr>
              <w:pStyle w:val="6"/>
              <w:spacing w:before="178" w:line="222" w:lineRule="auto"/>
              <w:ind w:left="148"/>
              <w:rPr>
                <w:sz w:val="22"/>
                <w:szCs w:val="22"/>
              </w:rPr>
            </w:pPr>
            <w:r>
              <w:rPr>
                <w:spacing w:val="-3"/>
                <w:sz w:val="22"/>
                <w:szCs w:val="22"/>
              </w:rPr>
              <w:t>排放口</w:t>
            </w:r>
          </w:p>
          <w:p w14:paraId="29AF6B8A">
            <w:pPr>
              <w:pStyle w:val="6"/>
              <w:spacing w:before="21" w:line="222" w:lineRule="auto"/>
              <w:ind w:left="152"/>
              <w:rPr>
                <w:sz w:val="22"/>
                <w:szCs w:val="22"/>
              </w:rPr>
            </w:pPr>
            <w:r>
              <w:rPr>
                <w:spacing w:val="-4"/>
                <w:sz w:val="22"/>
                <w:szCs w:val="22"/>
              </w:rPr>
              <w:t>设置是</w:t>
            </w:r>
          </w:p>
          <w:p w14:paraId="65F53F18">
            <w:pPr>
              <w:pStyle w:val="6"/>
              <w:spacing w:before="20" w:line="242" w:lineRule="auto"/>
              <w:ind w:left="149" w:right="68" w:firstLine="5"/>
              <w:rPr>
                <w:sz w:val="22"/>
                <w:szCs w:val="22"/>
              </w:rPr>
            </w:pPr>
            <w:r>
              <w:rPr>
                <w:spacing w:val="-5"/>
                <w:sz w:val="22"/>
                <w:szCs w:val="22"/>
              </w:rPr>
              <w:t>否符合</w:t>
            </w:r>
            <w:r>
              <w:rPr>
                <w:spacing w:val="-4"/>
                <w:sz w:val="22"/>
                <w:szCs w:val="22"/>
              </w:rPr>
              <w:t>要求</w:t>
            </w:r>
          </w:p>
        </w:tc>
        <w:tc>
          <w:tcPr>
            <w:tcW w:w="449" w:type="dxa"/>
            <w:vMerge w:val="restart"/>
            <w:tcBorders>
              <w:bottom w:val="nil"/>
            </w:tcBorders>
            <w:textDirection w:val="tbRlV"/>
            <w:vAlign w:val="top"/>
          </w:tcPr>
          <w:p w14:paraId="768788A0">
            <w:pPr>
              <w:pStyle w:val="6"/>
              <w:spacing w:before="80" w:line="200" w:lineRule="auto"/>
              <w:ind w:left="37"/>
              <w:rPr>
                <w:sz w:val="22"/>
                <w:szCs w:val="22"/>
              </w:rPr>
            </w:pPr>
            <w:r>
              <w:rPr>
                <w:spacing w:val="52"/>
                <w:sz w:val="22"/>
                <w:szCs w:val="22"/>
              </w:rPr>
              <w:t>排放</w:t>
            </w:r>
            <w:r>
              <w:rPr>
                <w:spacing w:val="52"/>
                <w:position w:val="1"/>
                <w:sz w:val="22"/>
                <w:szCs w:val="22"/>
              </w:rPr>
              <w:t>口</w:t>
            </w:r>
            <w:r>
              <w:rPr>
                <w:spacing w:val="52"/>
                <w:sz w:val="22"/>
                <w:szCs w:val="22"/>
              </w:rPr>
              <w:t>类型</w:t>
            </w:r>
          </w:p>
        </w:tc>
        <w:tc>
          <w:tcPr>
            <w:tcW w:w="122" w:type="dxa"/>
            <w:tcBorders>
              <w:top w:val="nil"/>
              <w:bottom w:val="nil"/>
              <w:right w:val="single" w:color="000000" w:sz="6" w:space="0"/>
            </w:tcBorders>
            <w:vAlign w:val="top"/>
          </w:tcPr>
          <w:p w14:paraId="23241E08">
            <w:pPr>
              <w:rPr>
                <w:rFonts w:ascii="Arial"/>
                <w:sz w:val="21"/>
              </w:rPr>
            </w:pPr>
          </w:p>
        </w:tc>
      </w:tr>
      <w:tr w14:paraId="5AC73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 w:hRule="atLeast"/>
        </w:trPr>
        <w:tc>
          <w:tcPr>
            <w:tcW w:w="858" w:type="dxa"/>
            <w:vMerge w:val="continue"/>
            <w:tcBorders>
              <w:top w:val="nil"/>
              <w:left w:val="single" w:color="000000" w:sz="6" w:space="0"/>
              <w:bottom w:val="nil"/>
            </w:tcBorders>
            <w:vAlign w:val="top"/>
          </w:tcPr>
          <w:p w14:paraId="13824515">
            <w:pPr>
              <w:rPr>
                <w:rFonts w:ascii="Arial"/>
                <w:sz w:val="21"/>
              </w:rPr>
            </w:pPr>
          </w:p>
        </w:tc>
        <w:tc>
          <w:tcPr>
            <w:tcW w:w="114" w:type="dxa"/>
            <w:tcBorders>
              <w:top w:val="nil"/>
              <w:bottom w:val="nil"/>
            </w:tcBorders>
            <w:vAlign w:val="top"/>
          </w:tcPr>
          <w:p w14:paraId="7317DA30">
            <w:pPr>
              <w:rPr>
                <w:rFonts w:ascii="Arial"/>
                <w:sz w:val="21"/>
              </w:rPr>
            </w:pPr>
          </w:p>
        </w:tc>
        <w:tc>
          <w:tcPr>
            <w:tcW w:w="724" w:type="dxa"/>
            <w:vMerge w:val="continue"/>
            <w:tcBorders>
              <w:top w:val="nil"/>
            </w:tcBorders>
            <w:vAlign w:val="top"/>
          </w:tcPr>
          <w:p w14:paraId="6751A5F4">
            <w:pPr>
              <w:rPr>
                <w:rFonts w:ascii="Arial"/>
                <w:sz w:val="21"/>
              </w:rPr>
            </w:pPr>
          </w:p>
        </w:tc>
        <w:tc>
          <w:tcPr>
            <w:tcW w:w="1017" w:type="dxa"/>
            <w:gridSpan w:val="3"/>
            <w:vMerge w:val="continue"/>
            <w:tcBorders>
              <w:top w:val="nil"/>
            </w:tcBorders>
            <w:vAlign w:val="top"/>
          </w:tcPr>
          <w:p w14:paraId="67ECB344">
            <w:pPr>
              <w:rPr>
                <w:rFonts w:ascii="Arial"/>
                <w:sz w:val="21"/>
              </w:rPr>
            </w:pPr>
          </w:p>
        </w:tc>
        <w:tc>
          <w:tcPr>
            <w:tcW w:w="458" w:type="dxa"/>
            <w:vMerge w:val="continue"/>
            <w:tcBorders>
              <w:top w:val="nil"/>
            </w:tcBorders>
            <w:textDirection w:val="tbRlV"/>
            <w:vAlign w:val="top"/>
          </w:tcPr>
          <w:p w14:paraId="7764F074">
            <w:pPr>
              <w:rPr>
                <w:rFonts w:ascii="Arial"/>
                <w:sz w:val="21"/>
              </w:rPr>
            </w:pPr>
          </w:p>
        </w:tc>
        <w:tc>
          <w:tcPr>
            <w:tcW w:w="996" w:type="dxa"/>
            <w:gridSpan w:val="3"/>
            <w:vMerge w:val="continue"/>
            <w:tcBorders>
              <w:top w:val="nil"/>
            </w:tcBorders>
            <w:vAlign w:val="top"/>
          </w:tcPr>
          <w:p w14:paraId="599489FE">
            <w:pPr>
              <w:rPr>
                <w:rFonts w:ascii="Arial"/>
                <w:sz w:val="21"/>
              </w:rPr>
            </w:pPr>
          </w:p>
        </w:tc>
        <w:tc>
          <w:tcPr>
            <w:tcW w:w="630" w:type="dxa"/>
            <w:gridSpan w:val="3"/>
            <w:textDirection w:val="tbRlV"/>
            <w:vAlign w:val="top"/>
          </w:tcPr>
          <w:p w14:paraId="28B85ECC">
            <w:pPr>
              <w:pStyle w:val="6"/>
              <w:spacing w:before="269" w:line="207" w:lineRule="auto"/>
              <w:ind w:left="321"/>
              <w:rPr>
                <w:sz w:val="22"/>
                <w:szCs w:val="22"/>
              </w:rPr>
            </w:pPr>
            <w:r>
              <w:rPr>
                <w:spacing w:val="33"/>
                <w:sz w:val="22"/>
                <w:szCs w:val="22"/>
              </w:rPr>
              <w:t>编号</w:t>
            </w:r>
          </w:p>
        </w:tc>
        <w:tc>
          <w:tcPr>
            <w:tcW w:w="903" w:type="dxa"/>
            <w:gridSpan w:val="3"/>
            <w:vAlign w:val="top"/>
          </w:tcPr>
          <w:p w14:paraId="6739318D">
            <w:pPr>
              <w:pStyle w:val="6"/>
              <w:spacing w:before="179" w:line="221" w:lineRule="auto"/>
              <w:ind w:left="145"/>
              <w:rPr>
                <w:sz w:val="22"/>
                <w:szCs w:val="22"/>
              </w:rPr>
            </w:pPr>
            <w:r>
              <w:rPr>
                <w:spacing w:val="6"/>
                <w:sz w:val="22"/>
                <w:szCs w:val="22"/>
              </w:rPr>
              <w:t>污染治</w:t>
            </w:r>
          </w:p>
          <w:p w14:paraId="61ABAB80">
            <w:pPr>
              <w:pStyle w:val="6"/>
              <w:spacing w:before="21" w:line="241" w:lineRule="auto"/>
              <w:ind w:left="146" w:right="73"/>
              <w:rPr>
                <w:sz w:val="22"/>
                <w:szCs w:val="22"/>
              </w:rPr>
            </w:pPr>
            <w:r>
              <w:rPr>
                <w:spacing w:val="5"/>
                <w:sz w:val="22"/>
                <w:szCs w:val="22"/>
              </w:rPr>
              <w:t>理设施</w:t>
            </w:r>
            <w:r>
              <w:rPr>
                <w:spacing w:val="-5"/>
                <w:sz w:val="22"/>
                <w:szCs w:val="22"/>
              </w:rPr>
              <w:t>名称</w:t>
            </w:r>
          </w:p>
        </w:tc>
        <w:tc>
          <w:tcPr>
            <w:tcW w:w="907" w:type="dxa"/>
            <w:gridSpan w:val="3"/>
            <w:vAlign w:val="top"/>
          </w:tcPr>
          <w:p w14:paraId="7A8066B7">
            <w:pPr>
              <w:spacing w:line="248" w:lineRule="auto"/>
              <w:rPr>
                <w:rFonts w:ascii="Arial"/>
                <w:sz w:val="21"/>
              </w:rPr>
            </w:pPr>
          </w:p>
          <w:p w14:paraId="43BD37A3">
            <w:pPr>
              <w:pStyle w:val="6"/>
              <w:spacing w:before="71" w:line="243" w:lineRule="auto"/>
              <w:ind w:left="145" w:right="70" w:firstLine="6"/>
              <w:rPr>
                <w:sz w:val="22"/>
                <w:szCs w:val="22"/>
              </w:rPr>
            </w:pPr>
            <w:r>
              <w:rPr>
                <w:spacing w:val="6"/>
                <w:sz w:val="22"/>
                <w:szCs w:val="22"/>
              </w:rPr>
              <w:t>治理设</w:t>
            </w:r>
            <w:r>
              <w:rPr>
                <w:spacing w:val="-2"/>
                <w:sz w:val="22"/>
                <w:szCs w:val="22"/>
              </w:rPr>
              <w:t>施工艺</w:t>
            </w:r>
          </w:p>
        </w:tc>
        <w:tc>
          <w:tcPr>
            <w:tcW w:w="931" w:type="dxa"/>
            <w:gridSpan w:val="3"/>
            <w:vMerge w:val="continue"/>
            <w:tcBorders>
              <w:top w:val="nil"/>
            </w:tcBorders>
            <w:vAlign w:val="top"/>
          </w:tcPr>
          <w:p w14:paraId="674B3FDE">
            <w:pPr>
              <w:rPr>
                <w:rFonts w:ascii="Arial"/>
                <w:sz w:val="21"/>
              </w:rPr>
            </w:pPr>
          </w:p>
        </w:tc>
        <w:tc>
          <w:tcPr>
            <w:tcW w:w="876" w:type="dxa"/>
            <w:gridSpan w:val="3"/>
            <w:vMerge w:val="continue"/>
            <w:tcBorders>
              <w:top w:val="nil"/>
            </w:tcBorders>
            <w:vAlign w:val="top"/>
          </w:tcPr>
          <w:p w14:paraId="502E7B38">
            <w:pPr>
              <w:rPr>
                <w:rFonts w:ascii="Arial"/>
                <w:sz w:val="21"/>
              </w:rPr>
            </w:pPr>
          </w:p>
        </w:tc>
        <w:tc>
          <w:tcPr>
            <w:tcW w:w="449" w:type="dxa"/>
            <w:vMerge w:val="continue"/>
            <w:tcBorders>
              <w:top w:val="nil"/>
            </w:tcBorders>
            <w:textDirection w:val="tbRlV"/>
            <w:vAlign w:val="top"/>
          </w:tcPr>
          <w:p w14:paraId="011C5E02">
            <w:pPr>
              <w:rPr>
                <w:rFonts w:ascii="Arial"/>
                <w:sz w:val="21"/>
              </w:rPr>
            </w:pPr>
          </w:p>
        </w:tc>
        <w:tc>
          <w:tcPr>
            <w:tcW w:w="122" w:type="dxa"/>
            <w:tcBorders>
              <w:top w:val="nil"/>
              <w:bottom w:val="nil"/>
              <w:right w:val="single" w:color="000000" w:sz="6" w:space="0"/>
            </w:tcBorders>
            <w:vAlign w:val="top"/>
          </w:tcPr>
          <w:p w14:paraId="1A2CEB2C">
            <w:pPr>
              <w:rPr>
                <w:rFonts w:ascii="Arial"/>
                <w:sz w:val="21"/>
              </w:rPr>
            </w:pPr>
          </w:p>
        </w:tc>
      </w:tr>
      <w:tr w14:paraId="2DE10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4" w:hRule="atLeast"/>
        </w:trPr>
        <w:tc>
          <w:tcPr>
            <w:tcW w:w="858" w:type="dxa"/>
            <w:vMerge w:val="continue"/>
            <w:tcBorders>
              <w:top w:val="nil"/>
              <w:left w:val="single" w:color="000000" w:sz="6" w:space="0"/>
              <w:bottom w:val="nil"/>
            </w:tcBorders>
            <w:vAlign w:val="top"/>
          </w:tcPr>
          <w:p w14:paraId="564CBBB6">
            <w:pPr>
              <w:rPr>
                <w:rFonts w:ascii="Arial"/>
                <w:sz w:val="21"/>
              </w:rPr>
            </w:pPr>
          </w:p>
        </w:tc>
        <w:tc>
          <w:tcPr>
            <w:tcW w:w="114" w:type="dxa"/>
            <w:tcBorders>
              <w:top w:val="nil"/>
              <w:bottom w:val="nil"/>
            </w:tcBorders>
            <w:vAlign w:val="top"/>
          </w:tcPr>
          <w:p w14:paraId="6087240F">
            <w:pPr>
              <w:rPr>
                <w:rFonts w:ascii="Arial"/>
                <w:sz w:val="21"/>
              </w:rPr>
            </w:pPr>
          </w:p>
        </w:tc>
        <w:tc>
          <w:tcPr>
            <w:tcW w:w="724" w:type="dxa"/>
            <w:vAlign w:val="top"/>
          </w:tcPr>
          <w:p w14:paraId="2AB60EB7">
            <w:pPr>
              <w:spacing w:line="246" w:lineRule="auto"/>
              <w:rPr>
                <w:rFonts w:ascii="Arial"/>
                <w:sz w:val="21"/>
              </w:rPr>
            </w:pPr>
          </w:p>
          <w:p w14:paraId="32E7AEF6">
            <w:pPr>
              <w:spacing w:line="246" w:lineRule="auto"/>
              <w:rPr>
                <w:rFonts w:ascii="Arial"/>
                <w:sz w:val="21"/>
              </w:rPr>
            </w:pPr>
          </w:p>
          <w:p w14:paraId="7A6421A6">
            <w:pPr>
              <w:pStyle w:val="6"/>
              <w:spacing w:before="72" w:line="242" w:lineRule="auto"/>
              <w:ind w:left="109" w:right="77"/>
              <w:rPr>
                <w:sz w:val="22"/>
                <w:szCs w:val="22"/>
              </w:rPr>
            </w:pPr>
            <w:r>
              <w:rPr>
                <w:spacing w:val="-11"/>
                <w:sz w:val="22"/>
                <w:szCs w:val="22"/>
              </w:rPr>
              <w:t>生</w:t>
            </w:r>
            <w:r>
              <w:rPr>
                <w:spacing w:val="3"/>
                <w:sz w:val="22"/>
                <w:szCs w:val="22"/>
              </w:rPr>
              <w:t xml:space="preserve"> </w:t>
            </w:r>
            <w:r>
              <w:rPr>
                <w:spacing w:val="-11"/>
                <w:sz w:val="22"/>
                <w:szCs w:val="22"/>
              </w:rPr>
              <w:t>活</w:t>
            </w:r>
            <w:r>
              <w:rPr>
                <w:spacing w:val="-5"/>
                <w:sz w:val="22"/>
                <w:szCs w:val="22"/>
              </w:rPr>
              <w:t>污水</w:t>
            </w:r>
          </w:p>
        </w:tc>
        <w:tc>
          <w:tcPr>
            <w:tcW w:w="1017" w:type="dxa"/>
            <w:gridSpan w:val="3"/>
            <w:vAlign w:val="top"/>
          </w:tcPr>
          <w:p w14:paraId="10F9A55E">
            <w:pPr>
              <w:pStyle w:val="6"/>
              <w:spacing w:before="178" w:line="181" w:lineRule="auto"/>
              <w:ind w:left="141"/>
              <w:rPr>
                <w:sz w:val="22"/>
                <w:szCs w:val="22"/>
              </w:rPr>
            </w:pPr>
            <w:r>
              <w:rPr>
                <w:rFonts w:ascii="Times New Roman" w:hAnsi="Times New Roman" w:eastAsia="Times New Roman" w:cs="Times New Roman"/>
                <w:spacing w:val="-1"/>
                <w:sz w:val="22"/>
                <w:szCs w:val="22"/>
              </w:rPr>
              <w:t xml:space="preserve">COD  </w:t>
            </w:r>
            <w:r>
              <w:rPr>
                <w:spacing w:val="-1"/>
                <w:sz w:val="22"/>
                <w:szCs w:val="22"/>
              </w:rPr>
              <w:t>、</w:t>
            </w:r>
          </w:p>
          <w:p w14:paraId="4970A5DE">
            <w:pPr>
              <w:pStyle w:val="6"/>
              <w:spacing w:before="67" w:line="187" w:lineRule="auto"/>
              <w:ind w:left="137"/>
              <w:rPr>
                <w:sz w:val="22"/>
                <w:szCs w:val="22"/>
              </w:rPr>
            </w:pPr>
            <w:r>
              <w:rPr>
                <w:rFonts w:ascii="Times New Roman" w:hAnsi="Times New Roman" w:eastAsia="Times New Roman" w:cs="Times New Roman"/>
                <w:spacing w:val="-1"/>
                <w:sz w:val="22"/>
                <w:szCs w:val="22"/>
              </w:rPr>
              <w:t>BOD</w:t>
            </w:r>
            <w:r>
              <w:rPr>
                <w:rFonts w:ascii="Times New Roman" w:hAnsi="Times New Roman" w:eastAsia="Times New Roman" w:cs="Times New Roman"/>
                <w:spacing w:val="-1"/>
                <w:position w:val="-1"/>
                <w:sz w:val="14"/>
                <w:szCs w:val="14"/>
              </w:rPr>
              <w:t>5</w:t>
            </w:r>
            <w:r>
              <w:rPr>
                <w:rFonts w:ascii="Times New Roman" w:hAnsi="Times New Roman" w:eastAsia="Times New Roman" w:cs="Times New Roman"/>
                <w:spacing w:val="9"/>
                <w:position w:val="-1"/>
                <w:sz w:val="14"/>
                <w:szCs w:val="14"/>
              </w:rPr>
              <w:t xml:space="preserve"> </w:t>
            </w:r>
            <w:r>
              <w:rPr>
                <w:spacing w:val="-1"/>
                <w:sz w:val="22"/>
                <w:szCs w:val="22"/>
              </w:rPr>
              <w:t>、</w:t>
            </w:r>
          </w:p>
          <w:p w14:paraId="530590D5">
            <w:pPr>
              <w:pStyle w:val="6"/>
              <w:spacing w:before="63" w:line="183" w:lineRule="auto"/>
              <w:ind w:left="147"/>
              <w:rPr>
                <w:sz w:val="22"/>
                <w:szCs w:val="22"/>
              </w:rPr>
            </w:pPr>
            <w:r>
              <w:rPr>
                <w:rFonts w:ascii="Times New Roman" w:hAnsi="Times New Roman" w:eastAsia="Times New Roman" w:cs="Times New Roman"/>
                <w:spacing w:val="-5"/>
                <w:sz w:val="22"/>
                <w:szCs w:val="22"/>
              </w:rPr>
              <w:t>SS</w:t>
            </w:r>
            <w:r>
              <w:rPr>
                <w:rFonts w:ascii="Times New Roman" w:hAnsi="Times New Roman" w:eastAsia="Times New Roman" w:cs="Times New Roman"/>
                <w:sz w:val="22"/>
                <w:szCs w:val="22"/>
              </w:rPr>
              <w:t xml:space="preserve">      </w:t>
            </w:r>
            <w:r>
              <w:rPr>
                <w:spacing w:val="-5"/>
                <w:sz w:val="22"/>
                <w:szCs w:val="22"/>
              </w:rPr>
              <w:t>、</w:t>
            </w:r>
          </w:p>
          <w:p w14:paraId="1BDC3A79">
            <w:pPr>
              <w:pStyle w:val="6"/>
              <w:spacing w:before="71" w:line="231" w:lineRule="auto"/>
              <w:ind w:left="142" w:right="70" w:hanging="12"/>
              <w:rPr>
                <w:sz w:val="22"/>
                <w:szCs w:val="22"/>
              </w:rPr>
            </w:pPr>
            <w:r>
              <w:rPr>
                <w:rFonts w:ascii="Times New Roman" w:hAnsi="Times New Roman" w:eastAsia="Times New Roman" w:cs="Times New Roman"/>
                <w:spacing w:val="-5"/>
                <w:sz w:val="22"/>
                <w:szCs w:val="22"/>
              </w:rPr>
              <w:t>NH</w:t>
            </w:r>
            <w:r>
              <w:rPr>
                <w:rFonts w:ascii="Times New Roman" w:hAnsi="Times New Roman" w:eastAsia="Times New Roman" w:cs="Times New Roman"/>
                <w:spacing w:val="-5"/>
                <w:position w:val="-1"/>
                <w:sz w:val="14"/>
                <w:szCs w:val="14"/>
              </w:rPr>
              <w:t>3</w:t>
            </w:r>
            <w:r>
              <w:rPr>
                <w:rFonts w:ascii="Times New Roman" w:hAnsi="Times New Roman" w:eastAsia="Times New Roman" w:cs="Times New Roman"/>
                <w:spacing w:val="-5"/>
                <w:sz w:val="22"/>
                <w:szCs w:val="22"/>
              </w:rPr>
              <w:t>-N</w:t>
            </w:r>
            <w:r>
              <w:rPr>
                <w:spacing w:val="-5"/>
                <w:sz w:val="22"/>
                <w:szCs w:val="22"/>
              </w:rPr>
              <w:t>、</w:t>
            </w:r>
            <w:r>
              <w:rPr>
                <w:spacing w:val="-3"/>
                <w:sz w:val="22"/>
                <w:szCs w:val="22"/>
              </w:rPr>
              <w:t>石油类</w:t>
            </w:r>
          </w:p>
        </w:tc>
        <w:tc>
          <w:tcPr>
            <w:tcW w:w="458" w:type="dxa"/>
            <w:vMerge w:val="restart"/>
            <w:tcBorders>
              <w:bottom w:val="nil"/>
            </w:tcBorders>
            <w:textDirection w:val="tbRlV"/>
            <w:vAlign w:val="top"/>
          </w:tcPr>
          <w:p w14:paraId="0D1D5723">
            <w:pPr>
              <w:pStyle w:val="6"/>
              <w:spacing w:before="100" w:line="207" w:lineRule="auto"/>
              <w:ind w:left="623"/>
              <w:rPr>
                <w:sz w:val="22"/>
                <w:szCs w:val="22"/>
              </w:rPr>
            </w:pPr>
            <w:r>
              <w:rPr>
                <w:spacing w:val="25"/>
                <w:w w:val="114"/>
                <w:sz w:val="22"/>
                <w:szCs w:val="22"/>
              </w:rPr>
              <w:t>大九污水处理厂</w:t>
            </w:r>
          </w:p>
        </w:tc>
        <w:tc>
          <w:tcPr>
            <w:tcW w:w="996" w:type="dxa"/>
            <w:gridSpan w:val="3"/>
            <w:vMerge w:val="restart"/>
            <w:tcBorders>
              <w:bottom w:val="nil"/>
            </w:tcBorders>
            <w:vAlign w:val="top"/>
          </w:tcPr>
          <w:p w14:paraId="1B75C206">
            <w:pPr>
              <w:spacing w:line="274" w:lineRule="auto"/>
              <w:rPr>
                <w:rFonts w:ascii="Arial"/>
                <w:sz w:val="21"/>
              </w:rPr>
            </w:pPr>
          </w:p>
          <w:p w14:paraId="53CC890F">
            <w:pPr>
              <w:spacing w:line="275" w:lineRule="auto"/>
              <w:rPr>
                <w:rFonts w:ascii="Arial"/>
                <w:sz w:val="21"/>
              </w:rPr>
            </w:pPr>
          </w:p>
          <w:p w14:paraId="1F9A0808">
            <w:pPr>
              <w:pStyle w:val="6"/>
              <w:spacing w:before="71" w:line="239" w:lineRule="auto"/>
              <w:ind w:left="140" w:right="74" w:firstLine="17"/>
              <w:jc w:val="both"/>
              <w:rPr>
                <w:sz w:val="22"/>
                <w:szCs w:val="22"/>
              </w:rPr>
            </w:pPr>
            <w:r>
              <w:rPr>
                <w:spacing w:val="32"/>
                <w:sz w:val="22"/>
                <w:szCs w:val="22"/>
              </w:rPr>
              <w:t>间断排</w:t>
            </w:r>
            <w:r>
              <w:rPr>
                <w:spacing w:val="-26"/>
                <w:sz w:val="22"/>
                <w:szCs w:val="22"/>
              </w:rPr>
              <w:t>放，排放</w:t>
            </w:r>
            <w:r>
              <w:rPr>
                <w:spacing w:val="37"/>
                <w:sz w:val="22"/>
                <w:szCs w:val="22"/>
              </w:rPr>
              <w:t>期间流量不稳</w:t>
            </w:r>
          </w:p>
          <w:p w14:paraId="50303146">
            <w:pPr>
              <w:pStyle w:val="6"/>
              <w:spacing w:line="241" w:lineRule="auto"/>
              <w:ind w:left="140" w:right="76" w:firstLine="5"/>
              <w:jc w:val="both"/>
              <w:rPr>
                <w:sz w:val="22"/>
                <w:szCs w:val="22"/>
              </w:rPr>
            </w:pPr>
            <w:r>
              <w:rPr>
                <w:spacing w:val="-28"/>
                <w:sz w:val="22"/>
                <w:szCs w:val="22"/>
              </w:rPr>
              <w:t>定，无周</w:t>
            </w:r>
            <w:r>
              <w:rPr>
                <w:spacing w:val="37"/>
                <w:sz w:val="22"/>
                <w:szCs w:val="22"/>
              </w:rPr>
              <w:t>期性规</w:t>
            </w:r>
            <w:r>
              <w:rPr>
                <w:sz w:val="22"/>
                <w:szCs w:val="22"/>
              </w:rPr>
              <w:t>律</w:t>
            </w:r>
          </w:p>
        </w:tc>
        <w:tc>
          <w:tcPr>
            <w:tcW w:w="630" w:type="dxa"/>
            <w:gridSpan w:val="3"/>
            <w:vAlign w:val="top"/>
          </w:tcPr>
          <w:p w14:paraId="30F0DDD4">
            <w:pPr>
              <w:spacing w:line="279" w:lineRule="auto"/>
              <w:rPr>
                <w:rFonts w:ascii="Arial"/>
                <w:sz w:val="21"/>
              </w:rPr>
            </w:pPr>
          </w:p>
          <w:p w14:paraId="2E5E484D">
            <w:pPr>
              <w:spacing w:line="280" w:lineRule="auto"/>
              <w:rPr>
                <w:rFonts w:ascii="Arial"/>
                <w:sz w:val="21"/>
              </w:rPr>
            </w:pPr>
          </w:p>
          <w:p w14:paraId="2144DA36">
            <w:pPr>
              <w:spacing w:before="63" w:line="186" w:lineRule="auto"/>
              <w:ind w:left="14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TW</w:t>
            </w:r>
          </w:p>
          <w:p w14:paraId="594F606C">
            <w:pPr>
              <w:spacing w:before="52" w:line="189" w:lineRule="auto"/>
              <w:ind w:left="14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001</w:t>
            </w:r>
          </w:p>
        </w:tc>
        <w:tc>
          <w:tcPr>
            <w:tcW w:w="903" w:type="dxa"/>
            <w:gridSpan w:val="3"/>
            <w:vAlign w:val="top"/>
          </w:tcPr>
          <w:p w14:paraId="0801F8C5">
            <w:pPr>
              <w:spacing w:line="318" w:lineRule="auto"/>
              <w:rPr>
                <w:rFonts w:ascii="Arial"/>
                <w:sz w:val="21"/>
              </w:rPr>
            </w:pPr>
          </w:p>
          <w:p w14:paraId="19CBF950">
            <w:pPr>
              <w:spacing w:line="318" w:lineRule="auto"/>
              <w:rPr>
                <w:rFonts w:ascii="Arial"/>
                <w:sz w:val="21"/>
              </w:rPr>
            </w:pPr>
          </w:p>
          <w:p w14:paraId="5D16E55B">
            <w:pPr>
              <w:pStyle w:val="6"/>
              <w:spacing w:before="71" w:line="222" w:lineRule="auto"/>
              <w:ind w:left="145"/>
              <w:rPr>
                <w:sz w:val="22"/>
                <w:szCs w:val="22"/>
              </w:rPr>
            </w:pPr>
            <w:r>
              <w:rPr>
                <w:spacing w:val="-3"/>
                <w:sz w:val="22"/>
                <w:szCs w:val="22"/>
              </w:rPr>
              <w:t>生化池</w:t>
            </w:r>
          </w:p>
        </w:tc>
        <w:tc>
          <w:tcPr>
            <w:tcW w:w="907" w:type="dxa"/>
            <w:gridSpan w:val="3"/>
            <w:vAlign w:val="top"/>
          </w:tcPr>
          <w:p w14:paraId="504D569A">
            <w:pPr>
              <w:pStyle w:val="6"/>
              <w:spacing w:before="141" w:line="220" w:lineRule="auto"/>
              <w:ind w:left="148"/>
              <w:rPr>
                <w:sz w:val="22"/>
                <w:szCs w:val="22"/>
              </w:rPr>
            </w:pPr>
            <w:r>
              <w:rPr>
                <w:spacing w:val="7"/>
                <w:sz w:val="22"/>
                <w:szCs w:val="22"/>
              </w:rPr>
              <w:t>水解酸</w:t>
            </w:r>
          </w:p>
          <w:p w14:paraId="0789B993">
            <w:pPr>
              <w:pStyle w:val="6"/>
              <w:spacing w:before="22" w:line="222" w:lineRule="auto"/>
              <w:ind w:left="146"/>
              <w:rPr>
                <w:sz w:val="22"/>
                <w:szCs w:val="22"/>
              </w:rPr>
            </w:pPr>
            <w:r>
              <w:rPr>
                <w:spacing w:val="-5"/>
                <w:sz w:val="22"/>
                <w:szCs w:val="22"/>
              </w:rPr>
              <w:t>化</w:t>
            </w:r>
            <w:r>
              <w:rPr>
                <w:spacing w:val="-42"/>
                <w:sz w:val="22"/>
                <w:szCs w:val="22"/>
              </w:rPr>
              <w:t xml:space="preserve"> </w:t>
            </w:r>
            <w:r>
              <w:rPr>
                <w:rFonts w:ascii="Times New Roman" w:hAnsi="Times New Roman" w:eastAsia="Times New Roman" w:cs="Times New Roman"/>
                <w:spacing w:val="-5"/>
                <w:sz w:val="22"/>
                <w:szCs w:val="22"/>
              </w:rPr>
              <w:t>+</w:t>
            </w:r>
            <w:r>
              <w:rPr>
                <w:rFonts w:ascii="Times New Roman" w:hAnsi="Times New Roman" w:eastAsia="Times New Roman" w:cs="Times New Roman"/>
                <w:spacing w:val="20"/>
                <w:w w:val="101"/>
                <w:sz w:val="22"/>
                <w:szCs w:val="22"/>
              </w:rPr>
              <w:t xml:space="preserve"> </w:t>
            </w:r>
            <w:r>
              <w:rPr>
                <w:spacing w:val="-5"/>
                <w:sz w:val="22"/>
                <w:szCs w:val="22"/>
              </w:rPr>
              <w:t>生</w:t>
            </w:r>
          </w:p>
          <w:p w14:paraId="293E600F">
            <w:pPr>
              <w:pStyle w:val="6"/>
              <w:spacing w:before="21" w:line="222" w:lineRule="auto"/>
              <w:ind w:left="146"/>
              <w:rPr>
                <w:sz w:val="22"/>
                <w:szCs w:val="22"/>
              </w:rPr>
            </w:pPr>
            <w:r>
              <w:rPr>
                <w:spacing w:val="8"/>
                <w:sz w:val="22"/>
                <w:szCs w:val="22"/>
              </w:rPr>
              <w:t>物接触</w:t>
            </w:r>
          </w:p>
          <w:p w14:paraId="7DEE41E5">
            <w:pPr>
              <w:pStyle w:val="6"/>
              <w:spacing w:before="19" w:line="242" w:lineRule="auto"/>
              <w:ind w:left="146" w:right="71"/>
              <w:rPr>
                <w:sz w:val="22"/>
                <w:szCs w:val="22"/>
              </w:rPr>
            </w:pPr>
            <w:r>
              <w:rPr>
                <w:spacing w:val="-7"/>
                <w:sz w:val="22"/>
                <w:szCs w:val="22"/>
              </w:rPr>
              <w:t>氧</w:t>
            </w:r>
            <w:r>
              <w:rPr>
                <w:spacing w:val="-36"/>
                <w:sz w:val="22"/>
                <w:szCs w:val="22"/>
              </w:rPr>
              <w:t xml:space="preserve"> </w:t>
            </w:r>
            <w:r>
              <w:rPr>
                <w:spacing w:val="-7"/>
                <w:sz w:val="22"/>
                <w:szCs w:val="22"/>
              </w:rPr>
              <w:t>化</w:t>
            </w:r>
            <w:r>
              <w:rPr>
                <w:spacing w:val="-44"/>
                <w:sz w:val="22"/>
                <w:szCs w:val="22"/>
              </w:rPr>
              <w:t xml:space="preserve"> </w:t>
            </w:r>
            <w:r>
              <w:rPr>
                <w:rFonts w:ascii="Times New Roman" w:hAnsi="Times New Roman" w:eastAsia="Times New Roman" w:cs="Times New Roman"/>
                <w:spacing w:val="-7"/>
                <w:sz w:val="22"/>
                <w:szCs w:val="22"/>
              </w:rPr>
              <w:t>+</w:t>
            </w:r>
            <w:r>
              <w:rPr>
                <w:spacing w:val="-4"/>
                <w:sz w:val="22"/>
                <w:szCs w:val="22"/>
              </w:rPr>
              <w:t>沉淀</w:t>
            </w:r>
          </w:p>
        </w:tc>
        <w:tc>
          <w:tcPr>
            <w:tcW w:w="931" w:type="dxa"/>
            <w:gridSpan w:val="3"/>
            <w:vAlign w:val="top"/>
          </w:tcPr>
          <w:p w14:paraId="1BE72601">
            <w:pPr>
              <w:spacing w:line="341" w:lineRule="auto"/>
              <w:rPr>
                <w:rFonts w:ascii="Arial"/>
                <w:sz w:val="21"/>
              </w:rPr>
            </w:pPr>
          </w:p>
          <w:p w14:paraId="65232A20">
            <w:pPr>
              <w:spacing w:line="341" w:lineRule="auto"/>
              <w:rPr>
                <w:rFonts w:ascii="Arial"/>
                <w:sz w:val="21"/>
              </w:rPr>
            </w:pPr>
          </w:p>
          <w:p w14:paraId="411B89DC">
            <w:pPr>
              <w:spacing w:before="63" w:line="189" w:lineRule="auto"/>
              <w:ind w:left="14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DW001</w:t>
            </w:r>
          </w:p>
        </w:tc>
        <w:tc>
          <w:tcPr>
            <w:tcW w:w="876" w:type="dxa"/>
            <w:gridSpan w:val="3"/>
            <w:vAlign w:val="top"/>
          </w:tcPr>
          <w:p w14:paraId="3B8A7A92">
            <w:pPr>
              <w:spacing w:line="318" w:lineRule="auto"/>
              <w:rPr>
                <w:rFonts w:ascii="Arial"/>
                <w:sz w:val="21"/>
              </w:rPr>
            </w:pPr>
          </w:p>
          <w:p w14:paraId="05321F2C">
            <w:pPr>
              <w:spacing w:line="318" w:lineRule="auto"/>
              <w:rPr>
                <w:rFonts w:ascii="Arial"/>
                <w:sz w:val="21"/>
              </w:rPr>
            </w:pPr>
          </w:p>
          <w:p w14:paraId="2D42FD5D">
            <w:pPr>
              <w:pStyle w:val="6"/>
              <w:spacing w:before="72" w:line="220" w:lineRule="auto"/>
              <w:ind w:left="150"/>
              <w:rPr>
                <w:sz w:val="22"/>
                <w:szCs w:val="22"/>
              </w:rPr>
            </w:pPr>
            <w:r>
              <w:rPr>
                <w:spacing w:val="-5"/>
                <w:sz w:val="22"/>
                <w:szCs w:val="22"/>
              </w:rPr>
              <w:t>符合</w:t>
            </w:r>
          </w:p>
        </w:tc>
        <w:tc>
          <w:tcPr>
            <w:tcW w:w="449" w:type="dxa"/>
            <w:vMerge w:val="restart"/>
            <w:tcBorders>
              <w:bottom w:val="nil"/>
            </w:tcBorders>
            <w:textDirection w:val="tbRlV"/>
            <w:vAlign w:val="top"/>
          </w:tcPr>
          <w:p w14:paraId="40834DE6">
            <w:pPr>
              <w:pStyle w:val="6"/>
              <w:spacing w:before="79" w:line="203" w:lineRule="auto"/>
              <w:ind w:left="991"/>
              <w:rPr>
                <w:sz w:val="22"/>
                <w:szCs w:val="22"/>
              </w:rPr>
            </w:pPr>
            <w:r>
              <w:rPr>
                <w:spacing w:val="-75"/>
                <w:w w:val="44"/>
                <w:sz w:val="22"/>
                <w:szCs w:val="22"/>
              </w:rPr>
              <w:t>一</w:t>
            </w:r>
            <w:r>
              <w:rPr>
                <w:spacing w:val="70"/>
                <w:sz w:val="22"/>
                <w:szCs w:val="22"/>
              </w:rPr>
              <w:t xml:space="preserve"> </w:t>
            </w:r>
            <w:r>
              <w:rPr>
                <w:sz w:val="22"/>
                <w:szCs w:val="22"/>
              </w:rPr>
              <w:t>般</w:t>
            </w:r>
            <w:r>
              <w:rPr>
                <w:spacing w:val="-45"/>
                <w:sz w:val="22"/>
                <w:szCs w:val="22"/>
              </w:rPr>
              <w:t xml:space="preserve"> </w:t>
            </w:r>
            <w:r>
              <w:rPr>
                <w:sz w:val="22"/>
                <w:szCs w:val="22"/>
              </w:rPr>
              <w:t>排</w:t>
            </w:r>
            <w:r>
              <w:rPr>
                <w:spacing w:val="-45"/>
                <w:sz w:val="22"/>
                <w:szCs w:val="22"/>
              </w:rPr>
              <w:t xml:space="preserve"> </w:t>
            </w:r>
            <w:r>
              <w:rPr>
                <w:sz w:val="22"/>
                <w:szCs w:val="22"/>
              </w:rPr>
              <w:t>放</w:t>
            </w:r>
            <w:r>
              <w:rPr>
                <w:spacing w:val="-45"/>
                <w:sz w:val="22"/>
                <w:szCs w:val="22"/>
              </w:rPr>
              <w:t xml:space="preserve"> </w:t>
            </w:r>
            <w:r>
              <w:rPr>
                <w:position w:val="1"/>
                <w:sz w:val="22"/>
                <w:szCs w:val="22"/>
              </w:rPr>
              <w:t>口</w:t>
            </w:r>
          </w:p>
        </w:tc>
        <w:tc>
          <w:tcPr>
            <w:tcW w:w="122" w:type="dxa"/>
            <w:tcBorders>
              <w:top w:val="nil"/>
              <w:bottom w:val="nil"/>
              <w:right w:val="single" w:color="000000" w:sz="6" w:space="0"/>
            </w:tcBorders>
            <w:vAlign w:val="top"/>
          </w:tcPr>
          <w:p w14:paraId="303D16F4">
            <w:pPr>
              <w:rPr>
                <w:rFonts w:ascii="Arial"/>
                <w:sz w:val="21"/>
              </w:rPr>
            </w:pPr>
          </w:p>
        </w:tc>
      </w:tr>
      <w:tr w14:paraId="087FB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0" w:hRule="atLeast"/>
        </w:trPr>
        <w:tc>
          <w:tcPr>
            <w:tcW w:w="858" w:type="dxa"/>
            <w:vMerge w:val="continue"/>
            <w:tcBorders>
              <w:top w:val="nil"/>
              <w:left w:val="single" w:color="000000" w:sz="6" w:space="0"/>
              <w:bottom w:val="nil"/>
            </w:tcBorders>
            <w:vAlign w:val="top"/>
          </w:tcPr>
          <w:p w14:paraId="2EBCE403">
            <w:pPr>
              <w:rPr>
                <w:rFonts w:ascii="Arial"/>
                <w:sz w:val="21"/>
              </w:rPr>
            </w:pPr>
          </w:p>
        </w:tc>
        <w:tc>
          <w:tcPr>
            <w:tcW w:w="114" w:type="dxa"/>
            <w:tcBorders>
              <w:top w:val="nil"/>
              <w:bottom w:val="nil"/>
            </w:tcBorders>
            <w:vAlign w:val="top"/>
          </w:tcPr>
          <w:p w14:paraId="51C00B08">
            <w:pPr>
              <w:rPr>
                <w:rFonts w:ascii="Arial"/>
                <w:sz w:val="21"/>
              </w:rPr>
            </w:pPr>
          </w:p>
        </w:tc>
        <w:tc>
          <w:tcPr>
            <w:tcW w:w="724" w:type="dxa"/>
            <w:vAlign w:val="top"/>
          </w:tcPr>
          <w:p w14:paraId="546385A4">
            <w:pPr>
              <w:spacing w:line="302" w:lineRule="auto"/>
              <w:rPr>
                <w:rFonts w:ascii="Arial"/>
                <w:sz w:val="21"/>
              </w:rPr>
            </w:pPr>
          </w:p>
          <w:p w14:paraId="0A9FAA86">
            <w:pPr>
              <w:pStyle w:val="6"/>
              <w:spacing w:before="72" w:line="241" w:lineRule="auto"/>
              <w:ind w:left="106" w:right="77"/>
              <w:jc w:val="both"/>
              <w:rPr>
                <w:sz w:val="22"/>
                <w:szCs w:val="22"/>
              </w:rPr>
            </w:pPr>
            <w:r>
              <w:rPr>
                <w:spacing w:val="-6"/>
                <w:sz w:val="22"/>
                <w:szCs w:val="22"/>
              </w:rPr>
              <w:t>场 地冲 洗</w:t>
            </w:r>
            <w:r>
              <w:rPr>
                <w:spacing w:val="-3"/>
                <w:sz w:val="22"/>
                <w:szCs w:val="22"/>
              </w:rPr>
              <w:t>废水</w:t>
            </w:r>
          </w:p>
        </w:tc>
        <w:tc>
          <w:tcPr>
            <w:tcW w:w="1017" w:type="dxa"/>
            <w:gridSpan w:val="3"/>
            <w:vAlign w:val="top"/>
          </w:tcPr>
          <w:p w14:paraId="184979C0">
            <w:pPr>
              <w:spacing w:line="442" w:lineRule="auto"/>
              <w:rPr>
                <w:rFonts w:ascii="Arial"/>
                <w:sz w:val="21"/>
              </w:rPr>
            </w:pPr>
          </w:p>
          <w:p w14:paraId="7E2BAB81">
            <w:pPr>
              <w:pStyle w:val="6"/>
              <w:spacing w:before="72" w:line="242" w:lineRule="auto"/>
              <w:ind w:left="142" w:right="76" w:firstLine="5"/>
              <w:rPr>
                <w:sz w:val="22"/>
                <w:szCs w:val="22"/>
              </w:rPr>
            </w:pPr>
            <w:r>
              <w:rPr>
                <w:rFonts w:ascii="Times New Roman" w:hAnsi="Times New Roman" w:eastAsia="Times New Roman" w:cs="Times New Roman"/>
                <w:spacing w:val="-24"/>
                <w:sz w:val="22"/>
                <w:szCs w:val="22"/>
              </w:rPr>
              <w:t>SS</w:t>
            </w:r>
            <w:r>
              <w:rPr>
                <w:spacing w:val="-24"/>
                <w:sz w:val="22"/>
                <w:szCs w:val="22"/>
              </w:rPr>
              <w:t>、石油</w:t>
            </w:r>
            <w:r>
              <w:rPr>
                <w:sz w:val="22"/>
                <w:szCs w:val="22"/>
              </w:rPr>
              <w:t>类</w:t>
            </w:r>
          </w:p>
        </w:tc>
        <w:tc>
          <w:tcPr>
            <w:tcW w:w="458" w:type="dxa"/>
            <w:vMerge w:val="continue"/>
            <w:tcBorders>
              <w:top w:val="nil"/>
            </w:tcBorders>
            <w:textDirection w:val="tbRlV"/>
            <w:vAlign w:val="top"/>
          </w:tcPr>
          <w:p w14:paraId="5A353175">
            <w:pPr>
              <w:rPr>
                <w:rFonts w:ascii="Arial"/>
                <w:sz w:val="21"/>
              </w:rPr>
            </w:pPr>
          </w:p>
        </w:tc>
        <w:tc>
          <w:tcPr>
            <w:tcW w:w="996" w:type="dxa"/>
            <w:gridSpan w:val="3"/>
            <w:vMerge w:val="continue"/>
            <w:tcBorders>
              <w:top w:val="nil"/>
            </w:tcBorders>
            <w:vAlign w:val="top"/>
          </w:tcPr>
          <w:p w14:paraId="264A0036">
            <w:pPr>
              <w:rPr>
                <w:rFonts w:ascii="Arial"/>
                <w:sz w:val="21"/>
              </w:rPr>
            </w:pPr>
          </w:p>
        </w:tc>
        <w:tc>
          <w:tcPr>
            <w:tcW w:w="630" w:type="dxa"/>
            <w:gridSpan w:val="3"/>
            <w:vAlign w:val="top"/>
          </w:tcPr>
          <w:p w14:paraId="543C531C">
            <w:pPr>
              <w:spacing w:line="254" w:lineRule="auto"/>
              <w:rPr>
                <w:rFonts w:ascii="Arial"/>
                <w:sz w:val="21"/>
              </w:rPr>
            </w:pPr>
          </w:p>
          <w:p w14:paraId="215B046E">
            <w:pPr>
              <w:spacing w:line="255" w:lineRule="auto"/>
              <w:rPr>
                <w:rFonts w:ascii="Arial"/>
                <w:sz w:val="21"/>
              </w:rPr>
            </w:pPr>
          </w:p>
          <w:p w14:paraId="461831B1">
            <w:pPr>
              <w:spacing w:before="63" w:line="186" w:lineRule="auto"/>
              <w:ind w:left="14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TW</w:t>
            </w:r>
          </w:p>
          <w:p w14:paraId="753F7992">
            <w:pPr>
              <w:spacing w:before="52" w:line="189" w:lineRule="auto"/>
              <w:ind w:left="14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002</w:t>
            </w:r>
          </w:p>
        </w:tc>
        <w:tc>
          <w:tcPr>
            <w:tcW w:w="903" w:type="dxa"/>
            <w:gridSpan w:val="3"/>
            <w:vAlign w:val="top"/>
          </w:tcPr>
          <w:p w14:paraId="10AD94BF">
            <w:pPr>
              <w:spacing w:line="293" w:lineRule="auto"/>
              <w:rPr>
                <w:rFonts w:ascii="Arial"/>
                <w:sz w:val="21"/>
              </w:rPr>
            </w:pPr>
          </w:p>
          <w:p w14:paraId="314C2A4B">
            <w:pPr>
              <w:spacing w:line="293" w:lineRule="auto"/>
              <w:rPr>
                <w:rFonts w:ascii="Arial"/>
                <w:sz w:val="21"/>
              </w:rPr>
            </w:pPr>
          </w:p>
          <w:p w14:paraId="3F7B3B64">
            <w:pPr>
              <w:pStyle w:val="6"/>
              <w:spacing w:before="71" w:line="222" w:lineRule="auto"/>
              <w:ind w:left="157"/>
              <w:rPr>
                <w:sz w:val="22"/>
                <w:szCs w:val="22"/>
              </w:rPr>
            </w:pPr>
            <w:r>
              <w:rPr>
                <w:spacing w:val="-7"/>
                <w:sz w:val="22"/>
                <w:szCs w:val="22"/>
              </w:rPr>
              <w:t>隔油池</w:t>
            </w:r>
          </w:p>
        </w:tc>
        <w:tc>
          <w:tcPr>
            <w:tcW w:w="907" w:type="dxa"/>
            <w:gridSpan w:val="3"/>
            <w:vAlign w:val="top"/>
          </w:tcPr>
          <w:p w14:paraId="528C4934">
            <w:pPr>
              <w:spacing w:line="443" w:lineRule="auto"/>
              <w:rPr>
                <w:rFonts w:ascii="Arial"/>
                <w:sz w:val="21"/>
              </w:rPr>
            </w:pPr>
          </w:p>
          <w:p w14:paraId="6B5D8BC5">
            <w:pPr>
              <w:pStyle w:val="6"/>
              <w:spacing w:before="72" w:line="242" w:lineRule="auto"/>
              <w:ind w:left="146" w:right="71" w:firstLine="13"/>
              <w:rPr>
                <w:sz w:val="22"/>
                <w:szCs w:val="22"/>
              </w:rPr>
            </w:pPr>
            <w:r>
              <w:rPr>
                <w:spacing w:val="-12"/>
                <w:sz w:val="22"/>
                <w:szCs w:val="22"/>
              </w:rPr>
              <w:t>隔</w:t>
            </w:r>
            <w:r>
              <w:rPr>
                <w:spacing w:val="-34"/>
                <w:sz w:val="22"/>
                <w:szCs w:val="22"/>
              </w:rPr>
              <w:t xml:space="preserve"> </w:t>
            </w:r>
            <w:r>
              <w:rPr>
                <w:spacing w:val="-12"/>
                <w:sz w:val="22"/>
                <w:szCs w:val="22"/>
              </w:rPr>
              <w:t>油</w:t>
            </w:r>
            <w:r>
              <w:rPr>
                <w:spacing w:val="-44"/>
                <w:sz w:val="22"/>
                <w:szCs w:val="22"/>
              </w:rPr>
              <w:t xml:space="preserve"> </w:t>
            </w:r>
            <w:r>
              <w:rPr>
                <w:rFonts w:ascii="Times New Roman" w:hAnsi="Times New Roman" w:eastAsia="Times New Roman" w:cs="Times New Roman"/>
                <w:spacing w:val="-12"/>
                <w:sz w:val="22"/>
                <w:szCs w:val="22"/>
              </w:rPr>
              <w:t>+</w:t>
            </w:r>
            <w:r>
              <w:rPr>
                <w:spacing w:val="-4"/>
                <w:sz w:val="22"/>
                <w:szCs w:val="22"/>
              </w:rPr>
              <w:t>沉淀</w:t>
            </w:r>
          </w:p>
        </w:tc>
        <w:tc>
          <w:tcPr>
            <w:tcW w:w="931" w:type="dxa"/>
            <w:gridSpan w:val="3"/>
            <w:vAlign w:val="top"/>
          </w:tcPr>
          <w:p w14:paraId="3353D94C">
            <w:pPr>
              <w:spacing w:line="316" w:lineRule="auto"/>
              <w:rPr>
                <w:rFonts w:ascii="Arial"/>
                <w:sz w:val="21"/>
              </w:rPr>
            </w:pPr>
          </w:p>
          <w:p w14:paraId="10D1BEF5">
            <w:pPr>
              <w:spacing w:line="316" w:lineRule="auto"/>
              <w:rPr>
                <w:rFonts w:ascii="Arial"/>
                <w:sz w:val="21"/>
              </w:rPr>
            </w:pPr>
          </w:p>
          <w:p w14:paraId="62FCE928">
            <w:pPr>
              <w:spacing w:before="64" w:line="189" w:lineRule="auto"/>
              <w:ind w:left="14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DW002</w:t>
            </w:r>
          </w:p>
        </w:tc>
        <w:tc>
          <w:tcPr>
            <w:tcW w:w="876" w:type="dxa"/>
            <w:gridSpan w:val="3"/>
            <w:vAlign w:val="top"/>
          </w:tcPr>
          <w:p w14:paraId="61177BDD">
            <w:pPr>
              <w:spacing w:line="293" w:lineRule="auto"/>
              <w:rPr>
                <w:rFonts w:ascii="Arial"/>
                <w:sz w:val="21"/>
              </w:rPr>
            </w:pPr>
          </w:p>
          <w:p w14:paraId="59C9AD2A">
            <w:pPr>
              <w:spacing w:line="294" w:lineRule="auto"/>
              <w:rPr>
                <w:rFonts w:ascii="Arial"/>
                <w:sz w:val="21"/>
              </w:rPr>
            </w:pPr>
          </w:p>
          <w:p w14:paraId="23909615">
            <w:pPr>
              <w:pStyle w:val="6"/>
              <w:spacing w:before="71" w:line="220" w:lineRule="auto"/>
              <w:ind w:left="150"/>
              <w:rPr>
                <w:sz w:val="22"/>
                <w:szCs w:val="22"/>
              </w:rPr>
            </w:pPr>
            <w:r>
              <w:rPr>
                <w:spacing w:val="-5"/>
                <w:sz w:val="22"/>
                <w:szCs w:val="22"/>
              </w:rPr>
              <w:t>符合</w:t>
            </w:r>
          </w:p>
        </w:tc>
        <w:tc>
          <w:tcPr>
            <w:tcW w:w="449" w:type="dxa"/>
            <w:vMerge w:val="continue"/>
            <w:tcBorders>
              <w:top w:val="nil"/>
            </w:tcBorders>
            <w:textDirection w:val="tbRlV"/>
            <w:vAlign w:val="top"/>
          </w:tcPr>
          <w:p w14:paraId="2262A8A2">
            <w:pPr>
              <w:rPr>
                <w:rFonts w:ascii="Arial"/>
                <w:sz w:val="21"/>
              </w:rPr>
            </w:pPr>
          </w:p>
        </w:tc>
        <w:tc>
          <w:tcPr>
            <w:tcW w:w="122" w:type="dxa"/>
            <w:tcBorders>
              <w:top w:val="nil"/>
              <w:bottom w:val="nil"/>
              <w:right w:val="single" w:color="000000" w:sz="6" w:space="0"/>
            </w:tcBorders>
            <w:vAlign w:val="top"/>
          </w:tcPr>
          <w:p w14:paraId="659B7CFD">
            <w:pPr>
              <w:rPr>
                <w:rFonts w:ascii="Arial"/>
                <w:sz w:val="21"/>
              </w:rPr>
            </w:pPr>
          </w:p>
        </w:tc>
      </w:tr>
      <w:tr w14:paraId="374A4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 w:hRule="atLeast"/>
        </w:trPr>
        <w:tc>
          <w:tcPr>
            <w:tcW w:w="858" w:type="dxa"/>
            <w:vMerge w:val="continue"/>
            <w:tcBorders>
              <w:top w:val="nil"/>
              <w:left w:val="single" w:color="000000" w:sz="6" w:space="0"/>
              <w:bottom w:val="nil"/>
            </w:tcBorders>
            <w:vAlign w:val="top"/>
          </w:tcPr>
          <w:p w14:paraId="5FFFB436">
            <w:pPr>
              <w:rPr>
                <w:rFonts w:ascii="Arial"/>
                <w:sz w:val="21"/>
              </w:rPr>
            </w:pPr>
          </w:p>
        </w:tc>
        <w:tc>
          <w:tcPr>
            <w:tcW w:w="8127" w:type="dxa"/>
            <w:gridSpan w:val="26"/>
            <w:tcBorders>
              <w:right w:val="single" w:color="000000" w:sz="6" w:space="0"/>
            </w:tcBorders>
            <w:vAlign w:val="top"/>
          </w:tcPr>
          <w:p w14:paraId="5B942BB6">
            <w:pPr>
              <w:spacing w:line="265" w:lineRule="auto"/>
              <w:rPr>
                <w:rFonts w:ascii="Arial"/>
                <w:sz w:val="21"/>
              </w:rPr>
            </w:pPr>
          </w:p>
          <w:p w14:paraId="6EEB6DE2">
            <w:pPr>
              <w:spacing w:line="266" w:lineRule="auto"/>
              <w:rPr>
                <w:rFonts w:ascii="Arial"/>
                <w:sz w:val="21"/>
              </w:rPr>
            </w:pPr>
          </w:p>
          <w:p w14:paraId="425418C0">
            <w:pPr>
              <w:pStyle w:val="6"/>
              <w:spacing w:before="81" w:line="221" w:lineRule="auto"/>
              <w:ind w:left="1942"/>
            </w:pPr>
            <w:r>
              <w:rPr>
                <w:spacing w:val="6"/>
              </w:rPr>
              <w:t>表</w:t>
            </w:r>
            <w:r>
              <w:rPr>
                <w:spacing w:val="-43"/>
              </w:rPr>
              <w:t xml:space="preserve"> </w:t>
            </w:r>
            <w:r>
              <w:rPr>
                <w:rFonts w:ascii="Times New Roman" w:hAnsi="Times New Roman" w:eastAsia="Times New Roman" w:cs="Times New Roman"/>
                <w:spacing w:val="6"/>
              </w:rPr>
              <w:t xml:space="preserve">4.2-9    </w:t>
            </w:r>
            <w:r>
              <w:rPr>
                <w:spacing w:val="6"/>
              </w:rPr>
              <w:t>废水间接排放口基本情况表</w:t>
            </w:r>
          </w:p>
        </w:tc>
      </w:tr>
      <w:tr w14:paraId="4864E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58" w:type="dxa"/>
            <w:vMerge w:val="continue"/>
            <w:tcBorders>
              <w:top w:val="nil"/>
              <w:left w:val="single" w:color="000000" w:sz="6" w:space="0"/>
              <w:bottom w:val="nil"/>
            </w:tcBorders>
            <w:vAlign w:val="top"/>
          </w:tcPr>
          <w:p w14:paraId="55B3AE00">
            <w:pPr>
              <w:rPr>
                <w:rFonts w:ascii="Arial"/>
                <w:sz w:val="21"/>
              </w:rPr>
            </w:pPr>
          </w:p>
        </w:tc>
        <w:tc>
          <w:tcPr>
            <w:tcW w:w="114" w:type="dxa"/>
            <w:tcBorders>
              <w:top w:val="nil"/>
              <w:bottom w:val="nil"/>
            </w:tcBorders>
            <w:vAlign w:val="top"/>
          </w:tcPr>
          <w:p w14:paraId="0173186D">
            <w:pPr>
              <w:rPr>
                <w:rFonts w:ascii="Arial"/>
                <w:sz w:val="21"/>
              </w:rPr>
            </w:pPr>
          </w:p>
        </w:tc>
        <w:tc>
          <w:tcPr>
            <w:tcW w:w="884" w:type="dxa"/>
            <w:gridSpan w:val="2"/>
            <w:vMerge w:val="restart"/>
            <w:tcBorders>
              <w:bottom w:val="nil"/>
            </w:tcBorders>
            <w:vAlign w:val="top"/>
          </w:tcPr>
          <w:p w14:paraId="168B0769">
            <w:pPr>
              <w:spacing w:line="385" w:lineRule="auto"/>
              <w:rPr>
                <w:rFonts w:ascii="Arial"/>
                <w:sz w:val="21"/>
              </w:rPr>
            </w:pPr>
          </w:p>
          <w:p w14:paraId="7219EE7E">
            <w:pPr>
              <w:pStyle w:val="6"/>
              <w:spacing w:before="72" w:line="242" w:lineRule="auto"/>
              <w:ind w:left="113" w:right="105" w:hanging="1"/>
              <w:rPr>
                <w:sz w:val="22"/>
                <w:szCs w:val="22"/>
              </w:rPr>
            </w:pPr>
            <w:r>
              <w:rPr>
                <w:sz w:val="22"/>
                <w:szCs w:val="22"/>
              </w:rPr>
              <w:t>排放口</w:t>
            </w:r>
            <w:r>
              <w:rPr>
                <w:spacing w:val="-5"/>
                <w:sz w:val="22"/>
                <w:szCs w:val="22"/>
              </w:rPr>
              <w:t>编号</w:t>
            </w:r>
          </w:p>
        </w:tc>
        <w:tc>
          <w:tcPr>
            <w:tcW w:w="1703" w:type="dxa"/>
            <w:gridSpan w:val="5"/>
            <w:vAlign w:val="top"/>
          </w:tcPr>
          <w:p w14:paraId="0E07B9EA">
            <w:pPr>
              <w:pStyle w:val="6"/>
              <w:spacing w:before="45" w:line="218" w:lineRule="auto"/>
              <w:ind w:left="750" w:right="186" w:hanging="550"/>
              <w:rPr>
                <w:sz w:val="22"/>
                <w:szCs w:val="22"/>
              </w:rPr>
            </w:pPr>
            <w:r>
              <w:rPr>
                <w:spacing w:val="-2"/>
                <w:sz w:val="22"/>
                <w:szCs w:val="22"/>
              </w:rPr>
              <w:t>排放口地理坐</w:t>
            </w:r>
            <w:r>
              <w:rPr>
                <w:sz w:val="22"/>
                <w:szCs w:val="22"/>
              </w:rPr>
              <w:t>标</w:t>
            </w:r>
          </w:p>
        </w:tc>
        <w:tc>
          <w:tcPr>
            <w:tcW w:w="899" w:type="dxa"/>
            <w:gridSpan w:val="3"/>
            <w:vMerge w:val="restart"/>
            <w:tcBorders>
              <w:bottom w:val="nil"/>
            </w:tcBorders>
            <w:vAlign w:val="top"/>
          </w:tcPr>
          <w:p w14:paraId="2CB8C3AE">
            <w:pPr>
              <w:spacing w:line="260" w:lineRule="auto"/>
              <w:rPr>
                <w:rFonts w:ascii="Arial"/>
                <w:sz w:val="21"/>
              </w:rPr>
            </w:pPr>
          </w:p>
          <w:p w14:paraId="5F3571BA">
            <w:pPr>
              <w:pStyle w:val="6"/>
              <w:spacing w:before="71"/>
              <w:ind w:left="118" w:right="96"/>
              <w:rPr>
                <w:sz w:val="22"/>
                <w:szCs w:val="22"/>
              </w:rPr>
            </w:pPr>
            <w:r>
              <w:rPr>
                <w:spacing w:val="6"/>
                <w:sz w:val="22"/>
                <w:szCs w:val="22"/>
              </w:rPr>
              <w:t>废水排</w:t>
            </w:r>
            <w:r>
              <w:rPr>
                <w:spacing w:val="-4"/>
                <w:sz w:val="22"/>
                <w:szCs w:val="22"/>
              </w:rPr>
              <w:t>放量</w:t>
            </w:r>
          </w:p>
          <w:p w14:paraId="71C6D6F7">
            <w:pPr>
              <w:spacing w:line="208" w:lineRule="auto"/>
              <w:ind w:left="12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(m</w:t>
            </w:r>
            <w:r>
              <w:rPr>
                <w:rFonts w:ascii="Times New Roman" w:hAnsi="Times New Roman" w:eastAsia="Times New Roman" w:cs="Times New Roman"/>
                <w:spacing w:val="-2"/>
                <w:position w:val="6"/>
                <w:sz w:val="14"/>
                <w:szCs w:val="14"/>
              </w:rPr>
              <w:t>3</w:t>
            </w:r>
            <w:r>
              <w:rPr>
                <w:rFonts w:ascii="Times New Roman" w:hAnsi="Times New Roman" w:eastAsia="Times New Roman" w:cs="Times New Roman"/>
                <w:spacing w:val="-2"/>
                <w:sz w:val="22"/>
                <w:szCs w:val="22"/>
              </w:rPr>
              <w:t>/a)</w:t>
            </w:r>
          </w:p>
        </w:tc>
        <w:tc>
          <w:tcPr>
            <w:tcW w:w="715" w:type="dxa"/>
            <w:gridSpan w:val="2"/>
            <w:vMerge w:val="restart"/>
            <w:tcBorders>
              <w:bottom w:val="nil"/>
            </w:tcBorders>
            <w:vAlign w:val="top"/>
          </w:tcPr>
          <w:p w14:paraId="4681BB46">
            <w:pPr>
              <w:spacing w:line="387" w:lineRule="auto"/>
              <w:rPr>
                <w:rFonts w:ascii="Arial"/>
                <w:sz w:val="21"/>
              </w:rPr>
            </w:pPr>
          </w:p>
          <w:p w14:paraId="65CF5A02">
            <w:pPr>
              <w:pStyle w:val="6"/>
              <w:spacing w:before="71" w:line="242" w:lineRule="auto"/>
              <w:ind w:left="123" w:right="96" w:hanging="3"/>
              <w:rPr>
                <w:sz w:val="22"/>
                <w:szCs w:val="22"/>
              </w:rPr>
            </w:pPr>
            <w:r>
              <w:rPr>
                <w:spacing w:val="26"/>
                <w:sz w:val="22"/>
                <w:szCs w:val="22"/>
              </w:rPr>
              <w:t>排放</w:t>
            </w:r>
            <w:r>
              <w:rPr>
                <w:spacing w:val="-6"/>
                <w:sz w:val="22"/>
                <w:szCs w:val="22"/>
              </w:rPr>
              <w:t>去向</w:t>
            </w:r>
          </w:p>
        </w:tc>
        <w:tc>
          <w:tcPr>
            <w:tcW w:w="1202" w:type="dxa"/>
            <w:gridSpan w:val="4"/>
            <w:vMerge w:val="restart"/>
            <w:tcBorders>
              <w:bottom w:val="nil"/>
            </w:tcBorders>
            <w:vAlign w:val="top"/>
          </w:tcPr>
          <w:p w14:paraId="3866A142">
            <w:pPr>
              <w:spacing w:line="264" w:lineRule="auto"/>
              <w:rPr>
                <w:rFonts w:ascii="Arial"/>
                <w:sz w:val="21"/>
              </w:rPr>
            </w:pPr>
          </w:p>
          <w:p w14:paraId="388B8B59">
            <w:pPr>
              <w:spacing w:line="265" w:lineRule="auto"/>
              <w:rPr>
                <w:rFonts w:ascii="Arial"/>
                <w:sz w:val="21"/>
              </w:rPr>
            </w:pPr>
          </w:p>
          <w:p w14:paraId="0ECF1D5F">
            <w:pPr>
              <w:pStyle w:val="6"/>
              <w:spacing w:before="72" w:line="220" w:lineRule="auto"/>
              <w:ind w:left="121"/>
              <w:rPr>
                <w:sz w:val="22"/>
                <w:szCs w:val="22"/>
              </w:rPr>
            </w:pPr>
            <w:r>
              <w:rPr>
                <w:spacing w:val="-2"/>
                <w:sz w:val="22"/>
                <w:szCs w:val="22"/>
              </w:rPr>
              <w:t>排放规律</w:t>
            </w:r>
          </w:p>
        </w:tc>
        <w:tc>
          <w:tcPr>
            <w:tcW w:w="2488" w:type="dxa"/>
            <w:gridSpan w:val="8"/>
            <w:vAlign w:val="top"/>
          </w:tcPr>
          <w:p w14:paraId="2A55A629">
            <w:pPr>
              <w:pStyle w:val="6"/>
              <w:spacing w:before="186" w:line="220" w:lineRule="auto"/>
              <w:ind w:left="128"/>
              <w:rPr>
                <w:sz w:val="22"/>
                <w:szCs w:val="22"/>
              </w:rPr>
            </w:pPr>
            <w:r>
              <w:rPr>
                <w:spacing w:val="-2"/>
                <w:sz w:val="22"/>
                <w:szCs w:val="22"/>
              </w:rPr>
              <w:t>受纳污水处理厂信息</w:t>
            </w:r>
          </w:p>
        </w:tc>
        <w:tc>
          <w:tcPr>
            <w:tcW w:w="122" w:type="dxa"/>
            <w:tcBorders>
              <w:top w:val="nil"/>
              <w:bottom w:val="nil"/>
              <w:right w:val="single" w:color="000000" w:sz="6" w:space="0"/>
            </w:tcBorders>
            <w:vAlign w:val="top"/>
          </w:tcPr>
          <w:p w14:paraId="76A755A8">
            <w:pPr>
              <w:rPr>
                <w:rFonts w:ascii="Arial"/>
                <w:sz w:val="21"/>
              </w:rPr>
            </w:pPr>
          </w:p>
        </w:tc>
      </w:tr>
      <w:tr w14:paraId="5CB86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858" w:type="dxa"/>
            <w:vMerge w:val="continue"/>
            <w:tcBorders>
              <w:top w:val="nil"/>
              <w:left w:val="single" w:color="000000" w:sz="6" w:space="0"/>
              <w:bottom w:val="nil"/>
            </w:tcBorders>
            <w:vAlign w:val="top"/>
          </w:tcPr>
          <w:p w14:paraId="3E876B9A">
            <w:pPr>
              <w:rPr>
                <w:rFonts w:ascii="Arial"/>
                <w:sz w:val="21"/>
              </w:rPr>
            </w:pPr>
          </w:p>
        </w:tc>
        <w:tc>
          <w:tcPr>
            <w:tcW w:w="114" w:type="dxa"/>
            <w:tcBorders>
              <w:top w:val="nil"/>
              <w:bottom w:val="nil"/>
            </w:tcBorders>
            <w:vAlign w:val="top"/>
          </w:tcPr>
          <w:p w14:paraId="2AD1DEF5">
            <w:pPr>
              <w:rPr>
                <w:rFonts w:ascii="Arial"/>
                <w:sz w:val="21"/>
              </w:rPr>
            </w:pPr>
          </w:p>
        </w:tc>
        <w:tc>
          <w:tcPr>
            <w:tcW w:w="884" w:type="dxa"/>
            <w:gridSpan w:val="2"/>
            <w:vMerge w:val="continue"/>
            <w:tcBorders>
              <w:top w:val="nil"/>
            </w:tcBorders>
            <w:vAlign w:val="top"/>
          </w:tcPr>
          <w:p w14:paraId="5E4AE0DF">
            <w:pPr>
              <w:rPr>
                <w:rFonts w:ascii="Arial"/>
                <w:sz w:val="21"/>
              </w:rPr>
            </w:pPr>
          </w:p>
        </w:tc>
        <w:tc>
          <w:tcPr>
            <w:tcW w:w="857" w:type="dxa"/>
            <w:gridSpan w:val="2"/>
            <w:vAlign w:val="top"/>
          </w:tcPr>
          <w:p w14:paraId="5E4A5321">
            <w:pPr>
              <w:pStyle w:val="6"/>
              <w:spacing w:before="312" w:line="221" w:lineRule="auto"/>
              <w:ind w:left="115"/>
              <w:rPr>
                <w:rFonts w:ascii="Times New Roman" w:hAnsi="Times New Roman" w:eastAsia="Times New Roman" w:cs="Times New Roman"/>
                <w:sz w:val="22"/>
                <w:szCs w:val="22"/>
              </w:rPr>
            </w:pPr>
            <w:r>
              <w:rPr>
                <w:spacing w:val="-3"/>
                <w:sz w:val="22"/>
                <w:szCs w:val="22"/>
              </w:rPr>
              <w:t>经度</w:t>
            </w:r>
            <w:r>
              <w:rPr>
                <w:rFonts w:ascii="Times New Roman" w:hAnsi="Times New Roman" w:eastAsia="Times New Roman" w:cs="Times New Roman"/>
                <w:spacing w:val="-3"/>
                <w:sz w:val="22"/>
                <w:szCs w:val="22"/>
              </w:rPr>
              <w:t>/°</w:t>
            </w:r>
          </w:p>
        </w:tc>
        <w:tc>
          <w:tcPr>
            <w:tcW w:w="846" w:type="dxa"/>
            <w:gridSpan w:val="3"/>
            <w:vAlign w:val="top"/>
          </w:tcPr>
          <w:p w14:paraId="42AD919F">
            <w:pPr>
              <w:pStyle w:val="6"/>
              <w:spacing w:before="312" w:line="221" w:lineRule="auto"/>
              <w:ind w:left="119"/>
              <w:rPr>
                <w:rFonts w:ascii="Times New Roman" w:hAnsi="Times New Roman" w:eastAsia="Times New Roman" w:cs="Times New Roman"/>
                <w:sz w:val="22"/>
                <w:szCs w:val="22"/>
              </w:rPr>
            </w:pPr>
            <w:r>
              <w:rPr>
                <w:spacing w:val="-3"/>
                <w:sz w:val="22"/>
                <w:szCs w:val="22"/>
              </w:rPr>
              <w:t>纬度</w:t>
            </w:r>
            <w:r>
              <w:rPr>
                <w:rFonts w:ascii="Times New Roman" w:hAnsi="Times New Roman" w:eastAsia="Times New Roman" w:cs="Times New Roman"/>
                <w:spacing w:val="-3"/>
                <w:sz w:val="22"/>
                <w:szCs w:val="22"/>
              </w:rPr>
              <w:t>/°</w:t>
            </w:r>
          </w:p>
        </w:tc>
        <w:tc>
          <w:tcPr>
            <w:tcW w:w="899" w:type="dxa"/>
            <w:gridSpan w:val="3"/>
            <w:vMerge w:val="continue"/>
            <w:tcBorders>
              <w:top w:val="nil"/>
            </w:tcBorders>
            <w:vAlign w:val="top"/>
          </w:tcPr>
          <w:p w14:paraId="041ED35C">
            <w:pPr>
              <w:rPr>
                <w:rFonts w:ascii="Arial"/>
                <w:sz w:val="21"/>
              </w:rPr>
            </w:pPr>
          </w:p>
        </w:tc>
        <w:tc>
          <w:tcPr>
            <w:tcW w:w="715" w:type="dxa"/>
            <w:gridSpan w:val="2"/>
            <w:vMerge w:val="continue"/>
            <w:tcBorders>
              <w:top w:val="nil"/>
            </w:tcBorders>
            <w:vAlign w:val="top"/>
          </w:tcPr>
          <w:p w14:paraId="769006A4">
            <w:pPr>
              <w:rPr>
                <w:rFonts w:ascii="Arial"/>
                <w:sz w:val="21"/>
              </w:rPr>
            </w:pPr>
          </w:p>
        </w:tc>
        <w:tc>
          <w:tcPr>
            <w:tcW w:w="1202" w:type="dxa"/>
            <w:gridSpan w:val="4"/>
            <w:vMerge w:val="continue"/>
            <w:tcBorders>
              <w:top w:val="nil"/>
            </w:tcBorders>
            <w:vAlign w:val="top"/>
          </w:tcPr>
          <w:p w14:paraId="1669F6A4">
            <w:pPr>
              <w:rPr>
                <w:rFonts w:ascii="Arial"/>
                <w:sz w:val="21"/>
              </w:rPr>
            </w:pPr>
          </w:p>
        </w:tc>
        <w:tc>
          <w:tcPr>
            <w:tcW w:w="593" w:type="dxa"/>
            <w:gridSpan w:val="3"/>
            <w:textDirection w:val="tbRlV"/>
            <w:vAlign w:val="top"/>
          </w:tcPr>
          <w:p w14:paraId="21CF91AC">
            <w:pPr>
              <w:pStyle w:val="6"/>
              <w:spacing w:before="252" w:line="211" w:lineRule="auto"/>
              <w:ind w:left="170"/>
              <w:rPr>
                <w:sz w:val="22"/>
                <w:szCs w:val="22"/>
              </w:rPr>
            </w:pPr>
            <w:r>
              <w:rPr>
                <w:spacing w:val="33"/>
                <w:sz w:val="22"/>
                <w:szCs w:val="22"/>
              </w:rPr>
              <w:t>名称</w:t>
            </w:r>
          </w:p>
        </w:tc>
        <w:tc>
          <w:tcPr>
            <w:tcW w:w="927" w:type="dxa"/>
            <w:gridSpan w:val="3"/>
            <w:vAlign w:val="top"/>
          </w:tcPr>
          <w:p w14:paraId="695175FC">
            <w:pPr>
              <w:pStyle w:val="6"/>
              <w:spacing w:before="169" w:line="242" w:lineRule="auto"/>
              <w:ind w:left="126" w:right="91" w:firstLine="1"/>
              <w:rPr>
                <w:sz w:val="22"/>
                <w:szCs w:val="22"/>
              </w:rPr>
            </w:pPr>
            <w:r>
              <w:rPr>
                <w:spacing w:val="14"/>
                <w:sz w:val="22"/>
                <w:szCs w:val="22"/>
              </w:rPr>
              <w:t>污染物</w:t>
            </w:r>
            <w:r>
              <w:rPr>
                <w:spacing w:val="-4"/>
                <w:sz w:val="22"/>
                <w:szCs w:val="22"/>
              </w:rPr>
              <w:t>种类</w:t>
            </w:r>
          </w:p>
        </w:tc>
        <w:tc>
          <w:tcPr>
            <w:tcW w:w="968" w:type="dxa"/>
            <w:gridSpan w:val="2"/>
            <w:vAlign w:val="top"/>
          </w:tcPr>
          <w:p w14:paraId="5A80BCC3">
            <w:pPr>
              <w:pStyle w:val="6"/>
              <w:spacing w:before="42" w:line="222" w:lineRule="auto"/>
              <w:ind w:left="125"/>
              <w:rPr>
                <w:sz w:val="22"/>
                <w:szCs w:val="22"/>
              </w:rPr>
            </w:pPr>
            <w:r>
              <w:rPr>
                <w:spacing w:val="30"/>
                <w:sz w:val="22"/>
                <w:szCs w:val="22"/>
              </w:rPr>
              <w:t>排放浓</w:t>
            </w:r>
          </w:p>
          <w:p w14:paraId="597BEC22">
            <w:pPr>
              <w:pStyle w:val="6"/>
              <w:spacing w:before="22" w:line="217" w:lineRule="auto"/>
              <w:ind w:left="125" w:right="94" w:hanging="1"/>
              <w:rPr>
                <w:rFonts w:ascii="Times New Roman" w:hAnsi="Times New Roman" w:eastAsia="Times New Roman" w:cs="Times New Roman"/>
                <w:sz w:val="22"/>
                <w:szCs w:val="22"/>
              </w:rPr>
            </w:pPr>
            <w:r>
              <w:rPr>
                <w:spacing w:val="27"/>
                <w:sz w:val="22"/>
                <w:szCs w:val="22"/>
              </w:rPr>
              <w:t>度限值</w:t>
            </w:r>
            <w:r>
              <w:rPr>
                <w:rFonts w:ascii="Times New Roman" w:hAnsi="Times New Roman" w:eastAsia="Times New Roman" w:cs="Times New Roman"/>
                <w:spacing w:val="-2"/>
                <w:sz w:val="22"/>
                <w:szCs w:val="22"/>
              </w:rPr>
              <w:t>(mg/L)</w:t>
            </w:r>
          </w:p>
        </w:tc>
        <w:tc>
          <w:tcPr>
            <w:tcW w:w="122" w:type="dxa"/>
            <w:tcBorders>
              <w:top w:val="nil"/>
              <w:bottom w:val="nil"/>
              <w:right w:val="single" w:color="000000" w:sz="6" w:space="0"/>
            </w:tcBorders>
            <w:vAlign w:val="top"/>
          </w:tcPr>
          <w:p w14:paraId="1FFA144F">
            <w:pPr>
              <w:rPr>
                <w:rFonts w:ascii="Arial"/>
                <w:sz w:val="21"/>
              </w:rPr>
            </w:pPr>
          </w:p>
        </w:tc>
      </w:tr>
      <w:tr w14:paraId="1F660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58" w:type="dxa"/>
            <w:vMerge w:val="continue"/>
            <w:tcBorders>
              <w:top w:val="nil"/>
              <w:left w:val="single" w:color="000000" w:sz="6" w:space="0"/>
              <w:bottom w:val="nil"/>
            </w:tcBorders>
            <w:vAlign w:val="top"/>
          </w:tcPr>
          <w:p w14:paraId="091FC8BC">
            <w:pPr>
              <w:rPr>
                <w:rFonts w:ascii="Arial"/>
                <w:sz w:val="21"/>
              </w:rPr>
            </w:pPr>
          </w:p>
        </w:tc>
        <w:tc>
          <w:tcPr>
            <w:tcW w:w="114" w:type="dxa"/>
            <w:tcBorders>
              <w:top w:val="nil"/>
              <w:bottom w:val="nil"/>
            </w:tcBorders>
            <w:vAlign w:val="top"/>
          </w:tcPr>
          <w:p w14:paraId="296E5EC5">
            <w:pPr>
              <w:rPr>
                <w:rFonts w:ascii="Arial"/>
                <w:sz w:val="21"/>
              </w:rPr>
            </w:pPr>
          </w:p>
        </w:tc>
        <w:tc>
          <w:tcPr>
            <w:tcW w:w="884" w:type="dxa"/>
            <w:gridSpan w:val="2"/>
            <w:vMerge w:val="restart"/>
            <w:tcBorders>
              <w:bottom w:val="nil"/>
            </w:tcBorders>
            <w:vAlign w:val="top"/>
          </w:tcPr>
          <w:p w14:paraId="4FC0A44D">
            <w:pPr>
              <w:pStyle w:val="6"/>
              <w:spacing w:before="84" w:line="222" w:lineRule="auto"/>
              <w:ind w:left="114"/>
              <w:rPr>
                <w:sz w:val="22"/>
                <w:szCs w:val="22"/>
              </w:rPr>
            </w:pPr>
            <w:r>
              <w:rPr>
                <w:spacing w:val="-1"/>
                <w:sz w:val="22"/>
                <w:szCs w:val="22"/>
              </w:rPr>
              <w:t>生化池</w:t>
            </w:r>
          </w:p>
          <w:p w14:paraId="4FB5237D">
            <w:pPr>
              <w:pStyle w:val="6"/>
              <w:spacing w:before="21" w:line="222" w:lineRule="auto"/>
              <w:ind w:left="111"/>
              <w:rPr>
                <w:sz w:val="22"/>
                <w:szCs w:val="22"/>
              </w:rPr>
            </w:pPr>
            <w:r>
              <w:rPr>
                <w:sz w:val="22"/>
                <w:szCs w:val="22"/>
              </w:rPr>
              <w:t>及隔油</w:t>
            </w:r>
          </w:p>
          <w:p w14:paraId="202BF8DD">
            <w:pPr>
              <w:pStyle w:val="6"/>
              <w:spacing w:before="21" w:line="222" w:lineRule="auto"/>
              <w:ind w:left="112"/>
              <w:rPr>
                <w:sz w:val="22"/>
                <w:szCs w:val="22"/>
              </w:rPr>
            </w:pPr>
            <w:r>
              <w:rPr>
                <w:sz w:val="22"/>
                <w:szCs w:val="22"/>
              </w:rPr>
              <w:t>池排放</w:t>
            </w:r>
          </w:p>
        </w:tc>
        <w:tc>
          <w:tcPr>
            <w:tcW w:w="857" w:type="dxa"/>
            <w:gridSpan w:val="2"/>
            <w:vMerge w:val="restart"/>
            <w:tcBorders>
              <w:bottom w:val="nil"/>
            </w:tcBorders>
            <w:vAlign w:val="top"/>
          </w:tcPr>
          <w:p w14:paraId="3E8F51EA">
            <w:pPr>
              <w:spacing w:before="156" w:line="189" w:lineRule="auto"/>
              <w:ind w:left="13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106°25</w:t>
            </w:r>
          </w:p>
          <w:p w14:paraId="06CF15AA">
            <w:pPr>
              <w:spacing w:before="52" w:line="189" w:lineRule="auto"/>
              <w:ind w:left="12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′56.95</w:t>
            </w:r>
          </w:p>
          <w:p w14:paraId="58290447">
            <w:pPr>
              <w:spacing w:before="52" w:line="189" w:lineRule="auto"/>
              <w:ind w:left="11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310″E</w:t>
            </w:r>
          </w:p>
        </w:tc>
        <w:tc>
          <w:tcPr>
            <w:tcW w:w="846" w:type="dxa"/>
            <w:gridSpan w:val="3"/>
            <w:vMerge w:val="restart"/>
            <w:tcBorders>
              <w:bottom w:val="nil"/>
            </w:tcBorders>
            <w:vAlign w:val="top"/>
          </w:tcPr>
          <w:p w14:paraId="561B58B7">
            <w:pPr>
              <w:spacing w:before="156" w:line="189" w:lineRule="auto"/>
              <w:ind w:left="11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29°27′</w:t>
            </w:r>
          </w:p>
          <w:p w14:paraId="5DC0DF46">
            <w:pPr>
              <w:spacing w:before="52" w:line="248" w:lineRule="auto"/>
              <w:ind w:left="118" w:right="123" w:firstLine="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52.789</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pacing w:val="-3"/>
                <w:sz w:val="22"/>
                <w:szCs w:val="22"/>
              </w:rPr>
              <w:t>78″N</w:t>
            </w:r>
          </w:p>
        </w:tc>
        <w:tc>
          <w:tcPr>
            <w:tcW w:w="899" w:type="dxa"/>
            <w:gridSpan w:val="3"/>
            <w:vMerge w:val="restart"/>
            <w:tcBorders>
              <w:bottom w:val="nil"/>
            </w:tcBorders>
            <w:vAlign w:val="top"/>
          </w:tcPr>
          <w:p w14:paraId="121CD390">
            <w:pPr>
              <w:spacing w:before="281" w:line="189" w:lineRule="auto"/>
              <w:ind w:left="1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770.29</w:t>
            </w:r>
          </w:p>
          <w:p w14:paraId="27C96B0F">
            <w:pPr>
              <w:spacing w:before="52" w:line="189" w:lineRule="auto"/>
              <w:ind w:left="114"/>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715" w:type="dxa"/>
            <w:gridSpan w:val="2"/>
            <w:vMerge w:val="restart"/>
            <w:tcBorders>
              <w:bottom w:val="nil"/>
            </w:tcBorders>
            <w:vAlign w:val="top"/>
          </w:tcPr>
          <w:p w14:paraId="6DB7043E">
            <w:pPr>
              <w:pStyle w:val="6"/>
              <w:spacing w:before="84" w:line="221" w:lineRule="auto"/>
              <w:ind w:left="123"/>
              <w:rPr>
                <w:sz w:val="22"/>
                <w:szCs w:val="22"/>
              </w:rPr>
            </w:pPr>
            <w:r>
              <w:rPr>
                <w:spacing w:val="31"/>
                <w:sz w:val="22"/>
                <w:szCs w:val="22"/>
              </w:rPr>
              <w:t>大九</w:t>
            </w:r>
          </w:p>
          <w:p w14:paraId="663428E5">
            <w:pPr>
              <w:pStyle w:val="6"/>
              <w:spacing w:before="22" w:line="220" w:lineRule="auto"/>
              <w:ind w:left="122"/>
              <w:rPr>
                <w:sz w:val="22"/>
                <w:szCs w:val="22"/>
              </w:rPr>
            </w:pPr>
            <w:r>
              <w:rPr>
                <w:spacing w:val="30"/>
                <w:sz w:val="22"/>
                <w:szCs w:val="22"/>
              </w:rPr>
              <w:t>污水</w:t>
            </w:r>
          </w:p>
          <w:p w14:paraId="36A97AD5">
            <w:pPr>
              <w:pStyle w:val="6"/>
              <w:spacing w:before="23" w:line="224" w:lineRule="auto"/>
              <w:ind w:left="125"/>
              <w:rPr>
                <w:sz w:val="22"/>
                <w:szCs w:val="22"/>
              </w:rPr>
            </w:pPr>
            <w:r>
              <w:rPr>
                <w:spacing w:val="29"/>
                <w:sz w:val="22"/>
                <w:szCs w:val="22"/>
              </w:rPr>
              <w:t>处理</w:t>
            </w:r>
          </w:p>
        </w:tc>
        <w:tc>
          <w:tcPr>
            <w:tcW w:w="1202" w:type="dxa"/>
            <w:gridSpan w:val="4"/>
            <w:vMerge w:val="restart"/>
            <w:tcBorders>
              <w:bottom w:val="nil"/>
            </w:tcBorders>
            <w:vAlign w:val="top"/>
          </w:tcPr>
          <w:p w14:paraId="39F00A80">
            <w:pPr>
              <w:pStyle w:val="6"/>
              <w:spacing w:before="84"/>
              <w:ind w:left="121" w:right="95" w:firstLine="17"/>
              <w:rPr>
                <w:sz w:val="22"/>
                <w:szCs w:val="22"/>
              </w:rPr>
            </w:pPr>
            <w:r>
              <w:rPr>
                <w:spacing w:val="-17"/>
                <w:sz w:val="22"/>
                <w:szCs w:val="22"/>
              </w:rPr>
              <w:t>间</w:t>
            </w:r>
            <w:r>
              <w:rPr>
                <w:spacing w:val="71"/>
                <w:sz w:val="22"/>
                <w:szCs w:val="22"/>
              </w:rPr>
              <w:t xml:space="preserve"> </w:t>
            </w:r>
            <w:r>
              <w:rPr>
                <w:spacing w:val="-17"/>
                <w:sz w:val="22"/>
                <w:szCs w:val="22"/>
              </w:rPr>
              <w:t>断</w:t>
            </w:r>
            <w:r>
              <w:rPr>
                <w:spacing w:val="62"/>
                <w:sz w:val="22"/>
                <w:szCs w:val="22"/>
              </w:rPr>
              <w:t xml:space="preserve"> </w:t>
            </w:r>
            <w:r>
              <w:rPr>
                <w:spacing w:val="-17"/>
                <w:sz w:val="22"/>
                <w:szCs w:val="22"/>
              </w:rPr>
              <w:t>排</w:t>
            </w:r>
            <w:r>
              <w:rPr>
                <w:spacing w:val="9"/>
                <w:sz w:val="22"/>
                <w:szCs w:val="22"/>
              </w:rPr>
              <w:t>放</w:t>
            </w:r>
            <w:r>
              <w:rPr>
                <w:spacing w:val="-47"/>
                <w:sz w:val="22"/>
                <w:szCs w:val="22"/>
              </w:rPr>
              <w:t xml:space="preserve"> </w:t>
            </w:r>
            <w:r>
              <w:rPr>
                <w:spacing w:val="9"/>
                <w:sz w:val="22"/>
                <w:szCs w:val="22"/>
              </w:rPr>
              <w:t>，排放</w:t>
            </w:r>
          </w:p>
          <w:p w14:paraId="67DAED59">
            <w:pPr>
              <w:pStyle w:val="6"/>
              <w:spacing w:before="1" w:line="220" w:lineRule="auto"/>
              <w:ind w:left="123"/>
              <w:rPr>
                <w:sz w:val="22"/>
                <w:szCs w:val="22"/>
              </w:rPr>
            </w:pPr>
            <w:r>
              <w:rPr>
                <w:spacing w:val="26"/>
                <w:sz w:val="22"/>
                <w:szCs w:val="22"/>
              </w:rPr>
              <w:t>期间流量</w:t>
            </w:r>
          </w:p>
        </w:tc>
        <w:tc>
          <w:tcPr>
            <w:tcW w:w="593" w:type="dxa"/>
            <w:gridSpan w:val="3"/>
            <w:vMerge w:val="restart"/>
            <w:tcBorders>
              <w:bottom w:val="nil"/>
            </w:tcBorders>
            <w:textDirection w:val="tbRlV"/>
            <w:vAlign w:val="top"/>
          </w:tcPr>
          <w:p w14:paraId="1AD52F1B">
            <w:pPr>
              <w:pStyle w:val="6"/>
              <w:spacing w:before="251" w:line="208" w:lineRule="auto"/>
              <w:ind w:left="84"/>
              <w:rPr>
                <w:sz w:val="22"/>
                <w:szCs w:val="22"/>
              </w:rPr>
            </w:pPr>
            <w:r>
              <w:rPr>
                <w:spacing w:val="43"/>
                <w:sz w:val="22"/>
                <w:szCs w:val="22"/>
              </w:rPr>
              <w:t>大九污</w:t>
            </w:r>
          </w:p>
        </w:tc>
        <w:tc>
          <w:tcPr>
            <w:tcW w:w="927" w:type="dxa"/>
            <w:gridSpan w:val="3"/>
            <w:vAlign w:val="top"/>
          </w:tcPr>
          <w:p w14:paraId="413CCF44">
            <w:pPr>
              <w:spacing w:before="168" w:line="189" w:lineRule="auto"/>
              <w:ind w:left="12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COD</w:t>
            </w:r>
          </w:p>
        </w:tc>
        <w:tc>
          <w:tcPr>
            <w:tcW w:w="968" w:type="dxa"/>
            <w:gridSpan w:val="2"/>
            <w:vAlign w:val="top"/>
          </w:tcPr>
          <w:p w14:paraId="49B5686C">
            <w:pPr>
              <w:spacing w:before="168" w:line="189" w:lineRule="auto"/>
              <w:ind w:left="12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122" w:type="dxa"/>
            <w:tcBorders>
              <w:top w:val="nil"/>
              <w:bottom w:val="nil"/>
              <w:right w:val="single" w:color="000000" w:sz="6" w:space="0"/>
            </w:tcBorders>
            <w:vAlign w:val="top"/>
          </w:tcPr>
          <w:p w14:paraId="570A667C">
            <w:pPr>
              <w:rPr>
                <w:rFonts w:ascii="Arial"/>
                <w:sz w:val="21"/>
              </w:rPr>
            </w:pPr>
          </w:p>
        </w:tc>
      </w:tr>
      <w:tr w14:paraId="27DBC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858" w:type="dxa"/>
            <w:vMerge w:val="continue"/>
            <w:tcBorders>
              <w:top w:val="nil"/>
              <w:left w:val="single" w:color="000000" w:sz="6" w:space="0"/>
              <w:bottom w:val="single" w:color="000000" w:sz="6" w:space="0"/>
            </w:tcBorders>
            <w:vAlign w:val="top"/>
          </w:tcPr>
          <w:p w14:paraId="6C988086">
            <w:pPr>
              <w:rPr>
                <w:rFonts w:ascii="Arial"/>
                <w:sz w:val="21"/>
              </w:rPr>
            </w:pPr>
          </w:p>
        </w:tc>
        <w:tc>
          <w:tcPr>
            <w:tcW w:w="114" w:type="dxa"/>
            <w:tcBorders>
              <w:top w:val="nil"/>
              <w:bottom w:val="single" w:color="000000" w:sz="6" w:space="0"/>
            </w:tcBorders>
            <w:vAlign w:val="top"/>
          </w:tcPr>
          <w:p w14:paraId="35682BAA">
            <w:pPr>
              <w:rPr>
                <w:rFonts w:ascii="Arial"/>
                <w:sz w:val="21"/>
              </w:rPr>
            </w:pPr>
          </w:p>
        </w:tc>
        <w:tc>
          <w:tcPr>
            <w:tcW w:w="884" w:type="dxa"/>
            <w:gridSpan w:val="2"/>
            <w:vMerge w:val="continue"/>
            <w:tcBorders>
              <w:top w:val="nil"/>
              <w:bottom w:val="single" w:color="000000" w:sz="6" w:space="0"/>
            </w:tcBorders>
            <w:vAlign w:val="top"/>
          </w:tcPr>
          <w:p w14:paraId="7C8AE933">
            <w:pPr>
              <w:rPr>
                <w:rFonts w:ascii="Arial"/>
                <w:sz w:val="21"/>
              </w:rPr>
            </w:pPr>
          </w:p>
        </w:tc>
        <w:tc>
          <w:tcPr>
            <w:tcW w:w="857" w:type="dxa"/>
            <w:gridSpan w:val="2"/>
            <w:vMerge w:val="continue"/>
            <w:tcBorders>
              <w:top w:val="nil"/>
              <w:bottom w:val="single" w:color="000000" w:sz="6" w:space="0"/>
            </w:tcBorders>
            <w:vAlign w:val="top"/>
          </w:tcPr>
          <w:p w14:paraId="41C3A562">
            <w:pPr>
              <w:rPr>
                <w:rFonts w:ascii="Arial"/>
                <w:sz w:val="21"/>
              </w:rPr>
            </w:pPr>
          </w:p>
        </w:tc>
        <w:tc>
          <w:tcPr>
            <w:tcW w:w="846" w:type="dxa"/>
            <w:gridSpan w:val="3"/>
            <w:vMerge w:val="continue"/>
            <w:tcBorders>
              <w:top w:val="nil"/>
              <w:bottom w:val="single" w:color="000000" w:sz="6" w:space="0"/>
            </w:tcBorders>
            <w:vAlign w:val="top"/>
          </w:tcPr>
          <w:p w14:paraId="79C4CDA2">
            <w:pPr>
              <w:rPr>
                <w:rFonts w:ascii="Arial"/>
                <w:sz w:val="21"/>
              </w:rPr>
            </w:pPr>
          </w:p>
        </w:tc>
        <w:tc>
          <w:tcPr>
            <w:tcW w:w="899" w:type="dxa"/>
            <w:gridSpan w:val="3"/>
            <w:vMerge w:val="continue"/>
            <w:tcBorders>
              <w:top w:val="nil"/>
              <w:bottom w:val="single" w:color="000000" w:sz="6" w:space="0"/>
            </w:tcBorders>
            <w:vAlign w:val="top"/>
          </w:tcPr>
          <w:p w14:paraId="237F83B1">
            <w:pPr>
              <w:rPr>
                <w:rFonts w:ascii="Arial"/>
                <w:sz w:val="21"/>
              </w:rPr>
            </w:pPr>
          </w:p>
        </w:tc>
        <w:tc>
          <w:tcPr>
            <w:tcW w:w="715" w:type="dxa"/>
            <w:gridSpan w:val="2"/>
            <w:vMerge w:val="continue"/>
            <w:tcBorders>
              <w:top w:val="nil"/>
              <w:bottom w:val="single" w:color="000000" w:sz="6" w:space="0"/>
            </w:tcBorders>
            <w:vAlign w:val="top"/>
          </w:tcPr>
          <w:p w14:paraId="65567C8A">
            <w:pPr>
              <w:rPr>
                <w:rFonts w:ascii="Arial"/>
                <w:sz w:val="21"/>
              </w:rPr>
            </w:pPr>
          </w:p>
        </w:tc>
        <w:tc>
          <w:tcPr>
            <w:tcW w:w="1202" w:type="dxa"/>
            <w:gridSpan w:val="4"/>
            <w:vMerge w:val="continue"/>
            <w:tcBorders>
              <w:top w:val="nil"/>
              <w:bottom w:val="single" w:color="000000" w:sz="6" w:space="0"/>
            </w:tcBorders>
            <w:vAlign w:val="top"/>
          </w:tcPr>
          <w:p w14:paraId="1269C703">
            <w:pPr>
              <w:rPr>
                <w:rFonts w:ascii="Arial"/>
                <w:sz w:val="21"/>
              </w:rPr>
            </w:pPr>
          </w:p>
        </w:tc>
        <w:tc>
          <w:tcPr>
            <w:tcW w:w="593" w:type="dxa"/>
            <w:gridSpan w:val="3"/>
            <w:vMerge w:val="continue"/>
            <w:tcBorders>
              <w:top w:val="nil"/>
              <w:bottom w:val="single" w:color="000000" w:sz="6" w:space="0"/>
            </w:tcBorders>
            <w:textDirection w:val="tbRlV"/>
            <w:vAlign w:val="top"/>
          </w:tcPr>
          <w:p w14:paraId="4712B90D">
            <w:pPr>
              <w:rPr>
                <w:rFonts w:ascii="Arial"/>
                <w:sz w:val="21"/>
              </w:rPr>
            </w:pPr>
          </w:p>
        </w:tc>
        <w:tc>
          <w:tcPr>
            <w:tcW w:w="927" w:type="dxa"/>
            <w:gridSpan w:val="3"/>
            <w:tcBorders>
              <w:bottom w:val="single" w:color="000000" w:sz="6" w:space="0"/>
            </w:tcBorders>
            <w:vAlign w:val="top"/>
          </w:tcPr>
          <w:p w14:paraId="0BFBBF4A">
            <w:pPr>
              <w:spacing w:before="187" w:line="196" w:lineRule="auto"/>
              <w:ind w:left="121"/>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BOD</w:t>
            </w:r>
            <w:r>
              <w:rPr>
                <w:rFonts w:ascii="Times New Roman" w:hAnsi="Times New Roman" w:eastAsia="Times New Roman" w:cs="Times New Roman"/>
                <w:spacing w:val="-1"/>
                <w:position w:val="-1"/>
                <w:sz w:val="14"/>
                <w:szCs w:val="14"/>
              </w:rPr>
              <w:t>5</w:t>
            </w:r>
          </w:p>
        </w:tc>
        <w:tc>
          <w:tcPr>
            <w:tcW w:w="968" w:type="dxa"/>
            <w:gridSpan w:val="2"/>
            <w:tcBorders>
              <w:bottom w:val="single" w:color="000000" w:sz="6" w:space="0"/>
            </w:tcBorders>
            <w:vAlign w:val="top"/>
          </w:tcPr>
          <w:p w14:paraId="1747618F">
            <w:pPr>
              <w:spacing w:before="188" w:line="189" w:lineRule="auto"/>
              <w:ind w:left="142"/>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122" w:type="dxa"/>
            <w:tcBorders>
              <w:top w:val="nil"/>
              <w:bottom w:val="single" w:color="000000" w:sz="6" w:space="0"/>
              <w:right w:val="single" w:color="000000" w:sz="6" w:space="0"/>
            </w:tcBorders>
            <w:vAlign w:val="top"/>
          </w:tcPr>
          <w:p w14:paraId="1F37EC95">
            <w:pPr>
              <w:rPr>
                <w:rFonts w:ascii="Arial"/>
                <w:sz w:val="21"/>
              </w:rPr>
            </w:pPr>
          </w:p>
        </w:tc>
      </w:tr>
    </w:tbl>
    <w:p w14:paraId="6963A39E">
      <w:pPr>
        <w:pStyle w:val="2"/>
        <w:rPr>
          <w:sz w:val="21"/>
        </w:rPr>
      </w:pPr>
    </w:p>
    <w:p w14:paraId="7DF3343F">
      <w:pPr>
        <w:rPr>
          <w:sz w:val="21"/>
          <w:szCs w:val="21"/>
        </w:rPr>
        <w:sectPr>
          <w:footerReference r:id="rId82" w:type="default"/>
          <w:pgSz w:w="11907" w:h="16840"/>
          <w:pgMar w:top="400" w:right="1453" w:bottom="1008" w:left="1453" w:header="0" w:footer="770" w:gutter="0"/>
          <w:cols w:space="720" w:num="1"/>
        </w:sectPr>
      </w:pPr>
    </w:p>
    <w:p w14:paraId="2B9536A6">
      <w:pPr>
        <w:spacing w:before="19"/>
      </w:pPr>
      <w:r>
        <w:pict>
          <v:shape id="_x0000_s1036" o:spid="_x0000_s1036" style="position:absolute;left:0pt;margin-left:121.1pt;margin-top:179.8pt;height:118.55pt;width:0.5pt;mso-position-horizontal-relative:page;mso-position-vertical-relative:page;z-index:251673600;mso-width-relative:page;mso-height-relative:page;" filled="f" stroked="t" coordsize="10,2371" o:allowincell="f" path="m4,0l4,2370e">
            <v:fill on="f" focussize="0,0"/>
            <v:stroke weight="0.48pt" color="#000000" miterlimit="2" joinstyle="bevel"/>
            <v:imagedata o:title=""/>
            <o:lock v:ext="edit"/>
          </v:shape>
        </w:pict>
      </w:r>
    </w:p>
    <w:p w14:paraId="5F4BD7F8">
      <w:pPr>
        <w:spacing w:before="19"/>
      </w:pPr>
    </w:p>
    <w:p w14:paraId="1D889EDB">
      <w:pPr>
        <w:spacing w:before="19"/>
      </w:pPr>
    </w:p>
    <w:p w14:paraId="65C7FF12">
      <w:pPr>
        <w:spacing w:before="18"/>
      </w:pPr>
    </w:p>
    <w:p w14:paraId="6FF23DDC">
      <w:pPr>
        <w:spacing w:before="18"/>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0"/>
        <w:gridCol w:w="895"/>
        <w:gridCol w:w="871"/>
        <w:gridCol w:w="857"/>
        <w:gridCol w:w="912"/>
        <w:gridCol w:w="724"/>
        <w:gridCol w:w="1218"/>
        <w:gridCol w:w="601"/>
        <w:gridCol w:w="939"/>
        <w:gridCol w:w="977"/>
        <w:gridCol w:w="121"/>
      </w:tblGrid>
      <w:tr w14:paraId="49C81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870" w:type="dxa"/>
            <w:vMerge w:val="restart"/>
            <w:tcBorders>
              <w:top w:val="single" w:color="000000" w:sz="6" w:space="0"/>
              <w:left w:val="single" w:color="000000" w:sz="6" w:space="0"/>
              <w:bottom w:val="nil"/>
            </w:tcBorders>
            <w:vAlign w:val="top"/>
          </w:tcPr>
          <w:p w14:paraId="6C605AAA">
            <w:pPr>
              <w:rPr>
                <w:rFonts w:ascii="Arial"/>
                <w:sz w:val="21"/>
              </w:rPr>
            </w:pPr>
          </w:p>
        </w:tc>
        <w:tc>
          <w:tcPr>
            <w:tcW w:w="895" w:type="dxa"/>
            <w:vMerge w:val="restart"/>
            <w:tcBorders>
              <w:bottom w:val="nil"/>
            </w:tcBorders>
            <w:vAlign w:val="top"/>
          </w:tcPr>
          <w:p w14:paraId="7ACFBF83">
            <w:pPr>
              <w:pStyle w:val="6"/>
              <w:spacing w:before="46" w:line="237" w:lineRule="auto"/>
              <w:ind w:left="247"/>
              <w:rPr>
                <w:sz w:val="22"/>
                <w:szCs w:val="22"/>
              </w:rPr>
            </w:pPr>
            <w:r>
              <w:rPr>
                <w:sz w:val="22"/>
                <w:szCs w:val="22"/>
              </w:rPr>
              <w:t>口</w:t>
            </w:r>
          </w:p>
          <w:p w14:paraId="01FE1CA9">
            <w:pPr>
              <w:pStyle w:val="6"/>
              <w:spacing w:before="1" w:line="248" w:lineRule="auto"/>
              <w:ind w:left="213" w:right="15" w:firstLine="7"/>
              <w:rPr>
                <w:sz w:val="22"/>
                <w:szCs w:val="22"/>
              </w:rPr>
            </w:pPr>
            <w:r>
              <w:rPr>
                <w:spacing w:val="-6"/>
                <w:sz w:val="22"/>
                <w:szCs w:val="22"/>
              </w:rPr>
              <w:t>（</w:t>
            </w:r>
            <w:r>
              <w:rPr>
                <w:spacing w:val="-25"/>
                <w:sz w:val="22"/>
                <w:szCs w:val="22"/>
              </w:rPr>
              <w:t xml:space="preserve"> </w:t>
            </w:r>
            <w:r>
              <w:rPr>
                <w:rFonts w:ascii="Times New Roman" w:hAnsi="Times New Roman" w:eastAsia="Times New Roman" w:cs="Times New Roman"/>
                <w:spacing w:val="-6"/>
                <w:sz w:val="22"/>
                <w:szCs w:val="22"/>
              </w:rPr>
              <w:t>DW</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2"/>
                <w:sz w:val="22"/>
                <w:szCs w:val="22"/>
              </w:rPr>
              <w:t>001</w:t>
            </w:r>
            <w:r>
              <w:rPr>
                <w:rFonts w:ascii="Times New Roman" w:hAnsi="Times New Roman" w:eastAsia="Times New Roman" w:cs="Times New Roman"/>
                <w:spacing w:val="3"/>
                <w:sz w:val="22"/>
                <w:szCs w:val="22"/>
              </w:rPr>
              <w:t xml:space="preserve">  </w:t>
            </w:r>
            <w:r>
              <w:rPr>
                <w:spacing w:val="-2"/>
                <w:sz w:val="22"/>
                <w:szCs w:val="22"/>
              </w:rPr>
              <w:t>、</w:t>
            </w:r>
          </w:p>
          <w:p w14:paraId="1CCFD328">
            <w:pPr>
              <w:pStyle w:val="6"/>
              <w:spacing w:before="1" w:line="213" w:lineRule="auto"/>
              <w:ind w:left="209" w:right="96"/>
              <w:rPr>
                <w:sz w:val="22"/>
                <w:szCs w:val="22"/>
              </w:rPr>
            </w:pPr>
            <w:r>
              <w:rPr>
                <w:rFonts w:ascii="Times New Roman" w:hAnsi="Times New Roman" w:eastAsia="Times New Roman" w:cs="Times New Roman"/>
                <w:spacing w:val="-1"/>
                <w:sz w:val="22"/>
                <w:szCs w:val="22"/>
              </w:rPr>
              <w:t>DW00</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3"/>
                <w:sz w:val="22"/>
                <w:szCs w:val="22"/>
              </w:rPr>
              <w:t>2</w:t>
            </w:r>
            <w:r>
              <w:rPr>
                <w:spacing w:val="-3"/>
                <w:sz w:val="22"/>
                <w:szCs w:val="22"/>
              </w:rPr>
              <w:t>）</w:t>
            </w:r>
          </w:p>
        </w:tc>
        <w:tc>
          <w:tcPr>
            <w:tcW w:w="871" w:type="dxa"/>
            <w:vMerge w:val="restart"/>
            <w:tcBorders>
              <w:bottom w:val="nil"/>
            </w:tcBorders>
            <w:vAlign w:val="top"/>
          </w:tcPr>
          <w:p w14:paraId="6AE0016A">
            <w:pPr>
              <w:rPr>
                <w:rFonts w:ascii="Arial"/>
                <w:sz w:val="21"/>
              </w:rPr>
            </w:pPr>
          </w:p>
        </w:tc>
        <w:tc>
          <w:tcPr>
            <w:tcW w:w="857" w:type="dxa"/>
            <w:vMerge w:val="restart"/>
            <w:tcBorders>
              <w:bottom w:val="nil"/>
            </w:tcBorders>
            <w:vAlign w:val="top"/>
          </w:tcPr>
          <w:p w14:paraId="088A8471">
            <w:pPr>
              <w:rPr>
                <w:rFonts w:ascii="Arial"/>
                <w:sz w:val="21"/>
              </w:rPr>
            </w:pPr>
          </w:p>
        </w:tc>
        <w:tc>
          <w:tcPr>
            <w:tcW w:w="912" w:type="dxa"/>
            <w:vMerge w:val="restart"/>
            <w:tcBorders>
              <w:bottom w:val="nil"/>
            </w:tcBorders>
            <w:vAlign w:val="top"/>
          </w:tcPr>
          <w:p w14:paraId="7C9FE4AD">
            <w:pPr>
              <w:rPr>
                <w:rFonts w:ascii="Arial"/>
                <w:sz w:val="21"/>
              </w:rPr>
            </w:pPr>
          </w:p>
        </w:tc>
        <w:tc>
          <w:tcPr>
            <w:tcW w:w="724" w:type="dxa"/>
            <w:vMerge w:val="restart"/>
            <w:tcBorders>
              <w:bottom w:val="nil"/>
            </w:tcBorders>
            <w:vAlign w:val="top"/>
          </w:tcPr>
          <w:p w14:paraId="587F5594">
            <w:pPr>
              <w:pStyle w:val="6"/>
              <w:spacing w:before="46" w:line="221" w:lineRule="auto"/>
              <w:ind w:left="176"/>
              <w:rPr>
                <w:sz w:val="22"/>
                <w:szCs w:val="22"/>
              </w:rPr>
            </w:pPr>
            <w:r>
              <w:rPr>
                <w:sz w:val="22"/>
                <w:szCs w:val="22"/>
              </w:rPr>
              <w:t>厂</w:t>
            </w:r>
          </w:p>
        </w:tc>
        <w:tc>
          <w:tcPr>
            <w:tcW w:w="1218" w:type="dxa"/>
            <w:vMerge w:val="restart"/>
            <w:tcBorders>
              <w:bottom w:val="nil"/>
            </w:tcBorders>
            <w:vAlign w:val="top"/>
          </w:tcPr>
          <w:p w14:paraId="6FFB5712">
            <w:pPr>
              <w:pStyle w:val="6"/>
              <w:spacing w:before="46" w:line="241" w:lineRule="auto"/>
              <w:ind w:left="165" w:right="67" w:firstLine="2"/>
              <w:jc w:val="both"/>
              <w:rPr>
                <w:sz w:val="22"/>
                <w:szCs w:val="22"/>
              </w:rPr>
            </w:pPr>
            <w:r>
              <w:rPr>
                <w:spacing w:val="8"/>
                <w:sz w:val="22"/>
                <w:szCs w:val="22"/>
              </w:rPr>
              <w:t>不稳定</w:t>
            </w:r>
            <w:r>
              <w:rPr>
                <w:spacing w:val="-47"/>
                <w:sz w:val="22"/>
                <w:szCs w:val="22"/>
              </w:rPr>
              <w:t xml:space="preserve"> </w:t>
            </w:r>
            <w:r>
              <w:rPr>
                <w:spacing w:val="8"/>
                <w:sz w:val="22"/>
                <w:szCs w:val="22"/>
              </w:rPr>
              <w:t>，</w:t>
            </w:r>
            <w:r>
              <w:rPr>
                <w:spacing w:val="24"/>
                <w:sz w:val="22"/>
                <w:szCs w:val="22"/>
              </w:rPr>
              <w:t>无周期性</w:t>
            </w:r>
            <w:r>
              <w:rPr>
                <w:spacing w:val="-4"/>
                <w:sz w:val="22"/>
                <w:szCs w:val="22"/>
              </w:rPr>
              <w:t>规律</w:t>
            </w:r>
          </w:p>
        </w:tc>
        <w:tc>
          <w:tcPr>
            <w:tcW w:w="601" w:type="dxa"/>
            <w:vMerge w:val="restart"/>
            <w:tcBorders>
              <w:bottom w:val="nil"/>
            </w:tcBorders>
            <w:textDirection w:val="tbRlV"/>
            <w:vAlign w:val="top"/>
          </w:tcPr>
          <w:p w14:paraId="67A5005F">
            <w:pPr>
              <w:pStyle w:val="6"/>
              <w:spacing w:before="232" w:line="206" w:lineRule="auto"/>
              <w:ind w:left="46"/>
              <w:rPr>
                <w:sz w:val="22"/>
                <w:szCs w:val="22"/>
              </w:rPr>
            </w:pPr>
            <w:r>
              <w:rPr>
                <w:spacing w:val="49"/>
                <w:sz w:val="22"/>
                <w:szCs w:val="22"/>
              </w:rPr>
              <w:t>水处理厂</w:t>
            </w:r>
          </w:p>
        </w:tc>
        <w:tc>
          <w:tcPr>
            <w:tcW w:w="939" w:type="dxa"/>
            <w:vAlign w:val="top"/>
          </w:tcPr>
          <w:p w14:paraId="35CFE748">
            <w:pPr>
              <w:spacing w:before="125" w:line="189" w:lineRule="auto"/>
              <w:ind w:left="15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SS</w:t>
            </w:r>
          </w:p>
        </w:tc>
        <w:tc>
          <w:tcPr>
            <w:tcW w:w="977" w:type="dxa"/>
            <w:vAlign w:val="top"/>
          </w:tcPr>
          <w:p w14:paraId="5E6E0550">
            <w:pPr>
              <w:spacing w:before="125" w:line="189" w:lineRule="auto"/>
              <w:ind w:left="150"/>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121" w:type="dxa"/>
            <w:tcBorders>
              <w:top w:val="single" w:color="000000" w:sz="6" w:space="0"/>
              <w:bottom w:val="nil"/>
              <w:right w:val="single" w:color="000000" w:sz="6" w:space="0"/>
            </w:tcBorders>
            <w:vAlign w:val="top"/>
          </w:tcPr>
          <w:p w14:paraId="48BCE570">
            <w:pPr>
              <w:rPr>
                <w:rFonts w:ascii="Arial"/>
                <w:sz w:val="21"/>
              </w:rPr>
            </w:pPr>
          </w:p>
        </w:tc>
      </w:tr>
      <w:tr w14:paraId="2FACE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870" w:type="dxa"/>
            <w:vMerge w:val="continue"/>
            <w:tcBorders>
              <w:top w:val="nil"/>
              <w:left w:val="single" w:color="000000" w:sz="6" w:space="0"/>
              <w:bottom w:val="nil"/>
            </w:tcBorders>
            <w:vAlign w:val="top"/>
          </w:tcPr>
          <w:p w14:paraId="62039F56">
            <w:pPr>
              <w:rPr>
                <w:rFonts w:ascii="Arial"/>
                <w:sz w:val="21"/>
              </w:rPr>
            </w:pPr>
          </w:p>
        </w:tc>
        <w:tc>
          <w:tcPr>
            <w:tcW w:w="895" w:type="dxa"/>
            <w:vMerge w:val="continue"/>
            <w:tcBorders>
              <w:top w:val="nil"/>
              <w:bottom w:val="nil"/>
            </w:tcBorders>
            <w:vAlign w:val="top"/>
          </w:tcPr>
          <w:p w14:paraId="28EC5DF7">
            <w:pPr>
              <w:rPr>
                <w:rFonts w:ascii="Arial"/>
                <w:sz w:val="21"/>
              </w:rPr>
            </w:pPr>
          </w:p>
        </w:tc>
        <w:tc>
          <w:tcPr>
            <w:tcW w:w="871" w:type="dxa"/>
            <w:vMerge w:val="continue"/>
            <w:tcBorders>
              <w:top w:val="nil"/>
              <w:bottom w:val="nil"/>
            </w:tcBorders>
            <w:vAlign w:val="top"/>
          </w:tcPr>
          <w:p w14:paraId="4A6C5240">
            <w:pPr>
              <w:rPr>
                <w:rFonts w:ascii="Arial"/>
                <w:sz w:val="21"/>
              </w:rPr>
            </w:pPr>
          </w:p>
        </w:tc>
        <w:tc>
          <w:tcPr>
            <w:tcW w:w="857" w:type="dxa"/>
            <w:vMerge w:val="continue"/>
            <w:tcBorders>
              <w:top w:val="nil"/>
              <w:bottom w:val="nil"/>
            </w:tcBorders>
            <w:vAlign w:val="top"/>
          </w:tcPr>
          <w:p w14:paraId="61184668">
            <w:pPr>
              <w:rPr>
                <w:rFonts w:ascii="Arial"/>
                <w:sz w:val="21"/>
              </w:rPr>
            </w:pPr>
          </w:p>
        </w:tc>
        <w:tc>
          <w:tcPr>
            <w:tcW w:w="912" w:type="dxa"/>
            <w:vMerge w:val="continue"/>
            <w:tcBorders>
              <w:top w:val="nil"/>
              <w:bottom w:val="nil"/>
            </w:tcBorders>
            <w:vAlign w:val="top"/>
          </w:tcPr>
          <w:p w14:paraId="208522D3">
            <w:pPr>
              <w:rPr>
                <w:rFonts w:ascii="Arial"/>
                <w:sz w:val="21"/>
              </w:rPr>
            </w:pPr>
          </w:p>
        </w:tc>
        <w:tc>
          <w:tcPr>
            <w:tcW w:w="724" w:type="dxa"/>
            <w:vMerge w:val="continue"/>
            <w:tcBorders>
              <w:top w:val="nil"/>
              <w:bottom w:val="nil"/>
            </w:tcBorders>
            <w:vAlign w:val="top"/>
          </w:tcPr>
          <w:p w14:paraId="61EB11CF">
            <w:pPr>
              <w:rPr>
                <w:rFonts w:ascii="Arial"/>
                <w:sz w:val="21"/>
              </w:rPr>
            </w:pPr>
          </w:p>
        </w:tc>
        <w:tc>
          <w:tcPr>
            <w:tcW w:w="1218" w:type="dxa"/>
            <w:vMerge w:val="continue"/>
            <w:tcBorders>
              <w:top w:val="nil"/>
              <w:bottom w:val="nil"/>
            </w:tcBorders>
            <w:vAlign w:val="top"/>
          </w:tcPr>
          <w:p w14:paraId="6FA6268F">
            <w:pPr>
              <w:rPr>
                <w:rFonts w:ascii="Arial"/>
                <w:sz w:val="21"/>
              </w:rPr>
            </w:pPr>
          </w:p>
        </w:tc>
        <w:tc>
          <w:tcPr>
            <w:tcW w:w="601" w:type="dxa"/>
            <w:vMerge w:val="continue"/>
            <w:tcBorders>
              <w:top w:val="nil"/>
              <w:bottom w:val="nil"/>
            </w:tcBorders>
            <w:textDirection w:val="tbRlV"/>
            <w:vAlign w:val="top"/>
          </w:tcPr>
          <w:p w14:paraId="40B0150A">
            <w:pPr>
              <w:rPr>
                <w:rFonts w:ascii="Arial"/>
                <w:sz w:val="21"/>
              </w:rPr>
            </w:pPr>
          </w:p>
        </w:tc>
        <w:tc>
          <w:tcPr>
            <w:tcW w:w="939" w:type="dxa"/>
            <w:vAlign w:val="top"/>
          </w:tcPr>
          <w:p w14:paraId="13A0C584">
            <w:pPr>
              <w:spacing w:before="73" w:line="192" w:lineRule="auto"/>
              <w:ind w:left="134"/>
              <w:rPr>
                <w:rFonts w:ascii="Times New Roman" w:hAnsi="Times New Roman" w:eastAsia="Times New Roman" w:cs="Times New Roman"/>
                <w:sz w:val="22"/>
                <w:szCs w:val="22"/>
              </w:rPr>
            </w:pPr>
            <w:r>
              <w:rPr>
                <w:rFonts w:ascii="Times New Roman" w:hAnsi="Times New Roman" w:eastAsia="Times New Roman" w:cs="Times New Roman"/>
                <w:sz w:val="22"/>
                <w:szCs w:val="22"/>
              </w:rPr>
              <w:t>NH</w:t>
            </w:r>
            <w:r>
              <w:rPr>
                <w:rFonts w:ascii="Times New Roman" w:hAnsi="Times New Roman" w:eastAsia="Times New Roman" w:cs="Times New Roman"/>
                <w:position w:val="-1"/>
                <w:sz w:val="14"/>
                <w:szCs w:val="14"/>
              </w:rPr>
              <w:t>3</w:t>
            </w:r>
            <w:r>
              <w:rPr>
                <w:rFonts w:ascii="Times New Roman" w:hAnsi="Times New Roman" w:eastAsia="Times New Roman" w:cs="Times New Roman"/>
                <w:sz w:val="22"/>
                <w:szCs w:val="22"/>
              </w:rPr>
              <w:t>-N</w:t>
            </w:r>
          </w:p>
        </w:tc>
        <w:tc>
          <w:tcPr>
            <w:tcW w:w="977" w:type="dxa"/>
            <w:vAlign w:val="top"/>
          </w:tcPr>
          <w:p w14:paraId="5E24098D">
            <w:pPr>
              <w:pStyle w:val="6"/>
              <w:spacing w:before="34" w:line="206" w:lineRule="auto"/>
              <w:ind w:left="135"/>
              <w:rPr>
                <w:sz w:val="22"/>
                <w:szCs w:val="22"/>
              </w:rPr>
            </w:pPr>
            <w:r>
              <w:rPr>
                <w:rFonts w:ascii="Times New Roman" w:hAnsi="Times New Roman" w:eastAsia="Times New Roman" w:cs="Times New Roman"/>
                <w:spacing w:val="-3"/>
                <w:sz w:val="22"/>
                <w:szCs w:val="22"/>
              </w:rPr>
              <w:t>5</w:t>
            </w:r>
            <w:r>
              <w:rPr>
                <w:spacing w:val="-3"/>
                <w:sz w:val="22"/>
                <w:szCs w:val="22"/>
              </w:rPr>
              <w:t>（</w:t>
            </w:r>
            <w:r>
              <w:rPr>
                <w:rFonts w:ascii="Times New Roman" w:hAnsi="Times New Roman" w:eastAsia="Times New Roman" w:cs="Times New Roman"/>
                <w:spacing w:val="-3"/>
                <w:sz w:val="22"/>
                <w:szCs w:val="22"/>
              </w:rPr>
              <w:t>8</w:t>
            </w:r>
            <w:r>
              <w:rPr>
                <w:spacing w:val="-3"/>
                <w:sz w:val="22"/>
                <w:szCs w:val="22"/>
              </w:rPr>
              <w:t>）</w:t>
            </w:r>
          </w:p>
        </w:tc>
        <w:tc>
          <w:tcPr>
            <w:tcW w:w="121" w:type="dxa"/>
            <w:tcBorders>
              <w:top w:val="nil"/>
              <w:bottom w:val="nil"/>
              <w:right w:val="single" w:color="000000" w:sz="6" w:space="0"/>
            </w:tcBorders>
            <w:vAlign w:val="top"/>
          </w:tcPr>
          <w:p w14:paraId="4DD44FE6">
            <w:pPr>
              <w:rPr>
                <w:rFonts w:ascii="Arial"/>
                <w:sz w:val="21"/>
              </w:rPr>
            </w:pPr>
          </w:p>
        </w:tc>
      </w:tr>
      <w:tr w14:paraId="761C9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870" w:type="dxa"/>
            <w:vMerge w:val="continue"/>
            <w:tcBorders>
              <w:top w:val="nil"/>
              <w:left w:val="single" w:color="000000" w:sz="6" w:space="0"/>
              <w:bottom w:val="nil"/>
            </w:tcBorders>
            <w:vAlign w:val="top"/>
          </w:tcPr>
          <w:p w14:paraId="3B35A4FE">
            <w:pPr>
              <w:rPr>
                <w:rFonts w:ascii="Arial"/>
                <w:sz w:val="21"/>
              </w:rPr>
            </w:pPr>
          </w:p>
        </w:tc>
        <w:tc>
          <w:tcPr>
            <w:tcW w:w="895" w:type="dxa"/>
            <w:vMerge w:val="continue"/>
            <w:tcBorders>
              <w:top w:val="nil"/>
            </w:tcBorders>
            <w:vAlign w:val="top"/>
          </w:tcPr>
          <w:p w14:paraId="34116A97">
            <w:pPr>
              <w:rPr>
                <w:rFonts w:ascii="Arial"/>
                <w:sz w:val="21"/>
              </w:rPr>
            </w:pPr>
          </w:p>
        </w:tc>
        <w:tc>
          <w:tcPr>
            <w:tcW w:w="871" w:type="dxa"/>
            <w:vMerge w:val="continue"/>
            <w:tcBorders>
              <w:top w:val="nil"/>
            </w:tcBorders>
            <w:vAlign w:val="top"/>
          </w:tcPr>
          <w:p w14:paraId="3EE00938">
            <w:pPr>
              <w:rPr>
                <w:rFonts w:ascii="Arial"/>
                <w:sz w:val="21"/>
              </w:rPr>
            </w:pPr>
          </w:p>
        </w:tc>
        <w:tc>
          <w:tcPr>
            <w:tcW w:w="857" w:type="dxa"/>
            <w:vMerge w:val="continue"/>
            <w:tcBorders>
              <w:top w:val="nil"/>
            </w:tcBorders>
            <w:vAlign w:val="top"/>
          </w:tcPr>
          <w:p w14:paraId="0E329C28">
            <w:pPr>
              <w:rPr>
                <w:rFonts w:ascii="Arial"/>
                <w:sz w:val="21"/>
              </w:rPr>
            </w:pPr>
          </w:p>
        </w:tc>
        <w:tc>
          <w:tcPr>
            <w:tcW w:w="912" w:type="dxa"/>
            <w:vMerge w:val="continue"/>
            <w:tcBorders>
              <w:top w:val="nil"/>
            </w:tcBorders>
            <w:vAlign w:val="top"/>
          </w:tcPr>
          <w:p w14:paraId="1227331B">
            <w:pPr>
              <w:rPr>
                <w:rFonts w:ascii="Arial"/>
                <w:sz w:val="21"/>
              </w:rPr>
            </w:pPr>
          </w:p>
        </w:tc>
        <w:tc>
          <w:tcPr>
            <w:tcW w:w="724" w:type="dxa"/>
            <w:vMerge w:val="continue"/>
            <w:tcBorders>
              <w:top w:val="nil"/>
            </w:tcBorders>
            <w:vAlign w:val="top"/>
          </w:tcPr>
          <w:p w14:paraId="132C51E5">
            <w:pPr>
              <w:rPr>
                <w:rFonts w:ascii="Arial"/>
                <w:sz w:val="21"/>
              </w:rPr>
            </w:pPr>
          </w:p>
        </w:tc>
        <w:tc>
          <w:tcPr>
            <w:tcW w:w="1218" w:type="dxa"/>
            <w:vMerge w:val="continue"/>
            <w:tcBorders>
              <w:top w:val="nil"/>
            </w:tcBorders>
            <w:vAlign w:val="top"/>
          </w:tcPr>
          <w:p w14:paraId="4CCD3BA8">
            <w:pPr>
              <w:rPr>
                <w:rFonts w:ascii="Arial"/>
                <w:sz w:val="21"/>
              </w:rPr>
            </w:pPr>
          </w:p>
        </w:tc>
        <w:tc>
          <w:tcPr>
            <w:tcW w:w="601" w:type="dxa"/>
            <w:vMerge w:val="continue"/>
            <w:tcBorders>
              <w:top w:val="nil"/>
            </w:tcBorders>
            <w:textDirection w:val="tbRlV"/>
            <w:vAlign w:val="top"/>
          </w:tcPr>
          <w:p w14:paraId="7B40D237">
            <w:pPr>
              <w:rPr>
                <w:rFonts w:ascii="Arial"/>
                <w:sz w:val="21"/>
              </w:rPr>
            </w:pPr>
          </w:p>
        </w:tc>
        <w:tc>
          <w:tcPr>
            <w:tcW w:w="939" w:type="dxa"/>
            <w:vAlign w:val="top"/>
          </w:tcPr>
          <w:p w14:paraId="19F8F68C">
            <w:pPr>
              <w:pStyle w:val="6"/>
              <w:spacing w:before="250" w:line="220" w:lineRule="auto"/>
              <w:ind w:left="146"/>
              <w:rPr>
                <w:sz w:val="22"/>
                <w:szCs w:val="22"/>
              </w:rPr>
            </w:pPr>
            <w:r>
              <w:rPr>
                <w:spacing w:val="-3"/>
                <w:sz w:val="22"/>
                <w:szCs w:val="22"/>
              </w:rPr>
              <w:t>石油类</w:t>
            </w:r>
          </w:p>
        </w:tc>
        <w:tc>
          <w:tcPr>
            <w:tcW w:w="977" w:type="dxa"/>
            <w:vAlign w:val="top"/>
          </w:tcPr>
          <w:p w14:paraId="77E15E27">
            <w:pPr>
              <w:spacing w:before="288" w:line="189" w:lineRule="auto"/>
              <w:ind w:left="150"/>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21" w:type="dxa"/>
            <w:tcBorders>
              <w:top w:val="nil"/>
              <w:bottom w:val="nil"/>
              <w:right w:val="single" w:color="000000" w:sz="6" w:space="0"/>
            </w:tcBorders>
            <w:vAlign w:val="top"/>
          </w:tcPr>
          <w:p w14:paraId="1E736820">
            <w:pPr>
              <w:rPr>
                <w:rFonts w:ascii="Arial"/>
                <w:sz w:val="21"/>
              </w:rPr>
            </w:pPr>
          </w:p>
        </w:tc>
      </w:tr>
      <w:tr w14:paraId="2BC89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2" w:hRule="atLeast"/>
        </w:trPr>
        <w:tc>
          <w:tcPr>
            <w:tcW w:w="870" w:type="dxa"/>
            <w:vMerge w:val="continue"/>
            <w:tcBorders>
              <w:top w:val="nil"/>
              <w:left w:val="single" w:color="000000" w:sz="6" w:space="0"/>
              <w:bottom w:val="single" w:color="000000" w:sz="6" w:space="0"/>
            </w:tcBorders>
            <w:vAlign w:val="top"/>
          </w:tcPr>
          <w:p w14:paraId="2197E5F9">
            <w:pPr>
              <w:rPr>
                <w:rFonts w:ascii="Arial"/>
                <w:sz w:val="21"/>
              </w:rPr>
            </w:pPr>
          </w:p>
        </w:tc>
        <w:tc>
          <w:tcPr>
            <w:tcW w:w="8115" w:type="dxa"/>
            <w:gridSpan w:val="10"/>
            <w:tcBorders>
              <w:bottom w:val="single" w:color="000000" w:sz="6" w:space="0"/>
              <w:right w:val="single" w:color="000000" w:sz="6" w:space="0"/>
            </w:tcBorders>
            <w:vAlign w:val="top"/>
          </w:tcPr>
          <w:p w14:paraId="46D1BA66">
            <w:pPr>
              <w:pStyle w:val="6"/>
              <w:spacing w:before="149" w:line="226" w:lineRule="auto"/>
              <w:ind w:left="1866"/>
            </w:pPr>
            <w:r>
              <w:rPr>
                <w:spacing w:val="5"/>
              </w:rPr>
              <w:t>表</w:t>
            </w:r>
            <w:r>
              <w:rPr>
                <w:spacing w:val="-52"/>
              </w:rPr>
              <w:t xml:space="preserve"> </w:t>
            </w:r>
            <w:r>
              <w:rPr>
                <w:rFonts w:ascii="Times New Roman" w:hAnsi="Times New Roman" w:eastAsia="Times New Roman" w:cs="Times New Roman"/>
                <w:spacing w:val="5"/>
              </w:rPr>
              <w:t>4.2-</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 xml:space="preserve">10    </w:t>
            </w:r>
            <w:r>
              <w:rPr>
                <w:spacing w:val="5"/>
              </w:rPr>
              <w:t>废水污染物排放执行标准表</w:t>
            </w:r>
          </w:p>
          <w:p w14:paraId="73744D9B">
            <w:pPr>
              <w:spacing w:line="78" w:lineRule="auto"/>
              <w:rPr>
                <w:rFonts w:ascii="Arial"/>
                <w:sz w:val="2"/>
              </w:rPr>
            </w:pPr>
          </w:p>
          <w:tbl>
            <w:tblPr>
              <w:tblStyle w:val="5"/>
              <w:tblW w:w="7910" w:type="dxa"/>
              <w:tblInd w:w="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9"/>
              <w:gridCol w:w="1385"/>
              <w:gridCol w:w="1419"/>
              <w:gridCol w:w="1924"/>
              <w:gridCol w:w="2663"/>
            </w:tblGrid>
            <w:tr w14:paraId="5B597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519" w:type="dxa"/>
                  <w:vMerge w:val="restart"/>
                  <w:tcBorders>
                    <w:left w:val="nil"/>
                    <w:bottom w:val="nil"/>
                  </w:tcBorders>
                  <w:textDirection w:val="tbRlV"/>
                  <w:vAlign w:val="top"/>
                </w:tcPr>
                <w:p w14:paraId="2D5C96F8">
                  <w:pPr>
                    <w:pStyle w:val="6"/>
                    <w:spacing w:before="182" w:line="211" w:lineRule="auto"/>
                    <w:ind w:left="184"/>
                    <w:rPr>
                      <w:sz w:val="22"/>
                      <w:szCs w:val="22"/>
                    </w:rPr>
                  </w:pPr>
                  <w:r>
                    <w:rPr>
                      <w:spacing w:val="33"/>
                      <w:sz w:val="22"/>
                      <w:szCs w:val="22"/>
                    </w:rPr>
                    <w:t>序号</w:t>
                  </w:r>
                </w:p>
              </w:tc>
              <w:tc>
                <w:tcPr>
                  <w:tcW w:w="1385" w:type="dxa"/>
                  <w:vMerge w:val="restart"/>
                  <w:tcBorders>
                    <w:bottom w:val="nil"/>
                  </w:tcBorders>
                  <w:vAlign w:val="top"/>
                </w:tcPr>
                <w:p w14:paraId="2A2C5625">
                  <w:pPr>
                    <w:spacing w:line="253" w:lineRule="auto"/>
                    <w:rPr>
                      <w:rFonts w:ascii="Arial"/>
                      <w:sz w:val="21"/>
                    </w:rPr>
                  </w:pPr>
                </w:p>
                <w:p w14:paraId="5544A071">
                  <w:pPr>
                    <w:pStyle w:val="6"/>
                    <w:spacing w:before="71" w:line="220" w:lineRule="auto"/>
                    <w:ind w:left="112"/>
                    <w:rPr>
                      <w:sz w:val="22"/>
                      <w:szCs w:val="22"/>
                    </w:rPr>
                  </w:pPr>
                  <w:r>
                    <w:rPr>
                      <w:spacing w:val="-2"/>
                      <w:sz w:val="22"/>
                      <w:szCs w:val="22"/>
                    </w:rPr>
                    <w:t>排放口编号</w:t>
                  </w:r>
                </w:p>
              </w:tc>
              <w:tc>
                <w:tcPr>
                  <w:tcW w:w="1419" w:type="dxa"/>
                  <w:vMerge w:val="restart"/>
                  <w:tcBorders>
                    <w:bottom w:val="nil"/>
                  </w:tcBorders>
                  <w:vAlign w:val="top"/>
                </w:tcPr>
                <w:p w14:paraId="389BFD53">
                  <w:pPr>
                    <w:spacing w:line="253" w:lineRule="auto"/>
                    <w:rPr>
                      <w:rFonts w:ascii="Arial"/>
                      <w:sz w:val="21"/>
                    </w:rPr>
                  </w:pPr>
                </w:p>
                <w:p w14:paraId="3363D0CE">
                  <w:pPr>
                    <w:pStyle w:val="6"/>
                    <w:spacing w:before="71" w:line="220" w:lineRule="auto"/>
                    <w:ind w:left="114"/>
                    <w:rPr>
                      <w:sz w:val="22"/>
                      <w:szCs w:val="22"/>
                    </w:rPr>
                  </w:pPr>
                  <w:r>
                    <w:rPr>
                      <w:spacing w:val="-2"/>
                      <w:sz w:val="22"/>
                      <w:szCs w:val="22"/>
                    </w:rPr>
                    <w:t>污染物种类</w:t>
                  </w:r>
                </w:p>
              </w:tc>
              <w:tc>
                <w:tcPr>
                  <w:tcW w:w="4587" w:type="dxa"/>
                  <w:gridSpan w:val="2"/>
                  <w:vAlign w:val="top"/>
                </w:tcPr>
                <w:p w14:paraId="30600239">
                  <w:pPr>
                    <w:pStyle w:val="6"/>
                    <w:spacing w:before="38" w:line="206" w:lineRule="auto"/>
                    <w:ind w:left="114"/>
                    <w:rPr>
                      <w:sz w:val="22"/>
                      <w:szCs w:val="22"/>
                    </w:rPr>
                  </w:pPr>
                  <w:r>
                    <w:rPr>
                      <w:spacing w:val="-2"/>
                      <w:sz w:val="22"/>
                      <w:szCs w:val="22"/>
                    </w:rPr>
                    <w:t>排放标准</w:t>
                  </w:r>
                </w:p>
              </w:tc>
            </w:tr>
            <w:tr w14:paraId="1AEFD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519" w:type="dxa"/>
                  <w:vMerge w:val="continue"/>
                  <w:tcBorders>
                    <w:top w:val="nil"/>
                    <w:left w:val="nil"/>
                  </w:tcBorders>
                  <w:textDirection w:val="tbRlV"/>
                  <w:vAlign w:val="top"/>
                </w:tcPr>
                <w:p w14:paraId="630D9965">
                  <w:pPr>
                    <w:rPr>
                      <w:rFonts w:ascii="Arial"/>
                      <w:sz w:val="21"/>
                    </w:rPr>
                  </w:pPr>
                </w:p>
              </w:tc>
              <w:tc>
                <w:tcPr>
                  <w:tcW w:w="1385" w:type="dxa"/>
                  <w:vMerge w:val="continue"/>
                  <w:tcBorders>
                    <w:top w:val="nil"/>
                  </w:tcBorders>
                  <w:vAlign w:val="top"/>
                </w:tcPr>
                <w:p w14:paraId="50C8530C">
                  <w:pPr>
                    <w:rPr>
                      <w:rFonts w:ascii="Arial"/>
                      <w:sz w:val="21"/>
                    </w:rPr>
                  </w:pPr>
                </w:p>
              </w:tc>
              <w:tc>
                <w:tcPr>
                  <w:tcW w:w="1419" w:type="dxa"/>
                  <w:vMerge w:val="continue"/>
                  <w:tcBorders>
                    <w:top w:val="nil"/>
                  </w:tcBorders>
                  <w:vAlign w:val="top"/>
                </w:tcPr>
                <w:p w14:paraId="524C08B3">
                  <w:pPr>
                    <w:rPr>
                      <w:rFonts w:ascii="Arial"/>
                      <w:sz w:val="21"/>
                    </w:rPr>
                  </w:pPr>
                </w:p>
              </w:tc>
              <w:tc>
                <w:tcPr>
                  <w:tcW w:w="1924" w:type="dxa"/>
                  <w:vAlign w:val="top"/>
                </w:tcPr>
                <w:p w14:paraId="4811A6E4">
                  <w:pPr>
                    <w:pStyle w:val="6"/>
                    <w:spacing w:before="176" w:line="222" w:lineRule="auto"/>
                    <w:ind w:left="117"/>
                    <w:rPr>
                      <w:sz w:val="22"/>
                      <w:szCs w:val="22"/>
                    </w:rPr>
                  </w:pPr>
                  <w:r>
                    <w:rPr>
                      <w:spacing w:val="-5"/>
                      <w:sz w:val="22"/>
                      <w:szCs w:val="22"/>
                    </w:rPr>
                    <w:t>名称</w:t>
                  </w:r>
                </w:p>
              </w:tc>
              <w:tc>
                <w:tcPr>
                  <w:tcW w:w="2663" w:type="dxa"/>
                  <w:vAlign w:val="top"/>
                </w:tcPr>
                <w:p w14:paraId="6100E980">
                  <w:pPr>
                    <w:pStyle w:val="6"/>
                    <w:spacing w:before="31" w:line="224" w:lineRule="auto"/>
                    <w:ind w:left="121" w:right="107" w:hanging="6"/>
                    <w:rPr>
                      <w:sz w:val="22"/>
                      <w:szCs w:val="22"/>
                    </w:rPr>
                  </w:pPr>
                  <w:r>
                    <w:rPr>
                      <w:spacing w:val="-7"/>
                      <w:sz w:val="22"/>
                      <w:szCs w:val="22"/>
                    </w:rPr>
                    <w:t>排 放 标 准 浓 度 限 值</w:t>
                  </w:r>
                  <w:r>
                    <w:rPr>
                      <w:spacing w:val="-3"/>
                      <w:sz w:val="22"/>
                      <w:szCs w:val="22"/>
                    </w:rPr>
                    <w:t>（</w:t>
                  </w:r>
                  <w:r>
                    <w:rPr>
                      <w:rFonts w:ascii="Times New Roman" w:hAnsi="Times New Roman" w:eastAsia="Times New Roman" w:cs="Times New Roman"/>
                      <w:spacing w:val="-3"/>
                      <w:sz w:val="22"/>
                      <w:szCs w:val="22"/>
                    </w:rPr>
                    <w:t>mg/L</w:t>
                  </w:r>
                  <w:r>
                    <w:rPr>
                      <w:spacing w:val="-3"/>
                      <w:sz w:val="22"/>
                      <w:szCs w:val="22"/>
                    </w:rPr>
                    <w:t>）</w:t>
                  </w:r>
                </w:p>
              </w:tc>
            </w:tr>
            <w:tr w14:paraId="59093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519" w:type="dxa"/>
                  <w:vMerge w:val="restart"/>
                  <w:tcBorders>
                    <w:left w:val="nil"/>
                    <w:bottom w:val="nil"/>
                  </w:tcBorders>
                  <w:vAlign w:val="top"/>
                </w:tcPr>
                <w:p w14:paraId="44782695">
                  <w:pPr>
                    <w:spacing w:line="299" w:lineRule="auto"/>
                    <w:rPr>
                      <w:rFonts w:ascii="Arial"/>
                      <w:sz w:val="21"/>
                    </w:rPr>
                  </w:pPr>
                </w:p>
                <w:p w14:paraId="391926FE">
                  <w:pPr>
                    <w:spacing w:line="300" w:lineRule="auto"/>
                    <w:rPr>
                      <w:rFonts w:ascii="Arial"/>
                      <w:sz w:val="21"/>
                    </w:rPr>
                  </w:pPr>
                </w:p>
                <w:p w14:paraId="36BD8CE8">
                  <w:pPr>
                    <w:spacing w:before="63" w:line="189" w:lineRule="auto"/>
                    <w:ind w:left="138"/>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385" w:type="dxa"/>
                  <w:vMerge w:val="restart"/>
                  <w:tcBorders>
                    <w:bottom w:val="nil"/>
                  </w:tcBorders>
                  <w:vAlign w:val="top"/>
                </w:tcPr>
                <w:p w14:paraId="18B00ED8">
                  <w:pPr>
                    <w:pStyle w:val="6"/>
                    <w:spacing w:before="236" w:line="181" w:lineRule="auto"/>
                    <w:ind w:left="108"/>
                    <w:rPr>
                      <w:sz w:val="22"/>
                      <w:szCs w:val="22"/>
                    </w:rPr>
                  </w:pPr>
                  <w:r>
                    <w:rPr>
                      <w:rFonts w:ascii="Times New Roman" w:hAnsi="Times New Roman" w:eastAsia="Times New Roman" w:cs="Times New Roman"/>
                      <w:spacing w:val="-1"/>
                      <w:sz w:val="22"/>
                      <w:szCs w:val="22"/>
                    </w:rPr>
                    <w:t>DW001</w:t>
                  </w:r>
                  <w:r>
                    <w:rPr>
                      <w:rFonts w:ascii="Times New Roman" w:hAnsi="Times New Roman" w:eastAsia="Times New Roman" w:cs="Times New Roman"/>
                      <w:spacing w:val="8"/>
                      <w:sz w:val="22"/>
                      <w:szCs w:val="22"/>
                    </w:rPr>
                    <w:t xml:space="preserve">    </w:t>
                  </w:r>
                  <w:r>
                    <w:rPr>
                      <w:spacing w:val="-1"/>
                      <w:sz w:val="22"/>
                      <w:szCs w:val="22"/>
                    </w:rPr>
                    <w:t>、</w:t>
                  </w:r>
                </w:p>
                <w:p w14:paraId="30A44FAC">
                  <w:pPr>
                    <w:pStyle w:val="6"/>
                    <w:spacing w:before="31"/>
                    <w:ind w:left="113" w:right="106" w:hanging="5"/>
                    <w:rPr>
                      <w:sz w:val="22"/>
                      <w:szCs w:val="22"/>
                    </w:rPr>
                  </w:pPr>
                  <w:r>
                    <w:rPr>
                      <w:rFonts w:ascii="Times New Roman" w:hAnsi="Times New Roman" w:eastAsia="Times New Roman" w:cs="Times New Roman"/>
                      <w:sz w:val="22"/>
                      <w:szCs w:val="22"/>
                    </w:rPr>
                    <w:t>DW</w:t>
                  </w:r>
                  <w:r>
                    <w:rPr>
                      <w:rFonts w:ascii="Times New Roman" w:hAnsi="Times New Roman" w:eastAsia="Times New Roman" w:cs="Times New Roman"/>
                      <w:spacing w:val="5"/>
                      <w:sz w:val="22"/>
                      <w:szCs w:val="22"/>
                    </w:rPr>
                    <w:t>002</w:t>
                  </w:r>
                  <w:r>
                    <w:rPr>
                      <w:spacing w:val="5"/>
                      <w:sz w:val="22"/>
                      <w:szCs w:val="22"/>
                    </w:rPr>
                    <w:t>（生</w:t>
                  </w:r>
                  <w:r>
                    <w:rPr>
                      <w:spacing w:val="11"/>
                      <w:sz w:val="22"/>
                      <w:szCs w:val="22"/>
                    </w:rPr>
                    <w:t>化池及隔油</w:t>
                  </w:r>
                </w:p>
                <w:p w14:paraId="3410B426">
                  <w:pPr>
                    <w:pStyle w:val="6"/>
                    <w:spacing w:line="221" w:lineRule="auto"/>
                    <w:ind w:left="112"/>
                    <w:rPr>
                      <w:sz w:val="22"/>
                      <w:szCs w:val="22"/>
                    </w:rPr>
                  </w:pPr>
                  <w:r>
                    <w:rPr>
                      <w:spacing w:val="-2"/>
                      <w:sz w:val="22"/>
                      <w:szCs w:val="22"/>
                    </w:rPr>
                    <w:t>池排放口）</w:t>
                  </w:r>
                </w:p>
              </w:tc>
              <w:tc>
                <w:tcPr>
                  <w:tcW w:w="1419" w:type="dxa"/>
                  <w:vAlign w:val="top"/>
                </w:tcPr>
                <w:p w14:paraId="076FB35C">
                  <w:pPr>
                    <w:spacing w:before="68" w:line="189" w:lineRule="auto"/>
                    <w:ind w:left="11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COD</w:t>
                  </w:r>
                </w:p>
              </w:tc>
              <w:tc>
                <w:tcPr>
                  <w:tcW w:w="1924" w:type="dxa"/>
                  <w:vMerge w:val="restart"/>
                  <w:tcBorders>
                    <w:bottom w:val="nil"/>
                  </w:tcBorders>
                  <w:vAlign w:val="top"/>
                </w:tcPr>
                <w:p w14:paraId="52AA39E7">
                  <w:pPr>
                    <w:pStyle w:val="6"/>
                    <w:spacing w:before="197" w:line="241" w:lineRule="auto"/>
                    <w:ind w:left="115" w:right="101"/>
                    <w:jc w:val="both"/>
                    <w:rPr>
                      <w:sz w:val="22"/>
                      <w:szCs w:val="22"/>
                    </w:rPr>
                  </w:pPr>
                  <w:r>
                    <w:rPr>
                      <w:spacing w:val="22"/>
                      <w:sz w:val="22"/>
                      <w:szCs w:val="22"/>
                    </w:rPr>
                    <w:t>《污水综合排放</w:t>
                  </w:r>
                  <w:r>
                    <w:rPr>
                      <w:spacing w:val="-13"/>
                      <w:sz w:val="22"/>
                      <w:szCs w:val="22"/>
                    </w:rPr>
                    <w:t>标</w:t>
                  </w:r>
                  <w:r>
                    <w:rPr>
                      <w:spacing w:val="29"/>
                      <w:sz w:val="22"/>
                      <w:szCs w:val="22"/>
                    </w:rPr>
                    <w:t xml:space="preserve"> </w:t>
                  </w:r>
                  <w:r>
                    <w:rPr>
                      <w:spacing w:val="-13"/>
                      <w:sz w:val="22"/>
                      <w:szCs w:val="22"/>
                    </w:rPr>
                    <w:t>准</w:t>
                  </w:r>
                  <w:r>
                    <w:rPr>
                      <w:spacing w:val="40"/>
                      <w:sz w:val="22"/>
                      <w:szCs w:val="22"/>
                    </w:rPr>
                    <w:t xml:space="preserve"> </w:t>
                  </w:r>
                  <w:r>
                    <w:rPr>
                      <w:spacing w:val="-13"/>
                      <w:sz w:val="22"/>
                      <w:szCs w:val="22"/>
                    </w:rPr>
                    <w:t>》</w:t>
                  </w:r>
                  <w:r>
                    <w:rPr>
                      <w:spacing w:val="20"/>
                      <w:sz w:val="22"/>
                      <w:szCs w:val="22"/>
                    </w:rPr>
                    <w:t xml:space="preserve"> </w:t>
                  </w:r>
                  <w:r>
                    <w:rPr>
                      <w:spacing w:val="-13"/>
                      <w:sz w:val="22"/>
                      <w:szCs w:val="22"/>
                    </w:rPr>
                    <w:t>（</w:t>
                  </w:r>
                  <w:r>
                    <w:rPr>
                      <w:spacing w:val="62"/>
                      <w:sz w:val="22"/>
                      <w:szCs w:val="22"/>
                    </w:rPr>
                    <w:t xml:space="preserve"> </w:t>
                  </w:r>
                  <w:r>
                    <w:rPr>
                      <w:rFonts w:ascii="Times New Roman" w:hAnsi="Times New Roman" w:eastAsia="Times New Roman" w:cs="Times New Roman"/>
                      <w:spacing w:val="-13"/>
                      <w:sz w:val="22"/>
                      <w:szCs w:val="22"/>
                    </w:rPr>
                    <w:t>GB</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2"/>
                      <w:sz w:val="22"/>
                      <w:szCs w:val="22"/>
                    </w:rPr>
                    <w:t xml:space="preserve">8978-1996 </w:t>
                  </w:r>
                  <w:r>
                    <w:rPr>
                      <w:spacing w:val="2"/>
                      <w:sz w:val="22"/>
                      <w:szCs w:val="22"/>
                    </w:rPr>
                    <w:t>）三级</w:t>
                  </w:r>
                  <w:r>
                    <w:rPr>
                      <w:spacing w:val="-4"/>
                      <w:sz w:val="22"/>
                      <w:szCs w:val="22"/>
                    </w:rPr>
                    <w:t>标准</w:t>
                  </w:r>
                </w:p>
              </w:tc>
              <w:tc>
                <w:tcPr>
                  <w:tcW w:w="2663" w:type="dxa"/>
                  <w:vAlign w:val="top"/>
                </w:tcPr>
                <w:p w14:paraId="322EC3D3">
                  <w:pPr>
                    <w:spacing w:before="68" w:line="189" w:lineRule="auto"/>
                    <w:ind w:left="11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500</w:t>
                  </w:r>
                </w:p>
              </w:tc>
            </w:tr>
            <w:tr w14:paraId="55F4E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519" w:type="dxa"/>
                  <w:vMerge w:val="continue"/>
                  <w:tcBorders>
                    <w:top w:val="nil"/>
                    <w:left w:val="nil"/>
                    <w:bottom w:val="nil"/>
                  </w:tcBorders>
                  <w:vAlign w:val="top"/>
                </w:tcPr>
                <w:p w14:paraId="6CF3494C">
                  <w:pPr>
                    <w:rPr>
                      <w:rFonts w:ascii="Arial"/>
                      <w:sz w:val="21"/>
                    </w:rPr>
                  </w:pPr>
                </w:p>
              </w:tc>
              <w:tc>
                <w:tcPr>
                  <w:tcW w:w="1385" w:type="dxa"/>
                  <w:vMerge w:val="continue"/>
                  <w:tcBorders>
                    <w:top w:val="nil"/>
                    <w:bottom w:val="nil"/>
                  </w:tcBorders>
                  <w:vAlign w:val="top"/>
                </w:tcPr>
                <w:p w14:paraId="4C2021E9">
                  <w:pPr>
                    <w:rPr>
                      <w:rFonts w:ascii="Arial"/>
                      <w:sz w:val="21"/>
                    </w:rPr>
                  </w:pPr>
                </w:p>
              </w:tc>
              <w:tc>
                <w:tcPr>
                  <w:tcW w:w="1419" w:type="dxa"/>
                  <w:vAlign w:val="top"/>
                </w:tcPr>
                <w:p w14:paraId="0B995D33">
                  <w:pPr>
                    <w:spacing w:before="68" w:line="196" w:lineRule="auto"/>
                    <w:ind w:left="107"/>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BOD</w:t>
                  </w:r>
                  <w:r>
                    <w:rPr>
                      <w:rFonts w:ascii="Times New Roman" w:hAnsi="Times New Roman" w:eastAsia="Times New Roman" w:cs="Times New Roman"/>
                      <w:spacing w:val="-1"/>
                      <w:position w:val="-1"/>
                      <w:sz w:val="14"/>
                      <w:szCs w:val="14"/>
                    </w:rPr>
                    <w:t>5</w:t>
                  </w:r>
                </w:p>
              </w:tc>
              <w:tc>
                <w:tcPr>
                  <w:tcW w:w="1924" w:type="dxa"/>
                  <w:vMerge w:val="continue"/>
                  <w:tcBorders>
                    <w:top w:val="nil"/>
                    <w:bottom w:val="nil"/>
                  </w:tcBorders>
                  <w:vAlign w:val="top"/>
                </w:tcPr>
                <w:p w14:paraId="40E9F767">
                  <w:pPr>
                    <w:rPr>
                      <w:rFonts w:ascii="Arial"/>
                      <w:sz w:val="21"/>
                    </w:rPr>
                  </w:pPr>
                </w:p>
              </w:tc>
              <w:tc>
                <w:tcPr>
                  <w:tcW w:w="2663" w:type="dxa"/>
                  <w:vAlign w:val="top"/>
                </w:tcPr>
                <w:p w14:paraId="16B5A402">
                  <w:pPr>
                    <w:spacing w:before="69" w:line="189" w:lineRule="auto"/>
                    <w:ind w:left="11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r>
            <w:tr w14:paraId="21153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519" w:type="dxa"/>
                  <w:vMerge w:val="continue"/>
                  <w:tcBorders>
                    <w:top w:val="nil"/>
                    <w:left w:val="nil"/>
                    <w:bottom w:val="nil"/>
                  </w:tcBorders>
                  <w:vAlign w:val="top"/>
                </w:tcPr>
                <w:p w14:paraId="6D13EC78">
                  <w:pPr>
                    <w:rPr>
                      <w:rFonts w:ascii="Arial"/>
                      <w:sz w:val="21"/>
                    </w:rPr>
                  </w:pPr>
                </w:p>
              </w:tc>
              <w:tc>
                <w:tcPr>
                  <w:tcW w:w="1385" w:type="dxa"/>
                  <w:vMerge w:val="continue"/>
                  <w:tcBorders>
                    <w:top w:val="nil"/>
                    <w:bottom w:val="nil"/>
                  </w:tcBorders>
                  <w:vAlign w:val="top"/>
                </w:tcPr>
                <w:p w14:paraId="70190FC5">
                  <w:pPr>
                    <w:rPr>
                      <w:rFonts w:ascii="Arial"/>
                      <w:sz w:val="21"/>
                    </w:rPr>
                  </w:pPr>
                </w:p>
              </w:tc>
              <w:tc>
                <w:tcPr>
                  <w:tcW w:w="1419" w:type="dxa"/>
                  <w:vAlign w:val="top"/>
                </w:tcPr>
                <w:p w14:paraId="44C4B917">
                  <w:pPr>
                    <w:spacing w:before="78" w:line="189" w:lineRule="auto"/>
                    <w:ind w:left="118"/>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SS</w:t>
                  </w:r>
                </w:p>
              </w:tc>
              <w:tc>
                <w:tcPr>
                  <w:tcW w:w="1924" w:type="dxa"/>
                  <w:vMerge w:val="continue"/>
                  <w:tcBorders>
                    <w:top w:val="nil"/>
                    <w:bottom w:val="nil"/>
                  </w:tcBorders>
                  <w:vAlign w:val="top"/>
                </w:tcPr>
                <w:p w14:paraId="3A0502AE">
                  <w:pPr>
                    <w:rPr>
                      <w:rFonts w:ascii="Arial"/>
                      <w:sz w:val="21"/>
                    </w:rPr>
                  </w:pPr>
                </w:p>
              </w:tc>
              <w:tc>
                <w:tcPr>
                  <w:tcW w:w="2663" w:type="dxa"/>
                  <w:vAlign w:val="top"/>
                </w:tcPr>
                <w:p w14:paraId="35392B3D">
                  <w:pPr>
                    <w:spacing w:before="78" w:line="189" w:lineRule="auto"/>
                    <w:ind w:left="11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400</w:t>
                  </w:r>
                </w:p>
              </w:tc>
            </w:tr>
            <w:tr w14:paraId="4AE84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519" w:type="dxa"/>
                  <w:vMerge w:val="continue"/>
                  <w:tcBorders>
                    <w:top w:val="nil"/>
                    <w:left w:val="nil"/>
                    <w:bottom w:val="nil"/>
                  </w:tcBorders>
                  <w:vAlign w:val="top"/>
                </w:tcPr>
                <w:p w14:paraId="29C017B9">
                  <w:pPr>
                    <w:rPr>
                      <w:rFonts w:ascii="Arial"/>
                      <w:sz w:val="21"/>
                    </w:rPr>
                  </w:pPr>
                </w:p>
              </w:tc>
              <w:tc>
                <w:tcPr>
                  <w:tcW w:w="1385" w:type="dxa"/>
                  <w:vMerge w:val="continue"/>
                  <w:tcBorders>
                    <w:top w:val="nil"/>
                    <w:bottom w:val="nil"/>
                  </w:tcBorders>
                  <w:vAlign w:val="top"/>
                </w:tcPr>
                <w:p w14:paraId="61CCA2A7">
                  <w:pPr>
                    <w:rPr>
                      <w:rFonts w:ascii="Arial"/>
                      <w:sz w:val="21"/>
                    </w:rPr>
                  </w:pPr>
                </w:p>
              </w:tc>
              <w:tc>
                <w:tcPr>
                  <w:tcW w:w="1419" w:type="dxa"/>
                  <w:vAlign w:val="top"/>
                </w:tcPr>
                <w:p w14:paraId="305474D6">
                  <w:pPr>
                    <w:spacing w:before="74" w:line="192" w:lineRule="auto"/>
                    <w:ind w:left="101"/>
                    <w:rPr>
                      <w:rFonts w:ascii="Times New Roman" w:hAnsi="Times New Roman" w:eastAsia="Times New Roman" w:cs="Times New Roman"/>
                      <w:sz w:val="22"/>
                      <w:szCs w:val="22"/>
                    </w:rPr>
                  </w:pPr>
                  <w:r>
                    <w:rPr>
                      <w:rFonts w:ascii="Times New Roman" w:hAnsi="Times New Roman" w:eastAsia="Times New Roman" w:cs="Times New Roman"/>
                      <w:sz w:val="22"/>
                      <w:szCs w:val="22"/>
                    </w:rPr>
                    <w:t>NH</w:t>
                  </w:r>
                  <w:r>
                    <w:rPr>
                      <w:rFonts w:ascii="Times New Roman" w:hAnsi="Times New Roman" w:eastAsia="Times New Roman" w:cs="Times New Roman"/>
                      <w:spacing w:val="1"/>
                      <w:position w:val="-1"/>
                      <w:sz w:val="14"/>
                      <w:szCs w:val="14"/>
                    </w:rPr>
                    <w:t>3</w:t>
                  </w:r>
                  <w:r>
                    <w:rPr>
                      <w:rFonts w:ascii="Times New Roman" w:hAnsi="Times New Roman" w:eastAsia="Times New Roman" w:cs="Times New Roman"/>
                      <w:spacing w:val="1"/>
                      <w:sz w:val="22"/>
                      <w:szCs w:val="22"/>
                    </w:rPr>
                    <w:t>-N</w:t>
                  </w:r>
                </w:p>
              </w:tc>
              <w:tc>
                <w:tcPr>
                  <w:tcW w:w="1924" w:type="dxa"/>
                  <w:vMerge w:val="continue"/>
                  <w:tcBorders>
                    <w:top w:val="nil"/>
                    <w:bottom w:val="nil"/>
                  </w:tcBorders>
                  <w:vAlign w:val="top"/>
                </w:tcPr>
                <w:p w14:paraId="2027A577">
                  <w:pPr>
                    <w:rPr>
                      <w:rFonts w:ascii="Arial"/>
                      <w:sz w:val="21"/>
                    </w:rPr>
                  </w:pPr>
                </w:p>
              </w:tc>
              <w:tc>
                <w:tcPr>
                  <w:tcW w:w="2663" w:type="dxa"/>
                  <w:vAlign w:val="top"/>
                </w:tcPr>
                <w:p w14:paraId="16218E5D">
                  <w:pPr>
                    <w:spacing w:before="66" w:line="193" w:lineRule="auto"/>
                    <w:ind w:left="11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w:t>
                  </w:r>
                </w:p>
              </w:tc>
            </w:tr>
            <w:tr w14:paraId="332BC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519" w:type="dxa"/>
                  <w:vMerge w:val="continue"/>
                  <w:tcBorders>
                    <w:top w:val="nil"/>
                    <w:left w:val="nil"/>
                  </w:tcBorders>
                  <w:vAlign w:val="top"/>
                </w:tcPr>
                <w:p w14:paraId="544F34FF">
                  <w:pPr>
                    <w:rPr>
                      <w:rFonts w:ascii="Arial"/>
                      <w:sz w:val="21"/>
                    </w:rPr>
                  </w:pPr>
                </w:p>
              </w:tc>
              <w:tc>
                <w:tcPr>
                  <w:tcW w:w="1385" w:type="dxa"/>
                  <w:vMerge w:val="continue"/>
                  <w:tcBorders>
                    <w:top w:val="nil"/>
                  </w:tcBorders>
                  <w:vAlign w:val="top"/>
                </w:tcPr>
                <w:p w14:paraId="4413F93E">
                  <w:pPr>
                    <w:rPr>
                      <w:rFonts w:ascii="Arial"/>
                      <w:sz w:val="21"/>
                    </w:rPr>
                  </w:pPr>
                </w:p>
              </w:tc>
              <w:tc>
                <w:tcPr>
                  <w:tcW w:w="1419" w:type="dxa"/>
                  <w:vAlign w:val="top"/>
                </w:tcPr>
                <w:p w14:paraId="5DA435C5">
                  <w:pPr>
                    <w:pStyle w:val="6"/>
                    <w:spacing w:before="36" w:line="208" w:lineRule="auto"/>
                    <w:ind w:left="113"/>
                    <w:rPr>
                      <w:sz w:val="22"/>
                      <w:szCs w:val="22"/>
                    </w:rPr>
                  </w:pPr>
                  <w:r>
                    <w:rPr>
                      <w:spacing w:val="-3"/>
                      <w:sz w:val="22"/>
                      <w:szCs w:val="22"/>
                    </w:rPr>
                    <w:t>石油类</w:t>
                  </w:r>
                </w:p>
              </w:tc>
              <w:tc>
                <w:tcPr>
                  <w:tcW w:w="1924" w:type="dxa"/>
                  <w:vMerge w:val="continue"/>
                  <w:tcBorders>
                    <w:top w:val="nil"/>
                  </w:tcBorders>
                  <w:vAlign w:val="top"/>
                </w:tcPr>
                <w:p w14:paraId="091F0084">
                  <w:pPr>
                    <w:rPr>
                      <w:rFonts w:ascii="Arial"/>
                      <w:sz w:val="21"/>
                    </w:rPr>
                  </w:pPr>
                </w:p>
              </w:tc>
              <w:tc>
                <w:tcPr>
                  <w:tcW w:w="2663" w:type="dxa"/>
                  <w:vAlign w:val="top"/>
                </w:tcPr>
                <w:p w14:paraId="4DB19105">
                  <w:pPr>
                    <w:spacing w:before="57" w:line="189" w:lineRule="auto"/>
                    <w:ind w:left="11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r>
          </w:tbl>
          <w:p w14:paraId="5F5BA41D">
            <w:pPr>
              <w:pStyle w:val="6"/>
              <w:spacing w:before="31" w:line="242" w:lineRule="auto"/>
              <w:ind w:left="116" w:right="101" w:hanging="20"/>
              <w:rPr>
                <w:sz w:val="22"/>
                <w:szCs w:val="22"/>
              </w:rPr>
            </w:pPr>
            <w:r>
              <w:rPr>
                <w:spacing w:val="-1"/>
                <w:sz w:val="22"/>
                <w:szCs w:val="22"/>
              </w:rPr>
              <w:t>注：</w:t>
            </w:r>
            <w:r>
              <w:rPr>
                <w:rFonts w:ascii="Times New Roman" w:hAnsi="Times New Roman" w:eastAsia="Times New Roman" w:cs="Times New Roman"/>
                <w:spacing w:val="-1"/>
                <w:sz w:val="22"/>
                <w:szCs w:val="22"/>
              </w:rPr>
              <w:t>*</w:t>
            </w:r>
            <w:r>
              <w:rPr>
                <w:spacing w:val="-1"/>
                <w:sz w:val="22"/>
                <w:szCs w:val="22"/>
              </w:rPr>
              <w:t>氨氮排放浓度参照《污水排入城镇下水道水质标准》（</w:t>
            </w:r>
            <w:r>
              <w:rPr>
                <w:rFonts w:ascii="Times New Roman" w:hAnsi="Times New Roman" w:eastAsia="Times New Roman" w:cs="Times New Roman"/>
                <w:spacing w:val="-1"/>
                <w:sz w:val="22"/>
                <w:szCs w:val="22"/>
              </w:rPr>
              <w:t>GB/T31962-2015</w:t>
            </w:r>
            <w:r>
              <w:rPr>
                <w:spacing w:val="-1"/>
                <w:sz w:val="22"/>
                <w:szCs w:val="22"/>
              </w:rPr>
              <w:t>）表</w:t>
            </w:r>
            <w:r>
              <w:rPr>
                <w:rFonts w:ascii="Times New Roman" w:hAnsi="Times New Roman" w:eastAsia="Times New Roman" w:cs="Times New Roman"/>
                <w:spacing w:val="-1"/>
                <w:sz w:val="22"/>
                <w:szCs w:val="22"/>
              </w:rPr>
              <w:t>1</w:t>
            </w:r>
            <w:r>
              <w:rPr>
                <w:spacing w:val="-4"/>
                <w:sz w:val="22"/>
                <w:szCs w:val="22"/>
              </w:rPr>
              <w:t>中</w:t>
            </w:r>
            <w:r>
              <w:rPr>
                <w:rFonts w:ascii="Times New Roman" w:hAnsi="Times New Roman" w:eastAsia="Times New Roman" w:cs="Times New Roman"/>
                <w:spacing w:val="-4"/>
                <w:sz w:val="22"/>
                <w:szCs w:val="22"/>
              </w:rPr>
              <w:t>B</w:t>
            </w:r>
            <w:r>
              <w:rPr>
                <w:spacing w:val="-4"/>
                <w:sz w:val="22"/>
                <w:szCs w:val="22"/>
              </w:rPr>
              <w:t>级标准限值要求</w:t>
            </w:r>
          </w:p>
          <w:p w14:paraId="2EF94F60">
            <w:pPr>
              <w:spacing w:line="241" w:lineRule="auto"/>
              <w:rPr>
                <w:rFonts w:ascii="Arial"/>
                <w:sz w:val="21"/>
              </w:rPr>
            </w:pPr>
          </w:p>
          <w:p w14:paraId="57F443F4">
            <w:pPr>
              <w:spacing w:line="242" w:lineRule="auto"/>
              <w:rPr>
                <w:rFonts w:ascii="Arial"/>
                <w:sz w:val="21"/>
              </w:rPr>
            </w:pPr>
          </w:p>
          <w:p w14:paraId="2EF0BDF8">
            <w:pPr>
              <w:pStyle w:val="6"/>
              <w:spacing w:before="81" w:line="226" w:lineRule="auto"/>
              <w:ind w:left="628"/>
            </w:pPr>
            <w:r>
              <w:rPr>
                <w:spacing w:val="7"/>
              </w:rPr>
              <w:t>（</w:t>
            </w:r>
            <w:r>
              <w:rPr>
                <w:rFonts w:ascii="Times New Roman" w:hAnsi="Times New Roman" w:eastAsia="Times New Roman" w:cs="Times New Roman"/>
                <w:spacing w:val="7"/>
              </w:rPr>
              <w:t>2</w:t>
            </w:r>
            <w:r>
              <w:rPr>
                <w:spacing w:val="7"/>
              </w:rPr>
              <w:t>）废水污染防治措施</w:t>
            </w:r>
          </w:p>
          <w:p w14:paraId="20B0BA75">
            <w:pPr>
              <w:pStyle w:val="6"/>
              <w:spacing w:before="156" w:line="340" w:lineRule="auto"/>
              <w:ind w:left="97" w:right="104" w:firstLine="521"/>
            </w:pPr>
            <w:r>
              <w:rPr>
                <w:spacing w:val="5"/>
              </w:rPr>
              <w:t>生活污水处理达《污水综合排放标准》（</w:t>
            </w:r>
            <w:r>
              <w:rPr>
                <w:rFonts w:ascii="Times New Roman" w:hAnsi="Times New Roman" w:eastAsia="Times New Roman" w:cs="Times New Roman"/>
              </w:rPr>
              <w:t>GB</w:t>
            </w:r>
            <w:r>
              <w:rPr>
                <w:rFonts w:ascii="Times New Roman" w:hAnsi="Times New Roman" w:eastAsia="Times New Roman" w:cs="Times New Roman"/>
                <w:spacing w:val="5"/>
              </w:rPr>
              <w:t>8978-</w:t>
            </w:r>
            <w:r>
              <w:rPr>
                <w:rFonts w:ascii="Times New Roman" w:hAnsi="Times New Roman" w:eastAsia="Times New Roman" w:cs="Times New Roman"/>
                <w:spacing w:val="-23"/>
              </w:rPr>
              <w:t xml:space="preserve"> </w:t>
            </w:r>
            <w:r>
              <w:rPr>
                <w:rFonts w:ascii="Times New Roman" w:hAnsi="Times New Roman" w:eastAsia="Times New Roman" w:cs="Times New Roman"/>
                <w:spacing w:val="5"/>
              </w:rPr>
              <w:t>1996</w:t>
            </w:r>
            <w:r>
              <w:rPr>
                <w:spacing w:val="5"/>
              </w:rPr>
              <w:t>）三级标准</w:t>
            </w:r>
            <w:r>
              <w:rPr>
                <w:spacing w:val="13"/>
              </w:rPr>
              <w:t>后排入市政污水管网；场地冲洗废水及初期雨水经截流沟排入隔油池经隔油沉淀处理后与生活污水一并排入市政污水管网。前述废水处理</w:t>
            </w:r>
            <w:r>
              <w:rPr>
                <w:spacing w:val="6"/>
              </w:rPr>
              <w:t>达《污水综合排放标准》（</w:t>
            </w:r>
            <w:r>
              <w:rPr>
                <w:rFonts w:ascii="Times New Roman" w:hAnsi="Times New Roman" w:eastAsia="Times New Roman" w:cs="Times New Roman"/>
              </w:rPr>
              <w:t>GB</w:t>
            </w:r>
            <w:r>
              <w:rPr>
                <w:rFonts w:ascii="Times New Roman" w:hAnsi="Times New Roman" w:eastAsia="Times New Roman" w:cs="Times New Roman"/>
                <w:spacing w:val="6"/>
              </w:rPr>
              <w:t>8978-</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1996</w:t>
            </w:r>
            <w:r>
              <w:rPr>
                <w:spacing w:val="5"/>
              </w:rPr>
              <w:t>）三级排放标准后，进入大九</w:t>
            </w:r>
            <w:r>
              <w:rPr>
                <w:spacing w:val="33"/>
              </w:rPr>
              <w:t>污水处理厂深度处理</w:t>
            </w:r>
            <w:r>
              <w:rPr>
                <w:spacing w:val="-46"/>
              </w:rPr>
              <w:t xml:space="preserve"> </w:t>
            </w:r>
            <w:r>
              <w:rPr>
                <w:spacing w:val="33"/>
              </w:rPr>
              <w:t>，</w:t>
            </w:r>
            <w:r>
              <w:rPr>
                <w:spacing w:val="-73"/>
              </w:rPr>
              <w:t xml:space="preserve"> </w:t>
            </w:r>
            <w:r>
              <w:rPr>
                <w:spacing w:val="33"/>
              </w:rPr>
              <w:t>达《</w:t>
            </w:r>
            <w:r>
              <w:rPr>
                <w:spacing w:val="-56"/>
              </w:rPr>
              <w:t xml:space="preserve"> </w:t>
            </w:r>
            <w:r>
              <w:rPr>
                <w:spacing w:val="33"/>
              </w:rPr>
              <w:t>城镇污水处理厂污染物排放标准</w:t>
            </w:r>
            <w:r>
              <w:rPr>
                <w:spacing w:val="-64"/>
              </w:rPr>
              <w:t xml:space="preserve"> </w:t>
            </w:r>
            <w:r>
              <w:rPr>
                <w:spacing w:val="33"/>
              </w:rPr>
              <w:t>》</w:t>
            </w:r>
            <w:r>
              <w:t xml:space="preserve"> </w:t>
            </w:r>
            <w:r>
              <w:rPr>
                <w:spacing w:val="7"/>
              </w:rPr>
              <w:t>（</w:t>
            </w:r>
            <w:r>
              <w:rPr>
                <w:rFonts w:ascii="Times New Roman" w:hAnsi="Times New Roman" w:eastAsia="Times New Roman" w:cs="Times New Roman"/>
              </w:rPr>
              <w:t>GB</w:t>
            </w:r>
            <w:r>
              <w:rPr>
                <w:rFonts w:ascii="Times New Roman" w:hAnsi="Times New Roman" w:eastAsia="Times New Roman" w:cs="Times New Roman"/>
                <w:spacing w:val="7"/>
              </w:rPr>
              <w:t>18918-2002</w:t>
            </w:r>
            <w:r>
              <w:rPr>
                <w:spacing w:val="7"/>
              </w:rPr>
              <w:t>）一级</w:t>
            </w:r>
            <w:r>
              <w:rPr>
                <w:spacing w:val="-58"/>
              </w:rPr>
              <w:t xml:space="preserve"> </w:t>
            </w:r>
            <w:r>
              <w:rPr>
                <w:rFonts w:ascii="Times New Roman" w:hAnsi="Times New Roman" w:eastAsia="Times New Roman" w:cs="Times New Roman"/>
                <w:spacing w:val="7"/>
              </w:rPr>
              <w:t xml:space="preserve">A </w:t>
            </w:r>
            <w:r>
              <w:rPr>
                <w:spacing w:val="7"/>
              </w:rPr>
              <w:t>标准后排入长</w:t>
            </w:r>
            <w:r>
              <w:rPr>
                <w:spacing w:val="6"/>
              </w:rPr>
              <w:t>江。</w:t>
            </w:r>
          </w:p>
          <w:p w14:paraId="60687622">
            <w:pPr>
              <w:spacing w:before="206" w:line="1582" w:lineRule="exact"/>
              <w:ind w:firstLine="1193"/>
            </w:pPr>
            <w:r>
              <w:rPr>
                <w:position w:val="-31"/>
              </w:rPr>
              <w:drawing>
                <wp:inline distT="0" distB="0" distL="0" distR="0">
                  <wp:extent cx="3569970" cy="100457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46"/>
                          <a:stretch>
                            <a:fillRect/>
                          </a:stretch>
                        </pic:blipFill>
                        <pic:spPr>
                          <a:xfrm>
                            <a:off x="0" y="0"/>
                            <a:ext cx="3570481" cy="1004789"/>
                          </a:xfrm>
                          <a:prstGeom prst="rect">
                            <a:avLst/>
                          </a:prstGeom>
                        </pic:spPr>
                      </pic:pic>
                    </a:graphicData>
                  </a:graphic>
                </wp:inline>
              </w:drawing>
            </w:r>
          </w:p>
          <w:p w14:paraId="7D8B13FF">
            <w:pPr>
              <w:spacing w:line="417" w:lineRule="auto"/>
              <w:rPr>
                <w:rFonts w:ascii="Arial"/>
                <w:sz w:val="21"/>
              </w:rPr>
            </w:pPr>
          </w:p>
          <w:p w14:paraId="41A6AAE3">
            <w:pPr>
              <w:pStyle w:val="6"/>
              <w:spacing w:before="82" w:line="226" w:lineRule="auto"/>
              <w:ind w:left="2086"/>
            </w:pPr>
            <w:r>
              <w:rPr>
                <w:spacing w:val="3"/>
              </w:rPr>
              <w:t>图</w:t>
            </w:r>
            <w:r>
              <w:rPr>
                <w:spacing w:val="-42"/>
              </w:rPr>
              <w:t xml:space="preserve"> </w:t>
            </w:r>
            <w:r>
              <w:rPr>
                <w:rFonts w:ascii="Times New Roman" w:hAnsi="Times New Roman" w:eastAsia="Times New Roman" w:cs="Times New Roman"/>
                <w:spacing w:val="3"/>
              </w:rPr>
              <w:t>4.2-</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 xml:space="preserve">1    </w:t>
            </w:r>
            <w:r>
              <w:rPr>
                <w:spacing w:val="3"/>
              </w:rPr>
              <w:t>项目废水处置方式示意图</w:t>
            </w:r>
          </w:p>
          <w:p w14:paraId="629449CC">
            <w:pPr>
              <w:pStyle w:val="6"/>
              <w:spacing w:before="154" w:line="226" w:lineRule="auto"/>
              <w:ind w:left="636"/>
              <w:outlineLvl w:val="1"/>
            </w:pPr>
            <w:r>
              <w:rPr>
                <w:rFonts w:ascii="Times New Roman" w:hAnsi="Times New Roman" w:eastAsia="Times New Roman" w:cs="Times New Roman"/>
                <w:spacing w:val="8"/>
              </w:rPr>
              <w:t>1</w:t>
            </w:r>
            <w:r>
              <w:rPr>
                <w:spacing w:val="8"/>
              </w:rPr>
              <w:t>）废水处理措施合理性及去向可行性分析</w:t>
            </w:r>
          </w:p>
          <w:p w14:paraId="40D04873">
            <w:pPr>
              <w:pStyle w:val="6"/>
              <w:spacing w:before="155" w:line="224" w:lineRule="auto"/>
              <w:ind w:left="615"/>
              <w:outlineLvl w:val="1"/>
            </w:pPr>
            <w:r>
              <w:rPr>
                <w:spacing w:val="8"/>
              </w:rPr>
              <w:t>①生活污水</w:t>
            </w:r>
          </w:p>
          <w:p w14:paraId="4C71411C">
            <w:pPr>
              <w:pStyle w:val="6"/>
              <w:spacing w:before="155" w:line="226" w:lineRule="auto"/>
              <w:ind w:left="620"/>
              <w:outlineLvl w:val="1"/>
            </w:pPr>
            <w:r>
              <w:rPr>
                <w:spacing w:val="19"/>
              </w:rPr>
              <w:t>项</w:t>
            </w:r>
            <w:r>
              <w:rPr>
                <w:spacing w:val="-39"/>
              </w:rPr>
              <w:t xml:space="preserve"> </w:t>
            </w:r>
            <w:r>
              <w:rPr>
                <w:spacing w:val="19"/>
              </w:rPr>
              <w:t>目改扩建后生活污水排放量约</w:t>
            </w:r>
            <w:r>
              <w:rPr>
                <w:spacing w:val="-30"/>
              </w:rPr>
              <w:t xml:space="preserve"> </w:t>
            </w:r>
            <w:r>
              <w:rPr>
                <w:rFonts w:ascii="Times New Roman" w:hAnsi="Times New Roman" w:eastAsia="Times New Roman" w:cs="Times New Roman"/>
                <w:spacing w:val="19"/>
              </w:rPr>
              <w:t>2.025m</w:t>
            </w:r>
            <w:r>
              <w:rPr>
                <w:rFonts w:ascii="Times New Roman" w:hAnsi="Times New Roman" w:eastAsia="Times New Roman" w:cs="Times New Roman"/>
                <w:spacing w:val="19"/>
                <w:position w:val="8"/>
                <w:sz w:val="16"/>
                <w:szCs w:val="16"/>
              </w:rPr>
              <w:t>3</w:t>
            </w:r>
            <w:r>
              <w:rPr>
                <w:rFonts w:ascii="Times New Roman" w:hAnsi="Times New Roman" w:eastAsia="Times New Roman" w:cs="Times New Roman"/>
                <w:spacing w:val="19"/>
              </w:rPr>
              <w:t xml:space="preserve">/d </w:t>
            </w:r>
            <w:r>
              <w:rPr>
                <w:spacing w:val="19"/>
              </w:rPr>
              <w:t>，主要污</w:t>
            </w:r>
            <w:r>
              <w:rPr>
                <w:spacing w:val="18"/>
              </w:rPr>
              <w:t>染因子为</w:t>
            </w:r>
          </w:p>
        </w:tc>
      </w:tr>
    </w:tbl>
    <w:p w14:paraId="2CCBA5EC">
      <w:pPr>
        <w:pStyle w:val="2"/>
        <w:rPr>
          <w:sz w:val="21"/>
        </w:rPr>
      </w:pPr>
    </w:p>
    <w:p w14:paraId="752FB8A7">
      <w:pPr>
        <w:rPr>
          <w:sz w:val="21"/>
          <w:szCs w:val="21"/>
        </w:rPr>
        <w:sectPr>
          <w:footerReference r:id="rId83" w:type="default"/>
          <w:pgSz w:w="11907" w:h="16840"/>
          <w:pgMar w:top="400" w:right="1453" w:bottom="1005" w:left="1453" w:header="0" w:footer="776" w:gutter="0"/>
          <w:cols w:space="720" w:num="1"/>
        </w:sectPr>
      </w:pPr>
    </w:p>
    <w:p w14:paraId="6823E92D">
      <w:pPr>
        <w:spacing w:before="19"/>
      </w:pPr>
    </w:p>
    <w:p w14:paraId="5C3C1DDA">
      <w:pPr>
        <w:spacing w:before="19"/>
      </w:pPr>
    </w:p>
    <w:p w14:paraId="3367AA4E">
      <w:pPr>
        <w:spacing w:before="19"/>
      </w:pPr>
    </w:p>
    <w:p w14:paraId="694E7781">
      <w:pPr>
        <w:spacing w:before="18"/>
      </w:pPr>
    </w:p>
    <w:p w14:paraId="53F429D9">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8"/>
        <w:gridCol w:w="8127"/>
      </w:tblGrid>
      <w:tr w14:paraId="7F8F4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07" w:hRule="atLeast"/>
        </w:trPr>
        <w:tc>
          <w:tcPr>
            <w:tcW w:w="858" w:type="dxa"/>
            <w:tcBorders>
              <w:right w:val="single" w:color="000000" w:sz="2" w:space="0"/>
            </w:tcBorders>
            <w:vAlign w:val="top"/>
          </w:tcPr>
          <w:p w14:paraId="7E511D3D">
            <w:pPr>
              <w:rPr>
                <w:rFonts w:ascii="Arial"/>
                <w:sz w:val="21"/>
              </w:rPr>
            </w:pPr>
          </w:p>
        </w:tc>
        <w:tc>
          <w:tcPr>
            <w:tcW w:w="8127" w:type="dxa"/>
            <w:tcBorders>
              <w:left w:val="single" w:color="000000" w:sz="2" w:space="0"/>
            </w:tcBorders>
            <w:vAlign w:val="top"/>
          </w:tcPr>
          <w:p w14:paraId="7ED6D35E">
            <w:pPr>
              <w:pStyle w:val="6"/>
              <w:spacing w:before="149" w:line="340" w:lineRule="auto"/>
              <w:ind w:left="109" w:right="101"/>
              <w:jc w:val="both"/>
            </w:pPr>
            <w:r>
              <w:rPr>
                <w:rFonts w:ascii="Times New Roman" w:hAnsi="Times New Roman" w:eastAsia="Times New Roman" w:cs="Times New Roman"/>
              </w:rPr>
              <w:t>COD</w:t>
            </w:r>
            <w:r>
              <w:rPr>
                <w:rFonts w:ascii="Times New Roman" w:hAnsi="Times New Roman" w:eastAsia="Times New Roman" w:cs="Times New Roman"/>
                <w:spacing w:val="-34"/>
              </w:rPr>
              <w:t xml:space="preserve"> </w:t>
            </w:r>
            <w:r>
              <w:rPr>
                <w:spacing w:val="6"/>
              </w:rPr>
              <w:t>、</w:t>
            </w:r>
            <w:r>
              <w:rPr>
                <w:rFonts w:ascii="Times New Roman" w:hAnsi="Times New Roman" w:eastAsia="Times New Roman" w:cs="Times New Roman"/>
              </w:rPr>
              <w:t>BOD</w:t>
            </w:r>
            <w:r>
              <w:rPr>
                <w:rFonts w:ascii="Times New Roman" w:hAnsi="Times New Roman" w:eastAsia="Times New Roman" w:cs="Times New Roman"/>
                <w:spacing w:val="6"/>
                <w:position w:val="-2"/>
                <w:sz w:val="16"/>
                <w:szCs w:val="16"/>
              </w:rPr>
              <w:t>5</w:t>
            </w:r>
            <w:r>
              <w:rPr>
                <w:rFonts w:ascii="Times New Roman" w:hAnsi="Times New Roman" w:eastAsia="Times New Roman" w:cs="Times New Roman"/>
                <w:spacing w:val="-12"/>
                <w:position w:val="-2"/>
                <w:sz w:val="16"/>
                <w:szCs w:val="16"/>
              </w:rPr>
              <w:t xml:space="preserve"> </w:t>
            </w:r>
            <w:r>
              <w:rPr>
                <w:spacing w:val="6"/>
              </w:rPr>
              <w:t>、</w:t>
            </w:r>
            <w:r>
              <w:rPr>
                <w:rFonts w:ascii="Times New Roman" w:hAnsi="Times New Roman" w:eastAsia="Times New Roman" w:cs="Times New Roman"/>
              </w:rPr>
              <w:t>SS</w:t>
            </w:r>
            <w:r>
              <w:rPr>
                <w:rFonts w:ascii="Times New Roman" w:hAnsi="Times New Roman" w:eastAsia="Times New Roman" w:cs="Times New Roman"/>
                <w:spacing w:val="-32"/>
              </w:rPr>
              <w:t xml:space="preserve"> </w:t>
            </w:r>
            <w:r>
              <w:rPr>
                <w:spacing w:val="6"/>
              </w:rPr>
              <w:t>、氨氮等常规污染物，具有良好的可生化性，</w:t>
            </w:r>
            <w:r>
              <w:rPr>
                <w:spacing w:val="5"/>
              </w:rPr>
              <w:t>站内已</w:t>
            </w:r>
            <w:r>
              <w:rPr>
                <w:spacing w:val="7"/>
              </w:rPr>
              <w:t>建生化池</w:t>
            </w:r>
            <w:r>
              <w:rPr>
                <w:spacing w:val="-14"/>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9"/>
              </w:rPr>
              <w:t xml:space="preserve"> </w:t>
            </w:r>
            <w:r>
              <w:rPr>
                <w:spacing w:val="7"/>
              </w:rPr>
              <w:t>座，处理能力为</w:t>
            </w:r>
            <w:r>
              <w:rPr>
                <w:spacing w:val="-27"/>
              </w:rPr>
              <w:t xml:space="preserve"> </w:t>
            </w:r>
            <w:r>
              <w:rPr>
                <w:rFonts w:ascii="Times New Roman" w:hAnsi="Times New Roman" w:eastAsia="Times New Roman" w:cs="Times New Roman"/>
                <w:spacing w:val="7"/>
              </w:rPr>
              <w:t>15m</w:t>
            </w:r>
            <w:r>
              <w:rPr>
                <w:rFonts w:ascii="Times New Roman" w:hAnsi="Times New Roman" w:eastAsia="Times New Roman" w:cs="Times New Roman"/>
                <w:spacing w:val="7"/>
                <w:position w:val="8"/>
                <w:sz w:val="16"/>
                <w:szCs w:val="16"/>
              </w:rPr>
              <w:t>3</w:t>
            </w:r>
            <w:r>
              <w:rPr>
                <w:rFonts w:ascii="Times New Roman" w:hAnsi="Times New Roman" w:eastAsia="Times New Roman" w:cs="Times New Roman"/>
                <w:spacing w:val="7"/>
              </w:rPr>
              <w:t>/d</w:t>
            </w:r>
            <w:r>
              <w:rPr>
                <w:rFonts w:ascii="Times New Roman" w:hAnsi="Times New Roman" w:eastAsia="Times New Roman" w:cs="Times New Roman"/>
                <w:spacing w:val="-27"/>
              </w:rPr>
              <w:t xml:space="preserve"> </w:t>
            </w:r>
            <w:r>
              <w:rPr>
                <w:spacing w:val="7"/>
              </w:rPr>
              <w:t>，满足站内生活污水处理需求，同</w:t>
            </w:r>
            <w:r>
              <w:rPr>
                <w:spacing w:val="13"/>
              </w:rPr>
              <w:t>时采用水解酸化工艺，属于可行技术，出水水质可满足《污水综合排</w:t>
            </w:r>
            <w:r>
              <w:rPr>
                <w:spacing w:val="6"/>
              </w:rPr>
              <w:t>放标准》（</w:t>
            </w:r>
            <w:r>
              <w:rPr>
                <w:rFonts w:ascii="Times New Roman" w:hAnsi="Times New Roman" w:eastAsia="Times New Roman" w:cs="Times New Roman"/>
              </w:rPr>
              <w:t>GB</w:t>
            </w:r>
            <w:r>
              <w:rPr>
                <w:rFonts w:ascii="Times New Roman" w:hAnsi="Times New Roman" w:eastAsia="Times New Roman" w:cs="Times New Roman"/>
                <w:spacing w:val="6"/>
              </w:rPr>
              <w:t>8978-</w:t>
            </w:r>
            <w:r>
              <w:rPr>
                <w:rFonts w:ascii="Times New Roman" w:hAnsi="Times New Roman" w:eastAsia="Times New Roman" w:cs="Times New Roman"/>
                <w:spacing w:val="-31"/>
              </w:rPr>
              <w:t xml:space="preserve"> </w:t>
            </w:r>
            <w:r>
              <w:rPr>
                <w:rFonts w:ascii="Times New Roman" w:hAnsi="Times New Roman" w:eastAsia="Times New Roman" w:cs="Times New Roman"/>
                <w:spacing w:val="6"/>
              </w:rPr>
              <w:t>1996</w:t>
            </w:r>
            <w:r>
              <w:rPr>
                <w:spacing w:val="6"/>
              </w:rPr>
              <w:t>）三级排放标准。</w:t>
            </w:r>
          </w:p>
          <w:p w14:paraId="69029B34">
            <w:pPr>
              <w:pStyle w:val="6"/>
              <w:spacing w:before="1" w:line="223" w:lineRule="auto"/>
              <w:ind w:left="626"/>
              <w:outlineLvl w:val="1"/>
            </w:pPr>
            <w:r>
              <w:rPr>
                <w:spacing w:val="8"/>
              </w:rPr>
              <w:t>②生产废水</w:t>
            </w:r>
          </w:p>
          <w:p w14:paraId="1B04AB84">
            <w:pPr>
              <w:pStyle w:val="6"/>
              <w:spacing w:before="154" w:line="340" w:lineRule="auto"/>
              <w:ind w:left="110" w:right="104" w:firstLine="522"/>
              <w:jc w:val="both"/>
            </w:pPr>
            <w:r>
              <w:rPr>
                <w:spacing w:val="7"/>
              </w:rPr>
              <w:t>项目改扩建后场地冲洗废水最大日排放量约</w:t>
            </w:r>
            <w:r>
              <w:rPr>
                <w:spacing w:val="-42"/>
              </w:rPr>
              <w:t xml:space="preserve"> </w:t>
            </w:r>
            <w:r>
              <w:rPr>
                <w:rFonts w:ascii="Times New Roman" w:hAnsi="Times New Roman" w:eastAsia="Times New Roman" w:cs="Times New Roman"/>
                <w:spacing w:val="7"/>
              </w:rPr>
              <w:t>0.599m/</w:t>
            </w:r>
            <w:r>
              <w:rPr>
                <w:rFonts w:ascii="Times New Roman" w:hAnsi="Times New Roman" w:eastAsia="Times New Roman" w:cs="Times New Roman"/>
                <w:spacing w:val="7"/>
                <w:position w:val="8"/>
                <w:sz w:val="16"/>
                <w:szCs w:val="16"/>
              </w:rPr>
              <w:t>3</w:t>
            </w:r>
            <w:r>
              <w:rPr>
                <w:rFonts w:ascii="Times New Roman" w:hAnsi="Times New Roman" w:eastAsia="Times New Roman" w:cs="Times New Roman"/>
                <w:spacing w:val="7"/>
              </w:rPr>
              <w:t>d</w:t>
            </w:r>
            <w:r>
              <w:rPr>
                <w:rFonts w:ascii="Times New Roman" w:hAnsi="Times New Roman" w:eastAsia="Times New Roman" w:cs="Times New Roman"/>
                <w:spacing w:val="-29"/>
              </w:rPr>
              <w:t xml:space="preserve"> </w:t>
            </w:r>
            <w:r>
              <w:rPr>
                <w:spacing w:val="7"/>
              </w:rPr>
              <w:t>，主要污染因子为</w:t>
            </w:r>
            <w:r>
              <w:rPr>
                <w:spacing w:val="-42"/>
              </w:rPr>
              <w:t xml:space="preserve"> </w:t>
            </w:r>
            <w:r>
              <w:rPr>
                <w:rFonts w:ascii="Times New Roman" w:hAnsi="Times New Roman" w:eastAsia="Times New Roman" w:cs="Times New Roman"/>
              </w:rPr>
              <w:t>SS</w:t>
            </w:r>
            <w:r>
              <w:rPr>
                <w:rFonts w:ascii="Times New Roman" w:hAnsi="Times New Roman" w:eastAsia="Times New Roman" w:cs="Times New Roman"/>
                <w:spacing w:val="-35"/>
              </w:rPr>
              <w:t xml:space="preserve"> </w:t>
            </w:r>
            <w:r>
              <w:rPr>
                <w:spacing w:val="7"/>
              </w:rPr>
              <w:t>、石油类等常规污染物，站内已建隔油池</w:t>
            </w:r>
            <w:r>
              <w:rPr>
                <w:spacing w:val="-29"/>
              </w:rPr>
              <w:t xml:space="preserve"> </w:t>
            </w:r>
            <w:r>
              <w:rPr>
                <w:rFonts w:ascii="Times New Roman" w:hAnsi="Times New Roman" w:eastAsia="Times New Roman" w:cs="Times New Roman"/>
                <w:spacing w:val="7"/>
              </w:rPr>
              <w:t xml:space="preserve">1 </w:t>
            </w:r>
            <w:r>
              <w:rPr>
                <w:spacing w:val="7"/>
              </w:rPr>
              <w:t>座，处理能力为</w:t>
            </w:r>
            <w:r>
              <w:rPr>
                <w:rFonts w:ascii="Times New Roman" w:hAnsi="Times New Roman" w:eastAsia="Times New Roman" w:cs="Times New Roman"/>
                <w:spacing w:val="7"/>
              </w:rPr>
              <w:t>30m</w:t>
            </w:r>
            <w:r>
              <w:rPr>
                <w:rFonts w:ascii="Times New Roman" w:hAnsi="Times New Roman" w:eastAsia="Times New Roman" w:cs="Times New Roman"/>
                <w:spacing w:val="7"/>
                <w:position w:val="8"/>
                <w:sz w:val="16"/>
                <w:szCs w:val="16"/>
              </w:rPr>
              <w:t>3</w:t>
            </w:r>
            <w:r>
              <w:rPr>
                <w:rFonts w:ascii="Times New Roman" w:hAnsi="Times New Roman" w:eastAsia="Times New Roman" w:cs="Times New Roman"/>
                <w:spacing w:val="7"/>
              </w:rPr>
              <w:t>/d</w:t>
            </w:r>
            <w:r>
              <w:rPr>
                <w:rFonts w:ascii="Times New Roman" w:hAnsi="Times New Roman" w:eastAsia="Times New Roman" w:cs="Times New Roman"/>
                <w:spacing w:val="-29"/>
              </w:rPr>
              <w:t xml:space="preserve"> </w:t>
            </w:r>
            <w:r>
              <w:rPr>
                <w:spacing w:val="7"/>
              </w:rPr>
              <w:t>，在考虑初期雨水存在的情况下（约</w:t>
            </w:r>
            <w:r>
              <w:rPr>
                <w:spacing w:val="-43"/>
              </w:rPr>
              <w:t xml:space="preserve"> </w:t>
            </w:r>
            <w:r>
              <w:rPr>
                <w:rFonts w:ascii="Times New Roman" w:hAnsi="Times New Roman" w:eastAsia="Times New Roman" w:cs="Times New Roman"/>
                <w:spacing w:val="7"/>
              </w:rPr>
              <w:t>5.33m</w:t>
            </w:r>
            <w:r>
              <w:rPr>
                <w:rFonts w:ascii="Times New Roman" w:hAnsi="Times New Roman" w:eastAsia="Times New Roman" w:cs="Times New Roman"/>
                <w:spacing w:val="7"/>
                <w:position w:val="8"/>
                <w:sz w:val="16"/>
                <w:szCs w:val="16"/>
              </w:rPr>
              <w:t>3</w:t>
            </w:r>
            <w:r>
              <w:rPr>
                <w:rFonts w:ascii="Times New Roman" w:hAnsi="Times New Roman" w:eastAsia="Times New Roman" w:cs="Times New Roman"/>
                <w:spacing w:val="7"/>
              </w:rPr>
              <w:t>/</w:t>
            </w:r>
            <w:r>
              <w:rPr>
                <w:spacing w:val="7"/>
              </w:rPr>
              <w:t>次</w:t>
            </w:r>
            <w:r>
              <w:rPr>
                <w:spacing w:val="20"/>
              </w:rPr>
              <w:t>），</w:t>
            </w:r>
            <w:r>
              <w:rPr>
                <w:spacing w:val="7"/>
              </w:rPr>
              <w:t>满足站内生</w:t>
            </w:r>
            <w:r>
              <w:rPr>
                <w:spacing w:val="13"/>
              </w:rPr>
              <w:t>产废水及初期雨水处理需求，同时采用三段式隔油沉淀工艺，出水水</w:t>
            </w:r>
            <w:r>
              <w:rPr>
                <w:spacing w:val="7"/>
              </w:rPr>
              <w:t>质可满足《污水综合排放标准》（</w:t>
            </w:r>
            <w:r>
              <w:rPr>
                <w:rFonts w:ascii="Times New Roman" w:hAnsi="Times New Roman" w:eastAsia="Times New Roman" w:cs="Times New Roman"/>
              </w:rPr>
              <w:t>GB</w:t>
            </w:r>
            <w:r>
              <w:rPr>
                <w:rFonts w:ascii="Times New Roman" w:hAnsi="Times New Roman" w:eastAsia="Times New Roman" w:cs="Times New Roman"/>
                <w:spacing w:val="7"/>
              </w:rPr>
              <w:t>8978-</w:t>
            </w:r>
            <w:r>
              <w:rPr>
                <w:rFonts w:ascii="Times New Roman" w:hAnsi="Times New Roman" w:eastAsia="Times New Roman" w:cs="Times New Roman"/>
                <w:spacing w:val="-24"/>
              </w:rPr>
              <w:t xml:space="preserve"> </w:t>
            </w:r>
            <w:r>
              <w:rPr>
                <w:rFonts w:ascii="Times New Roman" w:hAnsi="Times New Roman" w:eastAsia="Times New Roman" w:cs="Times New Roman"/>
                <w:spacing w:val="7"/>
              </w:rPr>
              <w:t>1996</w:t>
            </w:r>
            <w:r>
              <w:rPr>
                <w:spacing w:val="7"/>
              </w:rPr>
              <w:t>）三级排放标准。</w:t>
            </w:r>
          </w:p>
          <w:p w14:paraId="6DADFC90">
            <w:pPr>
              <w:pStyle w:val="6"/>
              <w:spacing w:before="1" w:line="223" w:lineRule="auto"/>
              <w:ind w:left="626"/>
            </w:pPr>
            <w:r>
              <w:rPr>
                <w:spacing w:val="9"/>
              </w:rPr>
              <w:t>③污水处理厂依托可行性分析</w:t>
            </w:r>
          </w:p>
          <w:p w14:paraId="720A8B58">
            <w:pPr>
              <w:pStyle w:val="6"/>
              <w:spacing w:before="153" w:line="340" w:lineRule="auto"/>
              <w:ind w:left="109" w:right="36" w:firstLine="522"/>
            </w:pPr>
            <w:r>
              <w:rPr>
                <w:spacing w:val="9"/>
              </w:rPr>
              <w:t>大九污水处理厂位于跳磴镇沟口村，建成规模为</w:t>
            </w:r>
            <w:r>
              <w:rPr>
                <w:spacing w:val="-46"/>
              </w:rPr>
              <w:t xml:space="preserve"> </w:t>
            </w:r>
            <w:r>
              <w:rPr>
                <w:rFonts w:ascii="Times New Roman" w:hAnsi="Times New Roman" w:eastAsia="Times New Roman" w:cs="Times New Roman"/>
                <w:spacing w:val="9"/>
              </w:rPr>
              <w:t>7</w:t>
            </w:r>
            <w:r>
              <w:rPr>
                <w:rFonts w:ascii="Times New Roman" w:hAnsi="Times New Roman" w:eastAsia="Times New Roman" w:cs="Times New Roman"/>
                <w:spacing w:val="21"/>
                <w:w w:val="101"/>
              </w:rPr>
              <w:t xml:space="preserve"> </w:t>
            </w:r>
            <w:r>
              <w:rPr>
                <w:spacing w:val="9"/>
              </w:rPr>
              <w:t>万</w:t>
            </w:r>
            <w:r>
              <w:rPr>
                <w:spacing w:val="-53"/>
              </w:rPr>
              <w:t xml:space="preserve"> </w:t>
            </w:r>
            <w:r>
              <w:rPr>
                <w:rFonts w:ascii="Times New Roman" w:hAnsi="Times New Roman" w:eastAsia="Times New Roman" w:cs="Times New Roman"/>
                <w:spacing w:val="9"/>
              </w:rPr>
              <w:t>m</w:t>
            </w:r>
            <w:r>
              <w:rPr>
                <w:rFonts w:ascii="Times New Roman" w:hAnsi="Times New Roman" w:eastAsia="Times New Roman" w:cs="Times New Roman"/>
                <w:spacing w:val="9"/>
                <w:position w:val="8"/>
                <w:sz w:val="16"/>
                <w:szCs w:val="16"/>
              </w:rPr>
              <w:t>3</w:t>
            </w:r>
            <w:r>
              <w:rPr>
                <w:rFonts w:ascii="Times New Roman" w:hAnsi="Times New Roman" w:eastAsia="Times New Roman" w:cs="Times New Roman"/>
                <w:spacing w:val="8"/>
              </w:rPr>
              <w:t>/d</w:t>
            </w:r>
            <w:r>
              <w:rPr>
                <w:rFonts w:ascii="Times New Roman" w:hAnsi="Times New Roman" w:eastAsia="Times New Roman" w:cs="Times New Roman"/>
                <w:spacing w:val="-27"/>
              </w:rPr>
              <w:t xml:space="preserve"> </w:t>
            </w:r>
            <w:r>
              <w:rPr>
                <w:spacing w:val="8"/>
              </w:rPr>
              <w:t>，设计</w:t>
            </w:r>
            <w:r>
              <w:rPr>
                <w:spacing w:val="13"/>
              </w:rPr>
              <w:t>服务范围为大渡口区跳磴镇（主要为生活污水）、九龙坡区华岩镇和</w:t>
            </w:r>
            <w:r>
              <w:rPr>
                <w:spacing w:val="6"/>
              </w:rPr>
              <w:t>中梁山街道（包括工业废水和生活污水）。大九污水处理厂采用</w:t>
            </w:r>
            <w:r>
              <w:rPr>
                <w:spacing w:val="-30"/>
              </w:rPr>
              <w:t xml:space="preserve"> </w:t>
            </w:r>
            <w:r>
              <w:rPr>
                <w:rFonts w:ascii="Times New Roman" w:hAnsi="Times New Roman" w:eastAsia="Times New Roman" w:cs="Times New Roman"/>
              </w:rPr>
              <w:t>CAST</w:t>
            </w:r>
            <w:r>
              <w:rPr>
                <w:spacing w:val="-3"/>
              </w:rPr>
              <w:t>工</w:t>
            </w:r>
            <w:r>
              <w:rPr>
                <w:spacing w:val="-47"/>
              </w:rPr>
              <w:t xml:space="preserve"> </w:t>
            </w:r>
            <w:r>
              <w:rPr>
                <w:spacing w:val="-3"/>
              </w:rPr>
              <w:t>艺</w:t>
            </w:r>
            <w:r>
              <w:rPr>
                <w:spacing w:val="-33"/>
              </w:rPr>
              <w:t xml:space="preserve"> </w:t>
            </w:r>
            <w:r>
              <w:rPr>
                <w:spacing w:val="-3"/>
              </w:rPr>
              <w:t>，</w:t>
            </w:r>
            <w:r>
              <w:rPr>
                <w:spacing w:val="-26"/>
              </w:rPr>
              <w:t xml:space="preserve"> </w:t>
            </w:r>
            <w:r>
              <w:rPr>
                <w:spacing w:val="-3"/>
              </w:rPr>
              <w:t>出</w:t>
            </w:r>
            <w:r>
              <w:rPr>
                <w:spacing w:val="-52"/>
              </w:rPr>
              <w:t xml:space="preserve"> </w:t>
            </w:r>
            <w:r>
              <w:rPr>
                <w:spacing w:val="-3"/>
              </w:rPr>
              <w:t>水</w:t>
            </w:r>
            <w:r>
              <w:rPr>
                <w:spacing w:val="-54"/>
              </w:rPr>
              <w:t xml:space="preserve"> </w:t>
            </w:r>
            <w:r>
              <w:rPr>
                <w:spacing w:val="-3"/>
              </w:rPr>
              <w:t>水</w:t>
            </w:r>
            <w:r>
              <w:rPr>
                <w:spacing w:val="-53"/>
              </w:rPr>
              <w:t xml:space="preserve"> </w:t>
            </w:r>
            <w:r>
              <w:rPr>
                <w:spacing w:val="-3"/>
              </w:rPr>
              <w:t>质达</w:t>
            </w:r>
            <w:r>
              <w:rPr>
                <w:spacing w:val="-48"/>
              </w:rPr>
              <w:t xml:space="preserve"> </w:t>
            </w:r>
            <w:r>
              <w:rPr>
                <w:spacing w:val="-3"/>
              </w:rPr>
              <w:t>到</w:t>
            </w:r>
            <w:r>
              <w:rPr>
                <w:spacing w:val="-60"/>
              </w:rPr>
              <w:t xml:space="preserve"> </w:t>
            </w:r>
            <w:r>
              <w:rPr>
                <w:spacing w:val="-3"/>
              </w:rPr>
              <w:t>《</w:t>
            </w:r>
            <w:r>
              <w:rPr>
                <w:spacing w:val="-29"/>
              </w:rPr>
              <w:t xml:space="preserve"> </w:t>
            </w:r>
            <w:r>
              <w:rPr>
                <w:spacing w:val="-3"/>
              </w:rPr>
              <w:t>城</w:t>
            </w:r>
            <w:r>
              <w:rPr>
                <w:spacing w:val="-55"/>
              </w:rPr>
              <w:t xml:space="preserve"> </w:t>
            </w:r>
            <w:r>
              <w:rPr>
                <w:spacing w:val="-3"/>
              </w:rPr>
              <w:t>镇</w:t>
            </w:r>
            <w:r>
              <w:rPr>
                <w:spacing w:val="-53"/>
              </w:rPr>
              <w:t xml:space="preserve"> </w:t>
            </w:r>
            <w:r>
              <w:rPr>
                <w:spacing w:val="-3"/>
              </w:rPr>
              <w:t>污</w:t>
            </w:r>
            <w:r>
              <w:rPr>
                <w:spacing w:val="-51"/>
              </w:rPr>
              <w:t xml:space="preserve"> </w:t>
            </w:r>
            <w:r>
              <w:rPr>
                <w:spacing w:val="-3"/>
              </w:rPr>
              <w:t>水</w:t>
            </w:r>
            <w:r>
              <w:rPr>
                <w:spacing w:val="-50"/>
              </w:rPr>
              <w:t xml:space="preserve"> </w:t>
            </w:r>
            <w:r>
              <w:rPr>
                <w:spacing w:val="-3"/>
              </w:rPr>
              <w:t>处</w:t>
            </w:r>
            <w:r>
              <w:rPr>
                <w:spacing w:val="-54"/>
              </w:rPr>
              <w:t xml:space="preserve"> </w:t>
            </w:r>
            <w:r>
              <w:rPr>
                <w:spacing w:val="-3"/>
              </w:rPr>
              <w:t>理</w:t>
            </w:r>
            <w:r>
              <w:rPr>
                <w:spacing w:val="-51"/>
              </w:rPr>
              <w:t xml:space="preserve"> </w:t>
            </w:r>
            <w:r>
              <w:rPr>
                <w:spacing w:val="-3"/>
              </w:rPr>
              <w:t>厂</w:t>
            </w:r>
            <w:r>
              <w:rPr>
                <w:spacing w:val="-53"/>
              </w:rPr>
              <w:t xml:space="preserve"> </w:t>
            </w:r>
            <w:r>
              <w:rPr>
                <w:spacing w:val="-3"/>
              </w:rPr>
              <w:t>污</w:t>
            </w:r>
            <w:r>
              <w:rPr>
                <w:spacing w:val="-51"/>
              </w:rPr>
              <w:t xml:space="preserve"> </w:t>
            </w:r>
            <w:r>
              <w:rPr>
                <w:spacing w:val="-3"/>
              </w:rPr>
              <w:t>染</w:t>
            </w:r>
            <w:r>
              <w:rPr>
                <w:spacing w:val="-54"/>
              </w:rPr>
              <w:t xml:space="preserve"> </w:t>
            </w:r>
            <w:r>
              <w:rPr>
                <w:spacing w:val="-3"/>
              </w:rPr>
              <w:t>物</w:t>
            </w:r>
            <w:r>
              <w:rPr>
                <w:spacing w:val="-55"/>
              </w:rPr>
              <w:t xml:space="preserve"> </w:t>
            </w:r>
            <w:r>
              <w:rPr>
                <w:spacing w:val="-3"/>
              </w:rPr>
              <w:t>排</w:t>
            </w:r>
            <w:r>
              <w:rPr>
                <w:spacing w:val="-55"/>
              </w:rPr>
              <w:t xml:space="preserve"> </w:t>
            </w:r>
            <w:r>
              <w:rPr>
                <w:spacing w:val="-3"/>
              </w:rPr>
              <w:t>放</w:t>
            </w:r>
            <w:r>
              <w:rPr>
                <w:spacing w:val="-53"/>
              </w:rPr>
              <w:t xml:space="preserve"> </w:t>
            </w:r>
            <w:r>
              <w:rPr>
                <w:spacing w:val="-3"/>
              </w:rPr>
              <w:t>标</w:t>
            </w:r>
            <w:r>
              <w:rPr>
                <w:spacing w:val="-53"/>
              </w:rPr>
              <w:t xml:space="preserve"> </w:t>
            </w:r>
            <w:r>
              <w:rPr>
                <w:spacing w:val="-3"/>
              </w:rPr>
              <w:t>准</w:t>
            </w:r>
            <w:r>
              <w:rPr>
                <w:spacing w:val="-40"/>
              </w:rPr>
              <w:t xml:space="preserve"> </w:t>
            </w:r>
            <w:r>
              <w:rPr>
                <w:spacing w:val="-3"/>
              </w:rPr>
              <w:t>》</w:t>
            </w:r>
            <w:r>
              <w:t xml:space="preserve"> </w:t>
            </w:r>
            <w:r>
              <w:rPr>
                <w:spacing w:val="7"/>
              </w:rPr>
              <w:t>（</w:t>
            </w:r>
            <w:r>
              <w:rPr>
                <w:rFonts w:ascii="Times New Roman" w:hAnsi="Times New Roman" w:eastAsia="Times New Roman" w:cs="Times New Roman"/>
              </w:rPr>
              <w:t>GB</w:t>
            </w:r>
            <w:r>
              <w:rPr>
                <w:rFonts w:ascii="Times New Roman" w:hAnsi="Times New Roman" w:eastAsia="Times New Roman" w:cs="Times New Roman"/>
                <w:spacing w:val="7"/>
              </w:rPr>
              <w:t>18918-2002</w:t>
            </w:r>
            <w:r>
              <w:rPr>
                <w:spacing w:val="7"/>
              </w:rPr>
              <w:t>）一级</w:t>
            </w:r>
            <w:r>
              <w:rPr>
                <w:spacing w:val="-47"/>
              </w:rPr>
              <w:t xml:space="preserve"> </w:t>
            </w:r>
            <w:r>
              <w:rPr>
                <w:rFonts w:ascii="Times New Roman" w:hAnsi="Times New Roman" w:eastAsia="Times New Roman" w:cs="Times New Roman"/>
                <w:spacing w:val="7"/>
              </w:rPr>
              <w:t xml:space="preserve">A </w:t>
            </w:r>
            <w:r>
              <w:rPr>
                <w:spacing w:val="7"/>
              </w:rPr>
              <w:t>类标准，尾水排入跳磴河后下游约</w:t>
            </w:r>
            <w:r>
              <w:rPr>
                <w:spacing w:val="-46"/>
              </w:rPr>
              <w:t xml:space="preserve"> </w:t>
            </w:r>
            <w:r>
              <w:rPr>
                <w:rFonts w:ascii="Times New Roman" w:hAnsi="Times New Roman" w:eastAsia="Times New Roman" w:cs="Times New Roman"/>
                <w:spacing w:val="7"/>
              </w:rPr>
              <w:t>6.5</w:t>
            </w:r>
            <w:r>
              <w:rPr>
                <w:rFonts w:ascii="Times New Roman" w:hAnsi="Times New Roman" w:eastAsia="Times New Roman" w:cs="Times New Roman"/>
              </w:rPr>
              <w:t>km</w:t>
            </w:r>
            <w:r>
              <w:rPr>
                <w:rFonts w:ascii="Times New Roman" w:hAnsi="Times New Roman" w:eastAsia="Times New Roman" w:cs="Times New Roman"/>
                <w:spacing w:val="7"/>
              </w:rPr>
              <w:t xml:space="preserve"> </w:t>
            </w:r>
            <w:r>
              <w:rPr>
                <w:spacing w:val="7"/>
              </w:rPr>
              <w:t>汇入长江。根据调查，大九污水处理厂目前最高日进水量已超负荷运行，</w:t>
            </w:r>
            <w:r>
              <w:rPr>
                <w:spacing w:val="6"/>
              </w:rPr>
              <w:t>现阶段已开展三期扩建工程的建设，扩建规模为</w:t>
            </w:r>
            <w:r>
              <w:rPr>
                <w:spacing w:val="-37"/>
              </w:rPr>
              <w:t xml:space="preserve"> </w:t>
            </w:r>
            <w:r>
              <w:rPr>
                <w:rFonts w:ascii="Times New Roman" w:hAnsi="Times New Roman" w:eastAsia="Times New Roman" w:cs="Times New Roman"/>
                <w:spacing w:val="6"/>
              </w:rPr>
              <w:t>3</w:t>
            </w:r>
            <w:r>
              <w:rPr>
                <w:rFonts w:ascii="Times New Roman" w:hAnsi="Times New Roman" w:eastAsia="Times New Roman" w:cs="Times New Roman"/>
                <w:spacing w:val="18"/>
                <w:w w:val="101"/>
              </w:rPr>
              <w:t xml:space="preserve"> </w:t>
            </w:r>
            <w:r>
              <w:rPr>
                <w:spacing w:val="6"/>
              </w:rPr>
              <w:t>万</w:t>
            </w:r>
            <w:r>
              <w:rPr>
                <w:spacing w:val="-58"/>
              </w:rPr>
              <w:t xml:space="preserve"> </w:t>
            </w:r>
            <w:r>
              <w:rPr>
                <w:rFonts w:ascii="Times New Roman" w:hAnsi="Times New Roman" w:eastAsia="Times New Roman" w:cs="Times New Roman"/>
                <w:spacing w:val="6"/>
              </w:rPr>
              <w:t>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6"/>
              </w:rPr>
              <w:t>/d</w:t>
            </w:r>
            <w:r>
              <w:rPr>
                <w:rFonts w:ascii="Times New Roman" w:hAnsi="Times New Roman" w:eastAsia="Times New Roman" w:cs="Times New Roman"/>
                <w:spacing w:val="-32"/>
              </w:rPr>
              <w:t xml:space="preserve"> </w:t>
            </w:r>
            <w:r>
              <w:rPr>
                <w:spacing w:val="6"/>
              </w:rPr>
              <w:t>，计划</w:t>
            </w:r>
            <w:r>
              <w:rPr>
                <w:spacing w:val="-54"/>
              </w:rPr>
              <w:t xml:space="preserve"> </w:t>
            </w:r>
            <w:r>
              <w:rPr>
                <w:rFonts w:ascii="Times New Roman" w:hAnsi="Times New Roman" w:eastAsia="Times New Roman" w:cs="Times New Roman"/>
                <w:spacing w:val="6"/>
              </w:rPr>
              <w:t>2026</w:t>
            </w:r>
            <w:r>
              <w:rPr>
                <w:spacing w:val="1"/>
              </w:rPr>
              <w:t>年</w:t>
            </w:r>
            <w:r>
              <w:rPr>
                <w:spacing w:val="-30"/>
              </w:rPr>
              <w:t xml:space="preserve"> </w:t>
            </w:r>
            <w:r>
              <w:rPr>
                <w:rFonts w:ascii="Times New Roman" w:hAnsi="Times New Roman" w:eastAsia="Times New Roman" w:cs="Times New Roman"/>
                <w:spacing w:val="1"/>
              </w:rPr>
              <w:t>12</w:t>
            </w:r>
            <w:r>
              <w:rPr>
                <w:rFonts w:ascii="Times New Roman" w:hAnsi="Times New Roman" w:eastAsia="Times New Roman" w:cs="Times New Roman"/>
                <w:spacing w:val="21"/>
                <w:w w:val="101"/>
              </w:rPr>
              <w:t xml:space="preserve"> </w:t>
            </w:r>
            <w:r>
              <w:rPr>
                <w:spacing w:val="1"/>
              </w:rPr>
              <w:t>月建成投用。</w:t>
            </w:r>
          </w:p>
          <w:p w14:paraId="211CAB61">
            <w:pPr>
              <w:pStyle w:val="6"/>
              <w:spacing w:line="339" w:lineRule="auto"/>
              <w:ind w:left="111" w:right="104" w:firstLine="518"/>
              <w:jc w:val="both"/>
            </w:pPr>
            <w:r>
              <w:rPr>
                <w:spacing w:val="7"/>
              </w:rPr>
              <w:t>本项目位于九龙坡区石堰村八社</w:t>
            </w:r>
            <w:r>
              <w:rPr>
                <w:rFonts w:ascii="Times New Roman" w:hAnsi="Times New Roman" w:eastAsia="Times New Roman" w:cs="Times New Roman"/>
                <w:spacing w:val="7"/>
              </w:rPr>
              <w:t>(</w:t>
            </w:r>
            <w:r>
              <w:rPr>
                <w:spacing w:val="7"/>
              </w:rPr>
              <w:t>乔鹤佳苑小区旁</w:t>
            </w:r>
            <w:r>
              <w:rPr>
                <w:rFonts w:ascii="Times New Roman" w:hAnsi="Times New Roman" w:eastAsia="Times New Roman" w:cs="Times New Roman"/>
                <w:spacing w:val="7"/>
              </w:rPr>
              <w:t>)</w:t>
            </w:r>
            <w:r>
              <w:rPr>
                <w:spacing w:val="7"/>
              </w:rPr>
              <w:t>，属于大九污水</w:t>
            </w:r>
            <w:r>
              <w:rPr>
                <w:spacing w:val="13"/>
              </w:rPr>
              <w:t>处理厂服务范围内。本次改扩建后前后废水量变化量极小，不会对现有大九污水处理厂的正常运行产生影响，且大九污水处理厂三期工程</w:t>
            </w:r>
            <w:r>
              <w:rPr>
                <w:spacing w:val="9"/>
              </w:rPr>
              <w:t>即将建设完成并投入运行，可满足本项目污废水的处理受纳需求。</w:t>
            </w:r>
          </w:p>
          <w:p w14:paraId="3206BE1F">
            <w:pPr>
              <w:pStyle w:val="6"/>
              <w:spacing w:before="1" w:line="340" w:lineRule="auto"/>
              <w:ind w:left="109" w:right="101" w:firstLine="522"/>
              <w:jc w:val="both"/>
            </w:pPr>
            <w:r>
              <w:rPr>
                <w:spacing w:val="13"/>
              </w:rPr>
              <w:t>综上所述，项目经生化处理后的生活污水与经隔油沉淀处理后的</w:t>
            </w:r>
            <w:r>
              <w:rPr>
                <w:spacing w:val="22"/>
              </w:rPr>
              <w:t>生产废水混合达标排放至大九污水处理厂进行深度处理后排入跳蹬</w:t>
            </w:r>
            <w:r>
              <w:rPr>
                <w:spacing w:val="13"/>
              </w:rPr>
              <w:t>河，排放废水治理措施合理可行，对地表水环境影响很小，环境可接</w:t>
            </w:r>
            <w:r>
              <w:rPr>
                <w:spacing w:val="-1"/>
              </w:rPr>
              <w:t>受。</w:t>
            </w:r>
          </w:p>
          <w:p w14:paraId="4BAFE259">
            <w:pPr>
              <w:pStyle w:val="6"/>
              <w:spacing w:before="1" w:line="223" w:lineRule="auto"/>
              <w:ind w:left="626"/>
            </w:pPr>
            <w:r>
              <w:rPr>
                <w:spacing w:val="9"/>
              </w:rPr>
              <w:t>④初期雨水收集沟（渠）的设置要求</w:t>
            </w:r>
          </w:p>
        </w:tc>
      </w:tr>
    </w:tbl>
    <w:p w14:paraId="1FF48DA9">
      <w:pPr>
        <w:pStyle w:val="2"/>
        <w:rPr>
          <w:sz w:val="21"/>
        </w:rPr>
      </w:pPr>
    </w:p>
    <w:p w14:paraId="7F71A07B">
      <w:pPr>
        <w:rPr>
          <w:sz w:val="21"/>
          <w:szCs w:val="21"/>
        </w:rPr>
        <w:sectPr>
          <w:footerReference r:id="rId84" w:type="default"/>
          <w:pgSz w:w="11907" w:h="16840"/>
          <w:pgMar w:top="400" w:right="1453" w:bottom="1008" w:left="1453" w:header="0" w:footer="770" w:gutter="0"/>
          <w:cols w:space="720" w:num="1"/>
        </w:sectPr>
      </w:pPr>
    </w:p>
    <w:p w14:paraId="35F96FBD">
      <w:pPr>
        <w:spacing w:before="19"/>
      </w:pPr>
    </w:p>
    <w:p w14:paraId="59EF8D00">
      <w:pPr>
        <w:spacing w:before="19"/>
      </w:pPr>
    </w:p>
    <w:p w14:paraId="79508E90">
      <w:pPr>
        <w:spacing w:before="19"/>
      </w:pPr>
    </w:p>
    <w:p w14:paraId="0E058873">
      <w:pPr>
        <w:spacing w:before="18"/>
      </w:pPr>
    </w:p>
    <w:p w14:paraId="264F85E2">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8"/>
        <w:gridCol w:w="8127"/>
      </w:tblGrid>
      <w:tr w14:paraId="0656D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94" w:hRule="atLeast"/>
        </w:trPr>
        <w:tc>
          <w:tcPr>
            <w:tcW w:w="858" w:type="dxa"/>
            <w:tcBorders>
              <w:right w:val="single" w:color="000000" w:sz="2" w:space="0"/>
            </w:tcBorders>
            <w:vAlign w:val="top"/>
          </w:tcPr>
          <w:p w14:paraId="3CBE33A4">
            <w:pPr>
              <w:rPr>
                <w:rFonts w:ascii="Arial"/>
                <w:sz w:val="21"/>
              </w:rPr>
            </w:pPr>
          </w:p>
        </w:tc>
        <w:tc>
          <w:tcPr>
            <w:tcW w:w="8127" w:type="dxa"/>
            <w:tcBorders>
              <w:left w:val="single" w:color="000000" w:sz="2" w:space="0"/>
            </w:tcBorders>
            <w:vAlign w:val="top"/>
          </w:tcPr>
          <w:p w14:paraId="2DAF6C7D">
            <w:pPr>
              <w:pStyle w:val="6"/>
              <w:spacing w:before="149" w:line="340" w:lineRule="auto"/>
              <w:ind w:left="109" w:right="36" w:firstLine="520"/>
            </w:pPr>
            <w:r>
              <w:rPr>
                <w:spacing w:val="13"/>
              </w:rPr>
              <w:t>站内已设置截流沟，截流沟围绕站内所有可能发生油品泄漏的区</w:t>
            </w:r>
            <w:r>
              <w:rPr>
                <w:spacing w:val="7"/>
              </w:rPr>
              <w:t>域设置，已形成闭合的收集系统，主要包括卸油区、加油区及油罐区，</w:t>
            </w:r>
            <w:r>
              <w:rPr>
                <w:spacing w:val="14"/>
              </w:rPr>
              <w:t>采用明沟形式，沟底与沟壁已进行防渗处理，防止污染水渗入土壤。</w:t>
            </w:r>
            <w:r>
              <w:rPr>
                <w:spacing w:val="9"/>
              </w:rPr>
              <w:t>截流沟已引至三段式隔油池，可经隔油沉淀处理后排放。</w:t>
            </w:r>
          </w:p>
          <w:p w14:paraId="0AE9457A">
            <w:pPr>
              <w:pStyle w:val="6"/>
              <w:spacing w:line="227" w:lineRule="auto"/>
              <w:ind w:left="640"/>
            </w:pPr>
            <w:r>
              <w:rPr>
                <w:spacing w:val="6"/>
              </w:rPr>
              <w:t>（</w:t>
            </w:r>
            <w:r>
              <w:rPr>
                <w:rFonts w:ascii="Times New Roman" w:hAnsi="Times New Roman" w:eastAsia="Times New Roman" w:cs="Times New Roman"/>
                <w:spacing w:val="6"/>
              </w:rPr>
              <w:t>3</w:t>
            </w:r>
            <w:r>
              <w:rPr>
                <w:spacing w:val="6"/>
              </w:rPr>
              <w:t>）监测计划</w:t>
            </w:r>
          </w:p>
          <w:p w14:paraId="097B55E6">
            <w:pPr>
              <w:pStyle w:val="6"/>
              <w:spacing w:before="149" w:line="340" w:lineRule="auto"/>
              <w:ind w:left="112" w:right="104" w:firstLine="516"/>
            </w:pPr>
            <w:r>
              <w:rPr>
                <w:spacing w:val="6"/>
              </w:rPr>
              <w:t>根据《排污单位自行监测技术指南 总则》（</w:t>
            </w:r>
            <w:r>
              <w:rPr>
                <w:rFonts w:ascii="Times New Roman" w:hAnsi="Times New Roman" w:eastAsia="Times New Roman" w:cs="Times New Roman"/>
              </w:rPr>
              <w:t>HJ</w:t>
            </w:r>
            <w:r>
              <w:rPr>
                <w:rFonts w:ascii="Times New Roman" w:hAnsi="Times New Roman" w:eastAsia="Times New Roman" w:cs="Times New Roman"/>
                <w:spacing w:val="21"/>
              </w:rPr>
              <w:t xml:space="preserve"> </w:t>
            </w:r>
            <w:r>
              <w:rPr>
                <w:rFonts w:ascii="Times New Roman" w:hAnsi="Times New Roman" w:eastAsia="Times New Roman" w:cs="Times New Roman"/>
                <w:spacing w:val="6"/>
              </w:rPr>
              <w:t>819-2017</w:t>
            </w:r>
            <w:r>
              <w:rPr>
                <w:spacing w:val="5"/>
              </w:rPr>
              <w:t>）、《排</w:t>
            </w:r>
            <w:r>
              <w:rPr>
                <w:spacing w:val="11"/>
              </w:rPr>
              <w:t>污单位自行监测技术 指南储油库、加油站》</w:t>
            </w:r>
            <w:r>
              <w:rPr>
                <w:spacing w:val="-86"/>
              </w:rPr>
              <w:t xml:space="preserve"> </w:t>
            </w:r>
            <w:r>
              <w:rPr>
                <w:spacing w:val="11"/>
              </w:rPr>
              <w:t>（</w:t>
            </w:r>
            <w:r>
              <w:rPr>
                <w:rFonts w:ascii="Times New Roman" w:hAnsi="Times New Roman" w:eastAsia="Times New Roman" w:cs="Times New Roman"/>
              </w:rPr>
              <w:t>HJ</w:t>
            </w:r>
            <w:r>
              <w:rPr>
                <w:rFonts w:ascii="Times New Roman" w:hAnsi="Times New Roman" w:eastAsia="Times New Roman" w:cs="Times New Roman"/>
                <w:spacing w:val="11"/>
              </w:rPr>
              <w:t>1249-2022</w:t>
            </w:r>
            <w:r>
              <w:rPr>
                <w:spacing w:val="11"/>
              </w:rPr>
              <w:t>）、《排</w:t>
            </w:r>
            <w:r>
              <w:rPr>
                <w:spacing w:val="5"/>
              </w:rPr>
              <w:t>污许可证申请与核发技术规范 储油库、加油站》（</w:t>
            </w:r>
            <w:r>
              <w:rPr>
                <w:rFonts w:ascii="Times New Roman" w:hAnsi="Times New Roman" w:eastAsia="Times New Roman" w:cs="Times New Roman"/>
              </w:rPr>
              <w:t>HJ</w:t>
            </w:r>
            <w:r>
              <w:rPr>
                <w:rFonts w:ascii="Times New Roman" w:hAnsi="Times New Roman" w:eastAsia="Times New Roman" w:cs="Times New Roman"/>
                <w:spacing w:val="5"/>
              </w:rPr>
              <w:t>1118-2020</w:t>
            </w:r>
            <w:r>
              <w:rPr>
                <w:spacing w:val="-1"/>
              </w:rPr>
              <w:t>），</w:t>
            </w:r>
            <w:r>
              <w:rPr>
                <w:spacing w:val="5"/>
              </w:rPr>
              <w:t>项</w:t>
            </w:r>
            <w:r>
              <w:rPr>
                <w:spacing w:val="8"/>
              </w:rPr>
              <w:t>目运营后生活污水外排的自行监测频次见下表。</w:t>
            </w:r>
          </w:p>
          <w:p w14:paraId="39B4968A">
            <w:pPr>
              <w:pStyle w:val="6"/>
              <w:spacing w:before="1" w:line="225" w:lineRule="auto"/>
              <w:ind w:left="2012"/>
            </w:pPr>
            <w:r>
              <w:rPr>
                <w:spacing w:val="4"/>
              </w:rPr>
              <w:t>表</w:t>
            </w:r>
            <w:r>
              <w:rPr>
                <w:spacing w:val="-46"/>
              </w:rPr>
              <w:t xml:space="preserve"> </w:t>
            </w:r>
            <w:r>
              <w:rPr>
                <w:rFonts w:ascii="Times New Roman" w:hAnsi="Times New Roman" w:eastAsia="Times New Roman" w:cs="Times New Roman"/>
                <w:spacing w:val="4"/>
              </w:rPr>
              <w:t>4.2-</w:t>
            </w:r>
            <w:r>
              <w:rPr>
                <w:rFonts w:ascii="Times New Roman" w:hAnsi="Times New Roman" w:eastAsia="Times New Roman" w:cs="Times New Roman"/>
                <w:spacing w:val="-30"/>
              </w:rPr>
              <w:t xml:space="preserve"> </w:t>
            </w:r>
            <w:r>
              <w:rPr>
                <w:rFonts w:ascii="Times New Roman" w:hAnsi="Times New Roman" w:eastAsia="Times New Roman" w:cs="Times New Roman"/>
                <w:spacing w:val="4"/>
              </w:rPr>
              <w:t xml:space="preserve">11    </w:t>
            </w:r>
            <w:r>
              <w:rPr>
                <w:spacing w:val="4"/>
              </w:rPr>
              <w:t>废水自行监测内容一览表</w:t>
            </w:r>
          </w:p>
          <w:p w14:paraId="4048A3EC">
            <w:pPr>
              <w:spacing w:line="89" w:lineRule="auto"/>
              <w:rPr>
                <w:rFonts w:ascii="Arial"/>
                <w:sz w:val="2"/>
              </w:rPr>
            </w:pPr>
          </w:p>
          <w:tbl>
            <w:tblPr>
              <w:tblStyle w:val="5"/>
              <w:tblW w:w="7906"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2"/>
              <w:gridCol w:w="1811"/>
              <w:gridCol w:w="3585"/>
              <w:gridCol w:w="1428"/>
            </w:tblGrid>
            <w:tr w14:paraId="5361B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082" w:type="dxa"/>
                  <w:vAlign w:val="top"/>
                </w:tcPr>
                <w:p w14:paraId="1FF2BE20">
                  <w:pPr>
                    <w:pStyle w:val="6"/>
                    <w:spacing w:before="37" w:line="223" w:lineRule="auto"/>
                    <w:ind w:left="158" w:right="107" w:hanging="15"/>
                    <w:rPr>
                      <w:sz w:val="22"/>
                      <w:szCs w:val="22"/>
                    </w:rPr>
                  </w:pPr>
                  <w:r>
                    <w:rPr>
                      <w:spacing w:val="-19"/>
                      <w:sz w:val="22"/>
                      <w:szCs w:val="22"/>
                    </w:rPr>
                    <w:t>内</w:t>
                  </w:r>
                  <w:r>
                    <w:rPr>
                      <w:spacing w:val="2"/>
                      <w:sz w:val="22"/>
                      <w:szCs w:val="22"/>
                    </w:rPr>
                    <w:t xml:space="preserve"> </w:t>
                  </w:r>
                  <w:r>
                    <w:rPr>
                      <w:spacing w:val="-19"/>
                      <w:sz w:val="22"/>
                      <w:szCs w:val="22"/>
                    </w:rPr>
                    <w:t>容</w:t>
                  </w:r>
                  <w:r>
                    <w:rPr>
                      <w:sz w:val="22"/>
                      <w:szCs w:val="22"/>
                    </w:rPr>
                    <w:t xml:space="preserve"> </w:t>
                  </w:r>
                  <w:r>
                    <w:rPr>
                      <w:spacing w:val="-19"/>
                      <w:sz w:val="22"/>
                      <w:szCs w:val="22"/>
                    </w:rPr>
                    <w:t>项</w:t>
                  </w:r>
                  <w:r>
                    <w:rPr>
                      <w:sz w:val="22"/>
                      <w:szCs w:val="22"/>
                    </w:rPr>
                    <w:t>目</w:t>
                  </w:r>
                </w:p>
              </w:tc>
              <w:tc>
                <w:tcPr>
                  <w:tcW w:w="1811" w:type="dxa"/>
                  <w:vAlign w:val="top"/>
                </w:tcPr>
                <w:p w14:paraId="31BA889F">
                  <w:pPr>
                    <w:pStyle w:val="6"/>
                    <w:spacing w:before="179" w:line="219" w:lineRule="auto"/>
                    <w:ind w:left="113"/>
                    <w:rPr>
                      <w:sz w:val="22"/>
                      <w:szCs w:val="22"/>
                    </w:rPr>
                  </w:pPr>
                  <w:r>
                    <w:rPr>
                      <w:spacing w:val="-3"/>
                      <w:sz w:val="22"/>
                      <w:szCs w:val="22"/>
                    </w:rPr>
                    <w:t>测点布置</w:t>
                  </w:r>
                </w:p>
              </w:tc>
              <w:tc>
                <w:tcPr>
                  <w:tcW w:w="3585" w:type="dxa"/>
                  <w:vAlign w:val="top"/>
                </w:tcPr>
                <w:p w14:paraId="00C9EC51">
                  <w:pPr>
                    <w:pStyle w:val="6"/>
                    <w:spacing w:before="178" w:line="221" w:lineRule="auto"/>
                    <w:ind w:left="114"/>
                    <w:rPr>
                      <w:sz w:val="22"/>
                      <w:szCs w:val="22"/>
                    </w:rPr>
                  </w:pPr>
                  <w:r>
                    <w:rPr>
                      <w:spacing w:val="-3"/>
                      <w:sz w:val="22"/>
                      <w:szCs w:val="22"/>
                    </w:rPr>
                    <w:t>监测项目</w:t>
                  </w:r>
                </w:p>
              </w:tc>
              <w:tc>
                <w:tcPr>
                  <w:tcW w:w="1428" w:type="dxa"/>
                  <w:vAlign w:val="top"/>
                </w:tcPr>
                <w:p w14:paraId="2B3E6420">
                  <w:pPr>
                    <w:pStyle w:val="6"/>
                    <w:spacing w:before="178" w:line="220" w:lineRule="auto"/>
                    <w:ind w:left="117"/>
                    <w:rPr>
                      <w:sz w:val="22"/>
                      <w:szCs w:val="22"/>
                    </w:rPr>
                  </w:pPr>
                  <w:r>
                    <w:rPr>
                      <w:spacing w:val="-3"/>
                      <w:sz w:val="22"/>
                      <w:szCs w:val="22"/>
                    </w:rPr>
                    <w:t>监测频次</w:t>
                  </w:r>
                </w:p>
              </w:tc>
            </w:tr>
            <w:tr w14:paraId="74F47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082" w:type="dxa"/>
                  <w:vMerge w:val="restart"/>
                  <w:tcBorders>
                    <w:bottom w:val="nil"/>
                  </w:tcBorders>
                  <w:vAlign w:val="top"/>
                </w:tcPr>
                <w:p w14:paraId="71809EE1">
                  <w:pPr>
                    <w:spacing w:line="249" w:lineRule="auto"/>
                    <w:rPr>
                      <w:rFonts w:ascii="Arial"/>
                      <w:sz w:val="21"/>
                    </w:rPr>
                  </w:pPr>
                </w:p>
                <w:p w14:paraId="6F3D0B0E">
                  <w:pPr>
                    <w:pStyle w:val="6"/>
                    <w:spacing w:before="71" w:line="220" w:lineRule="auto"/>
                    <w:ind w:left="115"/>
                    <w:rPr>
                      <w:sz w:val="22"/>
                      <w:szCs w:val="22"/>
                    </w:rPr>
                  </w:pPr>
                  <w:r>
                    <w:rPr>
                      <w:spacing w:val="-3"/>
                      <w:sz w:val="22"/>
                      <w:szCs w:val="22"/>
                    </w:rPr>
                    <w:t>废水</w:t>
                  </w:r>
                </w:p>
              </w:tc>
              <w:tc>
                <w:tcPr>
                  <w:tcW w:w="1811" w:type="dxa"/>
                  <w:vAlign w:val="top"/>
                </w:tcPr>
                <w:p w14:paraId="485AA09B">
                  <w:pPr>
                    <w:pStyle w:val="6"/>
                    <w:spacing w:before="175" w:line="222" w:lineRule="auto"/>
                    <w:ind w:left="114"/>
                    <w:rPr>
                      <w:sz w:val="22"/>
                      <w:szCs w:val="22"/>
                    </w:rPr>
                  </w:pPr>
                  <w:r>
                    <w:rPr>
                      <w:spacing w:val="-2"/>
                      <w:sz w:val="22"/>
                      <w:szCs w:val="22"/>
                    </w:rPr>
                    <w:t>生化池总排口</w:t>
                  </w:r>
                </w:p>
              </w:tc>
              <w:tc>
                <w:tcPr>
                  <w:tcW w:w="3585" w:type="dxa"/>
                  <w:vAlign w:val="top"/>
                </w:tcPr>
                <w:p w14:paraId="0C0B7D2E">
                  <w:pPr>
                    <w:pStyle w:val="6"/>
                    <w:spacing w:before="33" w:line="222" w:lineRule="auto"/>
                    <w:ind w:left="116" w:right="25" w:hanging="2"/>
                    <w:rPr>
                      <w:sz w:val="22"/>
                      <w:szCs w:val="22"/>
                    </w:rPr>
                  </w:pPr>
                  <w:r>
                    <w:rPr>
                      <w:spacing w:val="-11"/>
                      <w:sz w:val="22"/>
                      <w:szCs w:val="22"/>
                    </w:rPr>
                    <w:t>流量、</w:t>
                  </w:r>
                  <w:r>
                    <w:rPr>
                      <w:rFonts w:ascii="Times New Roman" w:hAnsi="Times New Roman" w:eastAsia="Times New Roman" w:cs="Times New Roman"/>
                      <w:spacing w:val="-11"/>
                      <w:sz w:val="22"/>
                      <w:szCs w:val="22"/>
                    </w:rPr>
                    <w:t xml:space="preserve">pH </w:t>
                  </w:r>
                  <w:r>
                    <w:rPr>
                      <w:spacing w:val="-11"/>
                      <w:sz w:val="22"/>
                      <w:szCs w:val="22"/>
                    </w:rPr>
                    <w:t>值、悬浮物、化学需氧量、</w:t>
                  </w:r>
                  <w:r>
                    <w:rPr>
                      <w:spacing w:val="-1"/>
                      <w:sz w:val="22"/>
                      <w:szCs w:val="22"/>
                    </w:rPr>
                    <w:t>五日生化需氧量、氨氮、石油类</w:t>
                  </w:r>
                </w:p>
              </w:tc>
              <w:tc>
                <w:tcPr>
                  <w:tcW w:w="1428" w:type="dxa"/>
                  <w:vAlign w:val="top"/>
                </w:tcPr>
                <w:p w14:paraId="17E41693">
                  <w:pPr>
                    <w:pStyle w:val="6"/>
                    <w:spacing w:before="175" w:line="220" w:lineRule="auto"/>
                    <w:ind w:left="133"/>
                    <w:rPr>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14"/>
                      <w:w w:val="101"/>
                      <w:sz w:val="22"/>
                      <w:szCs w:val="22"/>
                    </w:rPr>
                    <w:t xml:space="preserve"> </w:t>
                  </w:r>
                  <w:r>
                    <w:rPr>
                      <w:spacing w:val="-10"/>
                      <w:sz w:val="22"/>
                      <w:szCs w:val="22"/>
                    </w:rPr>
                    <w:t>次</w:t>
                  </w:r>
                  <w:r>
                    <w:rPr>
                      <w:rFonts w:ascii="Times New Roman" w:hAnsi="Times New Roman" w:eastAsia="Times New Roman" w:cs="Times New Roman"/>
                      <w:spacing w:val="-10"/>
                      <w:sz w:val="22"/>
                      <w:szCs w:val="22"/>
                    </w:rPr>
                    <w:t>/</w:t>
                  </w:r>
                  <w:r>
                    <w:rPr>
                      <w:spacing w:val="-10"/>
                      <w:sz w:val="22"/>
                      <w:szCs w:val="22"/>
                    </w:rPr>
                    <w:t>年</w:t>
                  </w:r>
                </w:p>
              </w:tc>
            </w:tr>
            <w:tr w14:paraId="7893A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1082" w:type="dxa"/>
                  <w:vMerge w:val="continue"/>
                  <w:tcBorders>
                    <w:top w:val="nil"/>
                  </w:tcBorders>
                  <w:vAlign w:val="top"/>
                </w:tcPr>
                <w:p w14:paraId="46491912">
                  <w:pPr>
                    <w:rPr>
                      <w:rFonts w:ascii="Arial"/>
                      <w:sz w:val="21"/>
                    </w:rPr>
                  </w:pPr>
                </w:p>
              </w:tc>
              <w:tc>
                <w:tcPr>
                  <w:tcW w:w="1811" w:type="dxa"/>
                  <w:vAlign w:val="top"/>
                </w:tcPr>
                <w:p w14:paraId="1908A835">
                  <w:pPr>
                    <w:pStyle w:val="6"/>
                    <w:spacing w:before="37" w:line="207" w:lineRule="auto"/>
                    <w:ind w:left="125"/>
                    <w:rPr>
                      <w:sz w:val="22"/>
                      <w:szCs w:val="22"/>
                    </w:rPr>
                  </w:pPr>
                  <w:r>
                    <w:rPr>
                      <w:spacing w:val="-4"/>
                      <w:sz w:val="22"/>
                      <w:szCs w:val="22"/>
                    </w:rPr>
                    <w:t>隔油池总排口</w:t>
                  </w:r>
                </w:p>
              </w:tc>
              <w:tc>
                <w:tcPr>
                  <w:tcW w:w="3585" w:type="dxa"/>
                  <w:vAlign w:val="top"/>
                </w:tcPr>
                <w:p w14:paraId="4F8FDD71">
                  <w:pPr>
                    <w:pStyle w:val="6"/>
                    <w:spacing w:before="37" w:line="207" w:lineRule="auto"/>
                    <w:ind w:left="114"/>
                    <w:rPr>
                      <w:sz w:val="22"/>
                      <w:szCs w:val="22"/>
                    </w:rPr>
                  </w:pPr>
                  <w:r>
                    <w:rPr>
                      <w:spacing w:val="-1"/>
                      <w:sz w:val="22"/>
                      <w:szCs w:val="22"/>
                    </w:rPr>
                    <w:t>流量、</w:t>
                  </w:r>
                  <w:r>
                    <w:rPr>
                      <w:rFonts w:ascii="Times New Roman" w:hAnsi="Times New Roman" w:eastAsia="Times New Roman" w:cs="Times New Roman"/>
                      <w:spacing w:val="-1"/>
                      <w:sz w:val="22"/>
                      <w:szCs w:val="22"/>
                    </w:rPr>
                    <w:t xml:space="preserve">pH </w:t>
                  </w:r>
                  <w:r>
                    <w:rPr>
                      <w:spacing w:val="-1"/>
                      <w:sz w:val="22"/>
                      <w:szCs w:val="22"/>
                    </w:rPr>
                    <w:t>值、悬浮物、石油类</w:t>
                  </w:r>
                </w:p>
              </w:tc>
              <w:tc>
                <w:tcPr>
                  <w:tcW w:w="1428" w:type="dxa"/>
                  <w:vAlign w:val="top"/>
                </w:tcPr>
                <w:p w14:paraId="17714831">
                  <w:pPr>
                    <w:pStyle w:val="6"/>
                    <w:spacing w:before="37" w:line="207" w:lineRule="auto"/>
                    <w:ind w:left="133"/>
                    <w:rPr>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14"/>
                      <w:w w:val="101"/>
                      <w:sz w:val="22"/>
                      <w:szCs w:val="22"/>
                    </w:rPr>
                    <w:t xml:space="preserve"> </w:t>
                  </w:r>
                  <w:r>
                    <w:rPr>
                      <w:spacing w:val="-10"/>
                      <w:sz w:val="22"/>
                      <w:szCs w:val="22"/>
                    </w:rPr>
                    <w:t>次</w:t>
                  </w:r>
                  <w:r>
                    <w:rPr>
                      <w:rFonts w:ascii="Times New Roman" w:hAnsi="Times New Roman" w:eastAsia="Times New Roman" w:cs="Times New Roman"/>
                      <w:spacing w:val="-10"/>
                      <w:sz w:val="22"/>
                      <w:szCs w:val="22"/>
                    </w:rPr>
                    <w:t>/</w:t>
                  </w:r>
                  <w:r>
                    <w:rPr>
                      <w:spacing w:val="-10"/>
                      <w:sz w:val="22"/>
                      <w:szCs w:val="22"/>
                    </w:rPr>
                    <w:t>年</w:t>
                  </w:r>
                </w:p>
              </w:tc>
            </w:tr>
          </w:tbl>
          <w:p w14:paraId="038957F5">
            <w:pPr>
              <w:pStyle w:val="6"/>
              <w:spacing w:before="143" w:line="227" w:lineRule="auto"/>
              <w:ind w:left="106"/>
            </w:pPr>
            <w:r>
              <w:rPr>
                <w:rFonts w:ascii="Times New Roman" w:hAnsi="Times New Roman" w:eastAsia="Times New Roman" w:cs="Times New Roman"/>
                <w:b/>
                <w:bCs/>
                <w:spacing w:val="5"/>
              </w:rPr>
              <w:t>4.2.3</w:t>
            </w:r>
            <w:r>
              <w:rPr>
                <w:rFonts w:ascii="Times New Roman" w:hAnsi="Times New Roman" w:eastAsia="Times New Roman" w:cs="Times New Roman"/>
                <w:b/>
                <w:bCs/>
                <w:spacing w:val="26"/>
              </w:rPr>
              <w:t xml:space="preserve"> </w:t>
            </w:r>
            <w:r>
              <w:rPr>
                <w:b/>
                <w:bCs/>
                <w:spacing w:val="5"/>
              </w:rPr>
              <w:t>噪声影响分析及其防治措施</w:t>
            </w:r>
          </w:p>
          <w:p w14:paraId="1C7EDE2B">
            <w:pPr>
              <w:pStyle w:val="6"/>
              <w:spacing w:before="153" w:line="227" w:lineRule="auto"/>
              <w:ind w:left="640"/>
            </w:pPr>
            <w:r>
              <w:rPr>
                <w:spacing w:val="6"/>
              </w:rPr>
              <w:t>（</w:t>
            </w:r>
            <w:r>
              <w:rPr>
                <w:rFonts w:ascii="Times New Roman" w:hAnsi="Times New Roman" w:eastAsia="Times New Roman" w:cs="Times New Roman"/>
                <w:spacing w:val="6"/>
              </w:rPr>
              <w:t>1</w:t>
            </w:r>
            <w:r>
              <w:rPr>
                <w:spacing w:val="6"/>
              </w:rPr>
              <w:t>）源强分析</w:t>
            </w:r>
          </w:p>
          <w:p w14:paraId="530645B9">
            <w:pPr>
              <w:pStyle w:val="6"/>
              <w:spacing w:before="155" w:line="340" w:lineRule="auto"/>
              <w:ind w:left="109" w:right="36" w:firstLine="519"/>
            </w:pPr>
            <w:r>
              <w:rPr>
                <w:spacing w:val="14"/>
              </w:rPr>
              <w:t>加油站主要噪声源包括加油机、潜油泵、柴</w:t>
            </w:r>
            <w:r>
              <w:rPr>
                <w:spacing w:val="13"/>
              </w:rPr>
              <w:t>油发电机、油罐车以</w:t>
            </w:r>
            <w:r>
              <w:rPr>
                <w:spacing w:val="3"/>
              </w:rPr>
              <w:t>及加油车辆进出加油站时产生的噪声，噪声值约</w:t>
            </w:r>
            <w:r>
              <w:rPr>
                <w:spacing w:val="-49"/>
              </w:rPr>
              <w:t xml:space="preserve"> </w:t>
            </w:r>
            <w:r>
              <w:rPr>
                <w:rFonts w:ascii="Times New Roman" w:hAnsi="Times New Roman" w:eastAsia="Times New Roman" w:cs="Times New Roman"/>
                <w:spacing w:val="3"/>
              </w:rPr>
              <w:t>6</w:t>
            </w:r>
            <w:r>
              <w:rPr>
                <w:rFonts w:ascii="Times New Roman" w:hAnsi="Times New Roman" w:eastAsia="Times New Roman" w:cs="Times New Roman"/>
                <w:spacing w:val="2"/>
              </w:rPr>
              <w:t>5-75</w:t>
            </w:r>
            <w:r>
              <w:rPr>
                <w:rFonts w:ascii="Times New Roman" w:hAnsi="Times New Roman" w:eastAsia="Times New Roman" w:cs="Times New Roman"/>
              </w:rPr>
              <w:t>dB</w:t>
            </w:r>
            <w:r>
              <w:rPr>
                <w:spacing w:val="2"/>
              </w:rPr>
              <w:t>（</w:t>
            </w:r>
            <w:r>
              <w:rPr>
                <w:rFonts w:ascii="Times New Roman" w:hAnsi="Times New Roman" w:eastAsia="Times New Roman" w:cs="Times New Roman"/>
                <w:spacing w:val="2"/>
              </w:rPr>
              <w:t>A</w:t>
            </w:r>
            <w:r>
              <w:rPr>
                <w:spacing w:val="2"/>
              </w:rPr>
              <w:t>）。其中，</w:t>
            </w:r>
            <w:r>
              <w:rPr>
                <w:spacing w:val="13"/>
              </w:rPr>
              <w:t>潜油泵置于油罐内，经油罐及地表覆土隔声；柴油发电机仅在应急期</w:t>
            </w:r>
            <w:r>
              <w:rPr>
                <w:spacing w:val="7"/>
              </w:rPr>
              <w:t>间使用，频次较低；油罐车以及加油车辆进出产生车辆噪声为间断性，</w:t>
            </w:r>
            <w:r>
              <w:rPr>
                <w:spacing w:val="13"/>
              </w:rPr>
              <w:t>且车辆进站会关闭发动机，车辆在驶进站和驶离站期间减速慢行。综上，潜油泵、柴油发电机、油罐车以及加油车辆进出加油站时产生的噪声源强均较低，因此本评价仅预测加油机噪声影响，其噪声值详见</w:t>
            </w:r>
            <w:r>
              <w:t>下表</w:t>
            </w:r>
            <w:r>
              <w:rPr>
                <w:spacing w:val="-56"/>
              </w:rPr>
              <w:t xml:space="preserve"> </w:t>
            </w:r>
            <w:r>
              <w:rPr>
                <w:rFonts w:ascii="Times New Roman" w:hAnsi="Times New Roman" w:eastAsia="Times New Roman" w:cs="Times New Roman"/>
              </w:rPr>
              <w:t>4.2-</w:t>
            </w:r>
            <w:r>
              <w:rPr>
                <w:rFonts w:ascii="Times New Roman" w:hAnsi="Times New Roman" w:eastAsia="Times New Roman" w:cs="Times New Roman"/>
                <w:spacing w:val="-33"/>
              </w:rPr>
              <w:t xml:space="preserve"> </w:t>
            </w:r>
            <w:r>
              <w:rPr>
                <w:rFonts w:ascii="Times New Roman" w:hAnsi="Times New Roman" w:eastAsia="Times New Roman" w:cs="Times New Roman"/>
              </w:rPr>
              <w:t>12</w:t>
            </w:r>
            <w:r>
              <w:t>。</w:t>
            </w:r>
          </w:p>
        </w:tc>
      </w:tr>
    </w:tbl>
    <w:p w14:paraId="227F6364">
      <w:pPr>
        <w:pStyle w:val="2"/>
        <w:rPr>
          <w:sz w:val="21"/>
        </w:rPr>
      </w:pPr>
    </w:p>
    <w:p w14:paraId="13905490">
      <w:pPr>
        <w:rPr>
          <w:sz w:val="21"/>
          <w:szCs w:val="21"/>
        </w:rPr>
        <w:sectPr>
          <w:footerReference r:id="rId85" w:type="default"/>
          <w:pgSz w:w="11907" w:h="16840"/>
          <w:pgMar w:top="400" w:right="1453" w:bottom="1008" w:left="1453" w:header="0" w:footer="770" w:gutter="0"/>
          <w:cols w:space="720" w:num="1"/>
        </w:sectPr>
      </w:pPr>
    </w:p>
    <w:p w14:paraId="6A5954F6">
      <w:pPr>
        <w:spacing w:before="19"/>
      </w:pPr>
    </w:p>
    <w:p w14:paraId="0FB0E826">
      <w:pPr>
        <w:spacing w:before="19"/>
      </w:pPr>
    </w:p>
    <w:p w14:paraId="78E756C1">
      <w:pPr>
        <w:spacing w:before="19"/>
      </w:pPr>
    </w:p>
    <w:p w14:paraId="5E190567">
      <w:pPr>
        <w:spacing w:before="18"/>
      </w:pPr>
    </w:p>
    <w:p w14:paraId="27C4F463">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8"/>
        <w:gridCol w:w="8127"/>
      </w:tblGrid>
      <w:tr w14:paraId="47C6F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66" w:hRule="atLeast"/>
        </w:trPr>
        <w:tc>
          <w:tcPr>
            <w:tcW w:w="858" w:type="dxa"/>
            <w:tcBorders>
              <w:right w:val="single" w:color="000000" w:sz="2" w:space="0"/>
            </w:tcBorders>
            <w:vAlign w:val="top"/>
          </w:tcPr>
          <w:p w14:paraId="432C459E">
            <w:pPr>
              <w:rPr>
                <w:rFonts w:ascii="Arial"/>
                <w:sz w:val="21"/>
              </w:rPr>
            </w:pPr>
          </w:p>
        </w:tc>
        <w:tc>
          <w:tcPr>
            <w:tcW w:w="8127" w:type="dxa"/>
            <w:tcBorders>
              <w:left w:val="single" w:color="000000" w:sz="2" w:space="0"/>
            </w:tcBorders>
            <w:vAlign w:val="top"/>
          </w:tcPr>
          <w:p w14:paraId="6BBA6594">
            <w:pPr>
              <w:pStyle w:val="6"/>
              <w:spacing w:before="150" w:line="225" w:lineRule="auto"/>
              <w:ind w:left="318"/>
            </w:pPr>
            <w:r>
              <w:rPr>
                <w:spacing w:val="7"/>
              </w:rPr>
              <w:t>表</w:t>
            </w:r>
            <w:r>
              <w:rPr>
                <w:spacing w:val="-56"/>
              </w:rPr>
              <w:t xml:space="preserve"> </w:t>
            </w:r>
            <w:r>
              <w:rPr>
                <w:rFonts w:ascii="Times New Roman" w:hAnsi="Times New Roman" w:eastAsia="Times New Roman" w:cs="Times New Roman"/>
                <w:spacing w:val="7"/>
              </w:rPr>
              <w:t>4.2-</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 xml:space="preserve">12    </w:t>
            </w:r>
            <w:r>
              <w:rPr>
                <w:spacing w:val="7"/>
              </w:rPr>
              <w:t>本项目实施后全站噪</w:t>
            </w:r>
            <w:r>
              <w:rPr>
                <w:spacing w:val="6"/>
              </w:rPr>
              <w:t>声排放源强调查清单（室外声源）</w:t>
            </w:r>
          </w:p>
          <w:p w14:paraId="3880932C">
            <w:pPr>
              <w:spacing w:line="98" w:lineRule="auto"/>
              <w:rPr>
                <w:rFonts w:ascii="Arial"/>
                <w:sz w:val="2"/>
              </w:rPr>
            </w:pPr>
          </w:p>
          <w:tbl>
            <w:tblPr>
              <w:tblStyle w:val="5"/>
              <w:tblW w:w="7909"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1"/>
              <w:gridCol w:w="921"/>
              <w:gridCol w:w="439"/>
              <w:gridCol w:w="595"/>
              <w:gridCol w:w="603"/>
              <w:gridCol w:w="603"/>
              <w:gridCol w:w="1519"/>
              <w:gridCol w:w="1606"/>
              <w:gridCol w:w="1242"/>
            </w:tblGrid>
            <w:tr w14:paraId="3CC4B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9" w:hRule="atLeast"/>
              </w:trPr>
              <w:tc>
                <w:tcPr>
                  <w:tcW w:w="381" w:type="dxa"/>
                  <w:vMerge w:val="restart"/>
                  <w:tcBorders>
                    <w:bottom w:val="nil"/>
                  </w:tcBorders>
                  <w:textDirection w:val="tbRlV"/>
                  <w:vAlign w:val="top"/>
                </w:tcPr>
                <w:p w14:paraId="78B2CDF4">
                  <w:pPr>
                    <w:pStyle w:val="6"/>
                    <w:spacing w:before="149" w:line="211" w:lineRule="auto"/>
                    <w:ind w:left="353"/>
                    <w:rPr>
                      <w:sz w:val="22"/>
                      <w:szCs w:val="22"/>
                    </w:rPr>
                  </w:pPr>
                  <w:r>
                    <w:rPr>
                      <w:spacing w:val="33"/>
                      <w:sz w:val="22"/>
                      <w:szCs w:val="22"/>
                    </w:rPr>
                    <w:t>序号</w:t>
                  </w:r>
                </w:p>
              </w:tc>
              <w:tc>
                <w:tcPr>
                  <w:tcW w:w="921" w:type="dxa"/>
                  <w:vMerge w:val="restart"/>
                  <w:tcBorders>
                    <w:bottom w:val="nil"/>
                  </w:tcBorders>
                  <w:vAlign w:val="top"/>
                </w:tcPr>
                <w:p w14:paraId="18F3B9A6">
                  <w:pPr>
                    <w:spacing w:line="421" w:lineRule="auto"/>
                    <w:rPr>
                      <w:rFonts w:ascii="Arial"/>
                      <w:sz w:val="21"/>
                    </w:rPr>
                  </w:pPr>
                </w:p>
                <w:p w14:paraId="21C67636">
                  <w:pPr>
                    <w:pStyle w:val="6"/>
                    <w:spacing w:before="71" w:line="221" w:lineRule="auto"/>
                    <w:ind w:left="13"/>
                    <w:rPr>
                      <w:sz w:val="22"/>
                      <w:szCs w:val="22"/>
                    </w:rPr>
                  </w:pPr>
                  <w:r>
                    <w:rPr>
                      <w:spacing w:val="-4"/>
                      <w:sz w:val="22"/>
                      <w:szCs w:val="22"/>
                    </w:rPr>
                    <w:t>声源名称</w:t>
                  </w:r>
                </w:p>
              </w:tc>
              <w:tc>
                <w:tcPr>
                  <w:tcW w:w="439" w:type="dxa"/>
                  <w:vMerge w:val="restart"/>
                  <w:tcBorders>
                    <w:bottom w:val="nil"/>
                  </w:tcBorders>
                  <w:textDirection w:val="tbRlV"/>
                  <w:vAlign w:val="top"/>
                </w:tcPr>
                <w:p w14:paraId="445B4376">
                  <w:pPr>
                    <w:pStyle w:val="6"/>
                    <w:spacing w:before="211" w:line="206" w:lineRule="auto"/>
                    <w:ind w:left="353"/>
                    <w:rPr>
                      <w:sz w:val="22"/>
                      <w:szCs w:val="22"/>
                    </w:rPr>
                  </w:pPr>
                  <w:r>
                    <w:rPr>
                      <w:spacing w:val="33"/>
                      <w:sz w:val="22"/>
                      <w:szCs w:val="22"/>
                    </w:rPr>
                    <w:t>型号</w:t>
                  </w:r>
                </w:p>
              </w:tc>
              <w:tc>
                <w:tcPr>
                  <w:tcW w:w="1801" w:type="dxa"/>
                  <w:gridSpan w:val="3"/>
                  <w:vAlign w:val="top"/>
                </w:tcPr>
                <w:p w14:paraId="149BFBD8">
                  <w:pPr>
                    <w:pStyle w:val="6"/>
                    <w:spacing w:before="63" w:line="222" w:lineRule="auto"/>
                    <w:ind w:left="17"/>
                    <w:rPr>
                      <w:rFonts w:ascii="Times New Roman" w:hAnsi="Times New Roman" w:eastAsia="Times New Roman" w:cs="Times New Roman"/>
                      <w:sz w:val="22"/>
                      <w:szCs w:val="22"/>
                    </w:rPr>
                  </w:pPr>
                  <w:r>
                    <w:rPr>
                      <w:spacing w:val="-2"/>
                      <w:sz w:val="22"/>
                      <w:szCs w:val="22"/>
                    </w:rPr>
                    <w:t>空间相对位置</w:t>
                  </w:r>
                  <w:r>
                    <w:rPr>
                      <w:rFonts w:ascii="Times New Roman" w:hAnsi="Times New Roman" w:eastAsia="Times New Roman" w:cs="Times New Roman"/>
                      <w:spacing w:val="-2"/>
                      <w:sz w:val="22"/>
                      <w:szCs w:val="22"/>
                    </w:rPr>
                    <w:t>/m</w:t>
                  </w:r>
                </w:p>
              </w:tc>
              <w:tc>
                <w:tcPr>
                  <w:tcW w:w="1519" w:type="dxa"/>
                  <w:vAlign w:val="top"/>
                </w:tcPr>
                <w:p w14:paraId="2E77E612">
                  <w:pPr>
                    <w:pStyle w:val="6"/>
                    <w:spacing w:before="63" w:line="221" w:lineRule="auto"/>
                    <w:ind w:left="16"/>
                    <w:rPr>
                      <w:sz w:val="22"/>
                      <w:szCs w:val="22"/>
                    </w:rPr>
                  </w:pPr>
                  <w:r>
                    <w:rPr>
                      <w:spacing w:val="-4"/>
                      <w:sz w:val="22"/>
                      <w:szCs w:val="22"/>
                    </w:rPr>
                    <w:t>声源源强</w:t>
                  </w:r>
                </w:p>
              </w:tc>
              <w:tc>
                <w:tcPr>
                  <w:tcW w:w="1606" w:type="dxa"/>
                  <w:vMerge w:val="restart"/>
                  <w:tcBorders>
                    <w:bottom w:val="nil"/>
                  </w:tcBorders>
                  <w:vAlign w:val="top"/>
                </w:tcPr>
                <w:p w14:paraId="06D5BAE9">
                  <w:pPr>
                    <w:spacing w:line="421" w:lineRule="auto"/>
                    <w:rPr>
                      <w:rFonts w:ascii="Arial"/>
                      <w:sz w:val="21"/>
                    </w:rPr>
                  </w:pPr>
                </w:p>
                <w:p w14:paraId="7999D344">
                  <w:pPr>
                    <w:pStyle w:val="6"/>
                    <w:spacing w:before="71" w:line="221" w:lineRule="auto"/>
                    <w:ind w:left="16"/>
                    <w:rPr>
                      <w:sz w:val="22"/>
                      <w:szCs w:val="22"/>
                    </w:rPr>
                  </w:pPr>
                  <w:r>
                    <w:rPr>
                      <w:spacing w:val="-2"/>
                      <w:sz w:val="22"/>
                      <w:szCs w:val="22"/>
                    </w:rPr>
                    <w:t>声源控制措施</w:t>
                  </w:r>
                </w:p>
              </w:tc>
              <w:tc>
                <w:tcPr>
                  <w:tcW w:w="1242" w:type="dxa"/>
                  <w:vMerge w:val="restart"/>
                  <w:tcBorders>
                    <w:bottom w:val="nil"/>
                  </w:tcBorders>
                  <w:vAlign w:val="top"/>
                </w:tcPr>
                <w:p w14:paraId="7912448A">
                  <w:pPr>
                    <w:spacing w:line="421" w:lineRule="auto"/>
                    <w:rPr>
                      <w:rFonts w:ascii="Arial"/>
                      <w:sz w:val="21"/>
                    </w:rPr>
                  </w:pPr>
                </w:p>
                <w:p w14:paraId="3D7DCA97">
                  <w:pPr>
                    <w:pStyle w:val="6"/>
                    <w:spacing w:before="71" w:line="221" w:lineRule="auto"/>
                    <w:ind w:left="13"/>
                    <w:rPr>
                      <w:sz w:val="22"/>
                      <w:szCs w:val="22"/>
                    </w:rPr>
                  </w:pPr>
                  <w:r>
                    <w:rPr>
                      <w:spacing w:val="-2"/>
                      <w:sz w:val="22"/>
                      <w:szCs w:val="22"/>
                    </w:rPr>
                    <w:t>运行时段</w:t>
                  </w:r>
                </w:p>
              </w:tc>
            </w:tr>
            <w:tr w14:paraId="0482F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381" w:type="dxa"/>
                  <w:vMerge w:val="continue"/>
                  <w:tcBorders>
                    <w:top w:val="nil"/>
                  </w:tcBorders>
                  <w:textDirection w:val="tbRlV"/>
                  <w:vAlign w:val="top"/>
                </w:tcPr>
                <w:p w14:paraId="42A2A8D1">
                  <w:pPr>
                    <w:rPr>
                      <w:rFonts w:ascii="Arial"/>
                      <w:sz w:val="21"/>
                    </w:rPr>
                  </w:pPr>
                </w:p>
              </w:tc>
              <w:tc>
                <w:tcPr>
                  <w:tcW w:w="921" w:type="dxa"/>
                  <w:vMerge w:val="continue"/>
                  <w:tcBorders>
                    <w:top w:val="nil"/>
                  </w:tcBorders>
                  <w:vAlign w:val="top"/>
                </w:tcPr>
                <w:p w14:paraId="54965BA0">
                  <w:pPr>
                    <w:rPr>
                      <w:rFonts w:ascii="Arial"/>
                      <w:sz w:val="21"/>
                    </w:rPr>
                  </w:pPr>
                </w:p>
              </w:tc>
              <w:tc>
                <w:tcPr>
                  <w:tcW w:w="439" w:type="dxa"/>
                  <w:vMerge w:val="continue"/>
                  <w:tcBorders>
                    <w:top w:val="nil"/>
                  </w:tcBorders>
                  <w:textDirection w:val="tbRlV"/>
                  <w:vAlign w:val="top"/>
                </w:tcPr>
                <w:p w14:paraId="3176DDAB">
                  <w:pPr>
                    <w:rPr>
                      <w:rFonts w:ascii="Arial"/>
                      <w:sz w:val="21"/>
                    </w:rPr>
                  </w:pPr>
                </w:p>
              </w:tc>
              <w:tc>
                <w:tcPr>
                  <w:tcW w:w="595" w:type="dxa"/>
                  <w:vAlign w:val="top"/>
                </w:tcPr>
                <w:p w14:paraId="4E2CABD2">
                  <w:pPr>
                    <w:spacing w:line="293" w:lineRule="auto"/>
                    <w:rPr>
                      <w:rFonts w:ascii="Arial"/>
                      <w:sz w:val="21"/>
                    </w:rPr>
                  </w:pPr>
                </w:p>
                <w:p w14:paraId="564EE4AE">
                  <w:pPr>
                    <w:spacing w:before="63" w:line="186" w:lineRule="auto"/>
                    <w:ind w:left="3"/>
                    <w:rPr>
                      <w:rFonts w:ascii="Times New Roman" w:hAnsi="Times New Roman" w:eastAsia="Times New Roman" w:cs="Times New Roman"/>
                      <w:sz w:val="22"/>
                      <w:szCs w:val="22"/>
                    </w:rPr>
                  </w:pPr>
                  <w:r>
                    <w:rPr>
                      <w:rFonts w:ascii="Times New Roman" w:hAnsi="Times New Roman" w:eastAsia="Times New Roman" w:cs="Times New Roman"/>
                      <w:sz w:val="22"/>
                      <w:szCs w:val="22"/>
                    </w:rPr>
                    <w:t>X</w:t>
                  </w:r>
                </w:p>
              </w:tc>
              <w:tc>
                <w:tcPr>
                  <w:tcW w:w="603" w:type="dxa"/>
                  <w:vAlign w:val="top"/>
                </w:tcPr>
                <w:p w14:paraId="2F65FCF4">
                  <w:pPr>
                    <w:spacing w:line="293" w:lineRule="auto"/>
                    <w:rPr>
                      <w:rFonts w:ascii="Arial"/>
                      <w:sz w:val="21"/>
                    </w:rPr>
                  </w:pPr>
                </w:p>
                <w:p w14:paraId="0B63DFFD">
                  <w:pPr>
                    <w:spacing w:before="63" w:line="186" w:lineRule="auto"/>
                    <w:ind w:left="3"/>
                    <w:rPr>
                      <w:rFonts w:ascii="Times New Roman" w:hAnsi="Times New Roman" w:eastAsia="Times New Roman" w:cs="Times New Roman"/>
                      <w:sz w:val="22"/>
                      <w:szCs w:val="22"/>
                    </w:rPr>
                  </w:pPr>
                  <w:r>
                    <w:rPr>
                      <w:rFonts w:ascii="Times New Roman" w:hAnsi="Times New Roman" w:eastAsia="Times New Roman" w:cs="Times New Roman"/>
                      <w:sz w:val="22"/>
                      <w:szCs w:val="22"/>
                    </w:rPr>
                    <w:t>Y</w:t>
                  </w:r>
                </w:p>
              </w:tc>
              <w:tc>
                <w:tcPr>
                  <w:tcW w:w="603" w:type="dxa"/>
                  <w:vAlign w:val="top"/>
                </w:tcPr>
                <w:p w14:paraId="3079A989">
                  <w:pPr>
                    <w:spacing w:line="293" w:lineRule="auto"/>
                    <w:rPr>
                      <w:rFonts w:ascii="Arial"/>
                      <w:sz w:val="21"/>
                    </w:rPr>
                  </w:pPr>
                </w:p>
                <w:p w14:paraId="683E52D3">
                  <w:pPr>
                    <w:spacing w:before="63" w:line="186" w:lineRule="auto"/>
                    <w:ind w:left="4"/>
                    <w:rPr>
                      <w:rFonts w:ascii="Times New Roman" w:hAnsi="Times New Roman" w:eastAsia="Times New Roman" w:cs="Times New Roman"/>
                      <w:sz w:val="22"/>
                      <w:szCs w:val="22"/>
                    </w:rPr>
                  </w:pPr>
                  <w:r>
                    <w:rPr>
                      <w:rFonts w:ascii="Times New Roman" w:hAnsi="Times New Roman" w:eastAsia="Times New Roman" w:cs="Times New Roman"/>
                      <w:sz w:val="22"/>
                      <w:szCs w:val="22"/>
                    </w:rPr>
                    <w:t>Z</w:t>
                  </w:r>
                </w:p>
              </w:tc>
              <w:tc>
                <w:tcPr>
                  <w:tcW w:w="1519" w:type="dxa"/>
                  <w:vAlign w:val="top"/>
                </w:tcPr>
                <w:p w14:paraId="54EEDA15">
                  <w:pPr>
                    <w:pStyle w:val="6"/>
                    <w:spacing w:before="33" w:line="228" w:lineRule="auto"/>
                    <w:ind w:left="10" w:firstLine="7"/>
                    <w:jc w:val="both"/>
                    <w:rPr>
                      <w:sz w:val="22"/>
                      <w:szCs w:val="22"/>
                    </w:rPr>
                  </w:pPr>
                  <w:r>
                    <w:rPr>
                      <w:spacing w:val="16"/>
                      <w:sz w:val="22"/>
                      <w:szCs w:val="22"/>
                    </w:rPr>
                    <w:t>（声压级</w:t>
                  </w:r>
                  <w:r>
                    <w:rPr>
                      <w:rFonts w:ascii="Times New Roman" w:hAnsi="Times New Roman" w:eastAsia="Times New Roman" w:cs="Times New Roman"/>
                      <w:spacing w:val="16"/>
                      <w:sz w:val="22"/>
                      <w:szCs w:val="22"/>
                    </w:rPr>
                    <w:t>/</w:t>
                  </w:r>
                  <w:r>
                    <w:rPr>
                      <w:spacing w:val="16"/>
                      <w:sz w:val="22"/>
                      <w:szCs w:val="22"/>
                    </w:rPr>
                    <w:t>距声</w:t>
                  </w:r>
                  <w:r>
                    <w:rPr>
                      <w:spacing w:val="-15"/>
                      <w:sz w:val="22"/>
                      <w:szCs w:val="22"/>
                    </w:rPr>
                    <w:t>源</w:t>
                  </w:r>
                  <w:r>
                    <w:rPr>
                      <w:spacing w:val="41"/>
                      <w:sz w:val="22"/>
                      <w:szCs w:val="22"/>
                    </w:rPr>
                    <w:t xml:space="preserve"> </w:t>
                  </w:r>
                  <w:r>
                    <w:rPr>
                      <w:spacing w:val="-15"/>
                      <w:sz w:val="22"/>
                      <w:szCs w:val="22"/>
                    </w:rPr>
                    <w:t>距</w:t>
                  </w:r>
                  <w:r>
                    <w:rPr>
                      <w:spacing w:val="44"/>
                      <w:sz w:val="22"/>
                      <w:szCs w:val="22"/>
                    </w:rPr>
                    <w:t xml:space="preserve"> </w:t>
                  </w:r>
                  <w:r>
                    <w:rPr>
                      <w:spacing w:val="-15"/>
                      <w:sz w:val="22"/>
                      <w:szCs w:val="22"/>
                    </w:rPr>
                    <w:t>离</w:t>
                  </w:r>
                  <w:r>
                    <w:rPr>
                      <w:spacing w:val="63"/>
                      <w:sz w:val="22"/>
                      <w:szCs w:val="22"/>
                    </w:rPr>
                    <w:t xml:space="preserve"> </w:t>
                  </w:r>
                  <w:r>
                    <w:rPr>
                      <w:spacing w:val="-14"/>
                      <w:sz w:val="22"/>
                      <w:szCs w:val="22"/>
                    </w:rPr>
                    <w:t>）</w:t>
                  </w:r>
                  <w:r>
                    <w:rPr>
                      <w:spacing w:val="32"/>
                      <w:sz w:val="22"/>
                      <w:szCs w:val="22"/>
                    </w:rPr>
                    <w:t xml:space="preserve"> </w:t>
                  </w:r>
                  <w:r>
                    <w:rPr>
                      <w:rFonts w:ascii="Times New Roman" w:hAnsi="Times New Roman" w:eastAsia="Times New Roman" w:cs="Times New Roman"/>
                      <w:spacing w:val="-1"/>
                      <w:sz w:val="22"/>
                      <w:szCs w:val="22"/>
                    </w:rPr>
                    <w:t>/</w:t>
                  </w:r>
                  <w:r>
                    <w:rPr>
                      <w:rFonts w:ascii="Times New Roman" w:hAnsi="Times New Roman" w:eastAsia="Times New Roman" w:cs="Times New Roman"/>
                      <w:sz w:val="22"/>
                      <w:szCs w:val="22"/>
                    </w:rPr>
                    <w:t xml:space="preserve"> </w:t>
                  </w:r>
                  <w:r>
                    <w:rPr>
                      <w:spacing w:val="-1"/>
                      <w:sz w:val="22"/>
                      <w:szCs w:val="22"/>
                    </w:rPr>
                    <w:t>（</w:t>
                  </w:r>
                  <w:r>
                    <w:rPr>
                      <w:rFonts w:ascii="Times New Roman" w:hAnsi="Times New Roman" w:eastAsia="Times New Roman" w:cs="Times New Roman"/>
                      <w:spacing w:val="-1"/>
                      <w:sz w:val="22"/>
                      <w:szCs w:val="22"/>
                    </w:rPr>
                    <w:t>dB(A)/m</w:t>
                  </w:r>
                  <w:r>
                    <w:rPr>
                      <w:spacing w:val="-1"/>
                      <w:sz w:val="22"/>
                      <w:szCs w:val="22"/>
                    </w:rPr>
                    <w:t>）</w:t>
                  </w:r>
                </w:p>
              </w:tc>
              <w:tc>
                <w:tcPr>
                  <w:tcW w:w="1606" w:type="dxa"/>
                  <w:vMerge w:val="continue"/>
                  <w:tcBorders>
                    <w:top w:val="nil"/>
                  </w:tcBorders>
                  <w:vAlign w:val="top"/>
                </w:tcPr>
                <w:p w14:paraId="63975F83">
                  <w:pPr>
                    <w:rPr>
                      <w:rFonts w:ascii="Arial"/>
                      <w:sz w:val="21"/>
                    </w:rPr>
                  </w:pPr>
                </w:p>
              </w:tc>
              <w:tc>
                <w:tcPr>
                  <w:tcW w:w="1242" w:type="dxa"/>
                  <w:vMerge w:val="continue"/>
                  <w:tcBorders>
                    <w:top w:val="nil"/>
                  </w:tcBorders>
                  <w:vAlign w:val="top"/>
                </w:tcPr>
                <w:p w14:paraId="6DC44132">
                  <w:pPr>
                    <w:rPr>
                      <w:rFonts w:ascii="Arial"/>
                      <w:sz w:val="21"/>
                    </w:rPr>
                  </w:pPr>
                </w:p>
              </w:tc>
            </w:tr>
            <w:tr w14:paraId="57F06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81" w:type="dxa"/>
                  <w:vAlign w:val="top"/>
                </w:tcPr>
                <w:p w14:paraId="5AC83A34">
                  <w:pPr>
                    <w:spacing w:before="98" w:line="189" w:lineRule="auto"/>
                    <w:ind w:left="30"/>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21" w:type="dxa"/>
                  <w:vAlign w:val="top"/>
                </w:tcPr>
                <w:p w14:paraId="4E79F65D">
                  <w:pPr>
                    <w:pStyle w:val="6"/>
                    <w:spacing w:before="60" w:line="219" w:lineRule="auto"/>
                    <w:ind w:left="9"/>
                    <w:rPr>
                      <w:rFonts w:ascii="Times New Roman" w:hAnsi="Times New Roman" w:eastAsia="Times New Roman" w:cs="Times New Roman"/>
                      <w:sz w:val="22"/>
                      <w:szCs w:val="22"/>
                    </w:rPr>
                  </w:pPr>
                  <w:r>
                    <w:rPr>
                      <w:spacing w:val="-3"/>
                      <w:sz w:val="22"/>
                      <w:szCs w:val="22"/>
                    </w:rPr>
                    <w:t>加油机</w:t>
                  </w:r>
                  <w:r>
                    <w:rPr>
                      <w:spacing w:val="-27"/>
                      <w:sz w:val="22"/>
                      <w:szCs w:val="22"/>
                    </w:rPr>
                    <w:t xml:space="preserve"> </w:t>
                  </w:r>
                  <w:r>
                    <w:rPr>
                      <w:rFonts w:ascii="Times New Roman" w:hAnsi="Times New Roman" w:eastAsia="Times New Roman" w:cs="Times New Roman"/>
                      <w:spacing w:val="-3"/>
                      <w:sz w:val="22"/>
                      <w:szCs w:val="22"/>
                    </w:rPr>
                    <w:t>1</w:t>
                  </w:r>
                </w:p>
              </w:tc>
              <w:tc>
                <w:tcPr>
                  <w:tcW w:w="439" w:type="dxa"/>
                  <w:vAlign w:val="top"/>
                </w:tcPr>
                <w:p w14:paraId="7EBABD80">
                  <w:pPr>
                    <w:spacing w:before="93" w:line="193" w:lineRule="auto"/>
                    <w:ind w:left="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595" w:type="dxa"/>
                  <w:vAlign w:val="top"/>
                </w:tcPr>
                <w:p w14:paraId="5F122EE6">
                  <w:pPr>
                    <w:spacing w:before="103" w:line="195" w:lineRule="auto"/>
                    <w:ind w:left="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5.52</w:t>
                  </w:r>
                </w:p>
              </w:tc>
              <w:tc>
                <w:tcPr>
                  <w:tcW w:w="603" w:type="dxa"/>
                  <w:vAlign w:val="top"/>
                </w:tcPr>
                <w:p w14:paraId="2EED91D4">
                  <w:pPr>
                    <w:spacing w:before="103" w:line="195" w:lineRule="auto"/>
                    <w:ind w:left="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5.32</w:t>
                  </w:r>
                </w:p>
              </w:tc>
              <w:tc>
                <w:tcPr>
                  <w:tcW w:w="603" w:type="dxa"/>
                  <w:vAlign w:val="top"/>
                </w:tcPr>
                <w:p w14:paraId="599E02BD">
                  <w:pPr>
                    <w:spacing w:before="103" w:line="195" w:lineRule="auto"/>
                    <w:ind w:left="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19" w:type="dxa"/>
                  <w:vAlign w:val="top"/>
                </w:tcPr>
                <w:p w14:paraId="0F5E9021">
                  <w:pPr>
                    <w:spacing w:before="93" w:line="193" w:lineRule="auto"/>
                    <w:ind w:left="1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65/1</w:t>
                  </w:r>
                </w:p>
              </w:tc>
              <w:tc>
                <w:tcPr>
                  <w:tcW w:w="1606" w:type="dxa"/>
                  <w:vAlign w:val="top"/>
                </w:tcPr>
                <w:p w14:paraId="006F341E">
                  <w:pPr>
                    <w:pStyle w:val="6"/>
                    <w:spacing w:before="59" w:line="221" w:lineRule="auto"/>
                    <w:ind w:left="10"/>
                    <w:rPr>
                      <w:sz w:val="22"/>
                      <w:szCs w:val="22"/>
                    </w:rPr>
                  </w:pPr>
                  <w:r>
                    <w:rPr>
                      <w:spacing w:val="-1"/>
                      <w:sz w:val="22"/>
                      <w:szCs w:val="22"/>
                    </w:rPr>
                    <w:t>低噪设备、减振</w:t>
                  </w:r>
                </w:p>
              </w:tc>
              <w:tc>
                <w:tcPr>
                  <w:tcW w:w="1242" w:type="dxa"/>
                  <w:vAlign w:val="top"/>
                </w:tcPr>
                <w:p w14:paraId="70B28DE2">
                  <w:pPr>
                    <w:pStyle w:val="6"/>
                    <w:spacing w:before="60" w:line="220" w:lineRule="auto"/>
                    <w:ind w:left="12"/>
                    <w:rPr>
                      <w:sz w:val="22"/>
                      <w:szCs w:val="22"/>
                    </w:rPr>
                  </w:pPr>
                  <w:r>
                    <w:rPr>
                      <w:spacing w:val="-2"/>
                      <w:sz w:val="22"/>
                      <w:szCs w:val="22"/>
                    </w:rPr>
                    <w:t>昼间、夜间</w:t>
                  </w:r>
                </w:p>
              </w:tc>
            </w:tr>
            <w:tr w14:paraId="6F851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381" w:type="dxa"/>
                  <w:vAlign w:val="top"/>
                </w:tcPr>
                <w:p w14:paraId="39310C7A">
                  <w:pPr>
                    <w:spacing w:before="72" w:line="189" w:lineRule="auto"/>
                    <w:ind w:left="9"/>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921" w:type="dxa"/>
                  <w:vAlign w:val="top"/>
                </w:tcPr>
                <w:p w14:paraId="40E69DB5">
                  <w:pPr>
                    <w:pStyle w:val="6"/>
                    <w:spacing w:before="33" w:line="206" w:lineRule="auto"/>
                    <w:ind w:left="9"/>
                    <w:rPr>
                      <w:rFonts w:ascii="Times New Roman" w:hAnsi="Times New Roman" w:eastAsia="Times New Roman" w:cs="Times New Roman"/>
                      <w:sz w:val="22"/>
                      <w:szCs w:val="22"/>
                    </w:rPr>
                  </w:pPr>
                  <w:r>
                    <w:rPr>
                      <w:spacing w:val="-3"/>
                      <w:sz w:val="22"/>
                      <w:szCs w:val="22"/>
                    </w:rPr>
                    <w:t>加油机</w:t>
                  </w:r>
                  <w:r>
                    <w:rPr>
                      <w:spacing w:val="-48"/>
                      <w:sz w:val="22"/>
                      <w:szCs w:val="22"/>
                    </w:rPr>
                    <w:t xml:space="preserve"> </w:t>
                  </w:r>
                  <w:r>
                    <w:rPr>
                      <w:rFonts w:ascii="Times New Roman" w:hAnsi="Times New Roman" w:eastAsia="Times New Roman" w:cs="Times New Roman"/>
                      <w:spacing w:val="-3"/>
                      <w:sz w:val="22"/>
                      <w:szCs w:val="22"/>
                    </w:rPr>
                    <w:t>2</w:t>
                  </w:r>
                </w:p>
              </w:tc>
              <w:tc>
                <w:tcPr>
                  <w:tcW w:w="439" w:type="dxa"/>
                  <w:vAlign w:val="top"/>
                </w:tcPr>
                <w:p w14:paraId="22D55D14">
                  <w:pPr>
                    <w:spacing w:before="67" w:line="193" w:lineRule="auto"/>
                    <w:ind w:left="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595" w:type="dxa"/>
                  <w:vAlign w:val="top"/>
                </w:tcPr>
                <w:p w14:paraId="79214B71">
                  <w:pPr>
                    <w:spacing w:before="75" w:line="195" w:lineRule="auto"/>
                    <w:ind w:left="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-2.55</w:t>
                  </w:r>
                </w:p>
              </w:tc>
              <w:tc>
                <w:tcPr>
                  <w:tcW w:w="603" w:type="dxa"/>
                  <w:vAlign w:val="top"/>
                </w:tcPr>
                <w:p w14:paraId="3C05F398">
                  <w:pPr>
                    <w:spacing w:before="75" w:line="195" w:lineRule="auto"/>
                    <w:ind w:left="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7.79</w:t>
                  </w:r>
                </w:p>
              </w:tc>
              <w:tc>
                <w:tcPr>
                  <w:tcW w:w="603" w:type="dxa"/>
                  <w:vAlign w:val="top"/>
                </w:tcPr>
                <w:p w14:paraId="5C4FB824">
                  <w:pPr>
                    <w:spacing w:before="75" w:line="195" w:lineRule="auto"/>
                    <w:ind w:left="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19" w:type="dxa"/>
                  <w:vAlign w:val="top"/>
                </w:tcPr>
                <w:p w14:paraId="62951788">
                  <w:pPr>
                    <w:spacing w:before="67" w:line="193" w:lineRule="auto"/>
                    <w:ind w:left="1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65/1</w:t>
                  </w:r>
                </w:p>
              </w:tc>
              <w:tc>
                <w:tcPr>
                  <w:tcW w:w="1606" w:type="dxa"/>
                  <w:vAlign w:val="top"/>
                </w:tcPr>
                <w:p w14:paraId="1E79A88F">
                  <w:pPr>
                    <w:pStyle w:val="6"/>
                    <w:spacing w:before="33" w:line="206" w:lineRule="auto"/>
                    <w:ind w:left="10"/>
                    <w:rPr>
                      <w:sz w:val="22"/>
                      <w:szCs w:val="22"/>
                    </w:rPr>
                  </w:pPr>
                  <w:r>
                    <w:rPr>
                      <w:spacing w:val="-1"/>
                      <w:sz w:val="22"/>
                      <w:szCs w:val="22"/>
                    </w:rPr>
                    <w:t>低噪设备、减振</w:t>
                  </w:r>
                </w:p>
              </w:tc>
              <w:tc>
                <w:tcPr>
                  <w:tcW w:w="1242" w:type="dxa"/>
                  <w:vAlign w:val="top"/>
                </w:tcPr>
                <w:p w14:paraId="263CDF86">
                  <w:pPr>
                    <w:pStyle w:val="6"/>
                    <w:spacing w:before="33" w:line="206" w:lineRule="auto"/>
                    <w:ind w:left="12"/>
                    <w:rPr>
                      <w:sz w:val="22"/>
                      <w:szCs w:val="22"/>
                    </w:rPr>
                  </w:pPr>
                  <w:r>
                    <w:rPr>
                      <w:spacing w:val="-2"/>
                      <w:sz w:val="22"/>
                      <w:szCs w:val="22"/>
                    </w:rPr>
                    <w:t>昼间、夜间</w:t>
                  </w:r>
                </w:p>
              </w:tc>
            </w:tr>
            <w:tr w14:paraId="32EBF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381" w:type="dxa"/>
                  <w:vAlign w:val="top"/>
                </w:tcPr>
                <w:p w14:paraId="484BC05D">
                  <w:pPr>
                    <w:spacing w:before="73" w:line="189" w:lineRule="auto"/>
                    <w:ind w:left="14"/>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921" w:type="dxa"/>
                  <w:vAlign w:val="top"/>
                </w:tcPr>
                <w:p w14:paraId="0A5D25F2">
                  <w:pPr>
                    <w:pStyle w:val="6"/>
                    <w:spacing w:before="37" w:line="206" w:lineRule="auto"/>
                    <w:ind w:left="9"/>
                    <w:rPr>
                      <w:rFonts w:ascii="Times New Roman" w:hAnsi="Times New Roman" w:eastAsia="Times New Roman" w:cs="Times New Roman"/>
                      <w:sz w:val="22"/>
                      <w:szCs w:val="22"/>
                    </w:rPr>
                  </w:pPr>
                  <w:r>
                    <w:rPr>
                      <w:spacing w:val="-3"/>
                      <w:sz w:val="22"/>
                      <w:szCs w:val="22"/>
                    </w:rPr>
                    <w:t>加油机</w:t>
                  </w:r>
                  <w:r>
                    <w:rPr>
                      <w:spacing w:val="-44"/>
                      <w:sz w:val="22"/>
                      <w:szCs w:val="22"/>
                    </w:rPr>
                    <w:t xml:space="preserve"> </w:t>
                  </w:r>
                  <w:r>
                    <w:rPr>
                      <w:rFonts w:ascii="Times New Roman" w:hAnsi="Times New Roman" w:eastAsia="Times New Roman" w:cs="Times New Roman"/>
                      <w:spacing w:val="-3"/>
                      <w:sz w:val="22"/>
                      <w:szCs w:val="22"/>
                    </w:rPr>
                    <w:t>3</w:t>
                  </w:r>
                </w:p>
              </w:tc>
              <w:tc>
                <w:tcPr>
                  <w:tcW w:w="439" w:type="dxa"/>
                  <w:vAlign w:val="top"/>
                </w:tcPr>
                <w:p w14:paraId="21DA5B5A">
                  <w:pPr>
                    <w:spacing w:before="69" w:line="193" w:lineRule="auto"/>
                    <w:ind w:left="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595" w:type="dxa"/>
                  <w:vAlign w:val="top"/>
                </w:tcPr>
                <w:p w14:paraId="4B5F95D9">
                  <w:pPr>
                    <w:spacing w:before="78" w:line="195" w:lineRule="auto"/>
                    <w:ind w:left="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2.96</w:t>
                  </w:r>
                </w:p>
              </w:tc>
              <w:tc>
                <w:tcPr>
                  <w:tcW w:w="603" w:type="dxa"/>
                  <w:vAlign w:val="top"/>
                </w:tcPr>
                <w:p w14:paraId="476161F3">
                  <w:pPr>
                    <w:spacing w:before="78" w:line="195" w:lineRule="auto"/>
                    <w:ind w:left="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-3.51</w:t>
                  </w:r>
                </w:p>
              </w:tc>
              <w:tc>
                <w:tcPr>
                  <w:tcW w:w="603" w:type="dxa"/>
                  <w:vAlign w:val="top"/>
                </w:tcPr>
                <w:p w14:paraId="53FACE15">
                  <w:pPr>
                    <w:spacing w:before="79" w:line="195" w:lineRule="auto"/>
                    <w:ind w:left="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19" w:type="dxa"/>
                  <w:vAlign w:val="top"/>
                </w:tcPr>
                <w:p w14:paraId="7D05CFF6">
                  <w:pPr>
                    <w:spacing w:before="69" w:line="193" w:lineRule="auto"/>
                    <w:ind w:left="1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65/1</w:t>
                  </w:r>
                </w:p>
              </w:tc>
              <w:tc>
                <w:tcPr>
                  <w:tcW w:w="1606" w:type="dxa"/>
                  <w:vAlign w:val="top"/>
                </w:tcPr>
                <w:p w14:paraId="3DCC81BE">
                  <w:pPr>
                    <w:pStyle w:val="6"/>
                    <w:spacing w:before="37" w:line="206" w:lineRule="auto"/>
                    <w:ind w:left="10"/>
                    <w:rPr>
                      <w:sz w:val="22"/>
                      <w:szCs w:val="22"/>
                    </w:rPr>
                  </w:pPr>
                  <w:r>
                    <w:rPr>
                      <w:spacing w:val="-1"/>
                      <w:sz w:val="22"/>
                      <w:szCs w:val="22"/>
                    </w:rPr>
                    <w:t>低噪设备、减振</w:t>
                  </w:r>
                </w:p>
              </w:tc>
              <w:tc>
                <w:tcPr>
                  <w:tcW w:w="1242" w:type="dxa"/>
                  <w:vAlign w:val="top"/>
                </w:tcPr>
                <w:p w14:paraId="77625478">
                  <w:pPr>
                    <w:pStyle w:val="6"/>
                    <w:spacing w:before="37" w:line="206" w:lineRule="auto"/>
                    <w:ind w:left="12"/>
                    <w:rPr>
                      <w:sz w:val="22"/>
                      <w:szCs w:val="22"/>
                    </w:rPr>
                  </w:pPr>
                  <w:r>
                    <w:rPr>
                      <w:spacing w:val="-2"/>
                      <w:sz w:val="22"/>
                      <w:szCs w:val="22"/>
                    </w:rPr>
                    <w:t>昼间、夜间</w:t>
                  </w:r>
                </w:p>
              </w:tc>
            </w:tr>
          </w:tbl>
          <w:p w14:paraId="7BD60C20">
            <w:pPr>
              <w:spacing w:line="225" w:lineRule="exact"/>
              <w:rPr>
                <w:rFonts w:ascii="Arial"/>
                <w:sz w:val="19"/>
              </w:rPr>
            </w:pPr>
          </w:p>
        </w:tc>
      </w:tr>
    </w:tbl>
    <w:p w14:paraId="7EAFF8CA">
      <w:pPr>
        <w:pStyle w:val="2"/>
        <w:rPr>
          <w:sz w:val="21"/>
        </w:rPr>
      </w:pPr>
    </w:p>
    <w:p w14:paraId="0438C344">
      <w:pPr>
        <w:rPr>
          <w:sz w:val="21"/>
          <w:szCs w:val="21"/>
        </w:rPr>
        <w:sectPr>
          <w:footerReference r:id="rId86" w:type="default"/>
          <w:pgSz w:w="11907" w:h="16840"/>
          <w:pgMar w:top="400" w:right="1453" w:bottom="1008" w:left="1453" w:header="0" w:footer="770" w:gutter="0"/>
          <w:cols w:space="720" w:num="1"/>
        </w:sectPr>
      </w:pPr>
    </w:p>
    <w:p w14:paraId="79C37AFE">
      <w:pPr>
        <w:spacing w:before="19"/>
      </w:pPr>
    </w:p>
    <w:p w14:paraId="216D7C85">
      <w:pPr>
        <w:spacing w:before="19"/>
      </w:pPr>
    </w:p>
    <w:p w14:paraId="144207D4">
      <w:pPr>
        <w:spacing w:before="19"/>
      </w:pPr>
    </w:p>
    <w:p w14:paraId="50889E36">
      <w:pPr>
        <w:spacing w:before="18"/>
      </w:pPr>
    </w:p>
    <w:p w14:paraId="761139C7">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5B1F4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10" w:hRule="atLeast"/>
        </w:trPr>
        <w:tc>
          <w:tcPr>
            <w:tcW w:w="754" w:type="dxa"/>
            <w:tcBorders>
              <w:right w:val="single" w:color="000000" w:sz="2" w:space="0"/>
            </w:tcBorders>
            <w:vAlign w:val="top"/>
          </w:tcPr>
          <w:p w14:paraId="7AD6E780">
            <w:pPr>
              <w:spacing w:line="243" w:lineRule="auto"/>
              <w:rPr>
                <w:rFonts w:ascii="Arial"/>
                <w:sz w:val="21"/>
              </w:rPr>
            </w:pPr>
          </w:p>
          <w:p w14:paraId="39948D42">
            <w:pPr>
              <w:spacing w:line="243" w:lineRule="auto"/>
              <w:rPr>
                <w:rFonts w:ascii="Arial"/>
                <w:sz w:val="21"/>
              </w:rPr>
            </w:pPr>
          </w:p>
          <w:p w14:paraId="661ACB0E">
            <w:pPr>
              <w:spacing w:line="243" w:lineRule="auto"/>
              <w:rPr>
                <w:rFonts w:ascii="Arial"/>
                <w:sz w:val="21"/>
              </w:rPr>
            </w:pPr>
          </w:p>
          <w:p w14:paraId="5E1444D6">
            <w:pPr>
              <w:spacing w:line="243" w:lineRule="auto"/>
              <w:rPr>
                <w:rFonts w:ascii="Arial"/>
                <w:sz w:val="21"/>
              </w:rPr>
            </w:pPr>
          </w:p>
          <w:p w14:paraId="41B29697">
            <w:pPr>
              <w:spacing w:line="243" w:lineRule="auto"/>
              <w:rPr>
                <w:rFonts w:ascii="Arial"/>
                <w:sz w:val="21"/>
              </w:rPr>
            </w:pPr>
          </w:p>
          <w:p w14:paraId="13043F37">
            <w:pPr>
              <w:spacing w:line="244" w:lineRule="auto"/>
              <w:rPr>
                <w:rFonts w:ascii="Arial"/>
                <w:sz w:val="21"/>
              </w:rPr>
            </w:pPr>
          </w:p>
          <w:p w14:paraId="16E7DA54">
            <w:pPr>
              <w:spacing w:line="244" w:lineRule="auto"/>
              <w:rPr>
                <w:rFonts w:ascii="Arial"/>
                <w:sz w:val="21"/>
              </w:rPr>
            </w:pPr>
          </w:p>
          <w:p w14:paraId="13ACE8A8">
            <w:pPr>
              <w:spacing w:line="244" w:lineRule="auto"/>
              <w:rPr>
                <w:rFonts w:ascii="Arial"/>
                <w:sz w:val="21"/>
              </w:rPr>
            </w:pPr>
          </w:p>
          <w:p w14:paraId="1C452D70">
            <w:pPr>
              <w:spacing w:line="244" w:lineRule="auto"/>
              <w:rPr>
                <w:rFonts w:ascii="Arial"/>
                <w:sz w:val="21"/>
              </w:rPr>
            </w:pPr>
          </w:p>
          <w:p w14:paraId="642377DD">
            <w:pPr>
              <w:spacing w:line="244" w:lineRule="auto"/>
              <w:rPr>
                <w:rFonts w:ascii="Arial"/>
                <w:sz w:val="21"/>
              </w:rPr>
            </w:pPr>
          </w:p>
          <w:p w14:paraId="32030CEB">
            <w:pPr>
              <w:spacing w:line="244" w:lineRule="auto"/>
              <w:rPr>
                <w:rFonts w:ascii="Arial"/>
                <w:sz w:val="21"/>
              </w:rPr>
            </w:pPr>
          </w:p>
          <w:p w14:paraId="548FCF3C">
            <w:pPr>
              <w:spacing w:line="244" w:lineRule="auto"/>
              <w:rPr>
                <w:rFonts w:ascii="Arial"/>
                <w:sz w:val="21"/>
              </w:rPr>
            </w:pPr>
          </w:p>
          <w:p w14:paraId="1FA91E06">
            <w:pPr>
              <w:spacing w:line="244" w:lineRule="auto"/>
              <w:rPr>
                <w:rFonts w:ascii="Arial"/>
                <w:sz w:val="21"/>
              </w:rPr>
            </w:pPr>
          </w:p>
          <w:p w14:paraId="3D6D1608">
            <w:pPr>
              <w:spacing w:line="244" w:lineRule="auto"/>
              <w:rPr>
                <w:rFonts w:ascii="Arial"/>
                <w:sz w:val="21"/>
              </w:rPr>
            </w:pPr>
          </w:p>
          <w:p w14:paraId="7A8D183C">
            <w:pPr>
              <w:spacing w:line="244" w:lineRule="auto"/>
              <w:rPr>
                <w:rFonts w:ascii="Arial"/>
                <w:sz w:val="21"/>
              </w:rPr>
            </w:pPr>
          </w:p>
          <w:p w14:paraId="0B3F4876">
            <w:pPr>
              <w:spacing w:line="244" w:lineRule="auto"/>
              <w:rPr>
                <w:rFonts w:ascii="Arial"/>
                <w:sz w:val="21"/>
              </w:rPr>
            </w:pPr>
          </w:p>
          <w:p w14:paraId="1D7D98E7">
            <w:pPr>
              <w:spacing w:line="244" w:lineRule="auto"/>
              <w:rPr>
                <w:rFonts w:ascii="Arial"/>
                <w:sz w:val="21"/>
              </w:rPr>
            </w:pPr>
          </w:p>
          <w:p w14:paraId="38E00E26">
            <w:pPr>
              <w:spacing w:line="244" w:lineRule="auto"/>
              <w:rPr>
                <w:rFonts w:ascii="Arial"/>
                <w:sz w:val="21"/>
              </w:rPr>
            </w:pPr>
          </w:p>
          <w:p w14:paraId="2058B8D0">
            <w:pPr>
              <w:spacing w:line="244" w:lineRule="auto"/>
              <w:rPr>
                <w:rFonts w:ascii="Arial"/>
                <w:sz w:val="21"/>
              </w:rPr>
            </w:pPr>
          </w:p>
          <w:p w14:paraId="7C5B3693">
            <w:pPr>
              <w:spacing w:line="244" w:lineRule="auto"/>
              <w:rPr>
                <w:rFonts w:ascii="Arial"/>
                <w:sz w:val="21"/>
              </w:rPr>
            </w:pPr>
          </w:p>
          <w:p w14:paraId="7B3EB1CA">
            <w:pPr>
              <w:spacing w:line="244" w:lineRule="auto"/>
              <w:rPr>
                <w:rFonts w:ascii="Arial"/>
                <w:sz w:val="21"/>
              </w:rPr>
            </w:pPr>
          </w:p>
          <w:p w14:paraId="3729800D">
            <w:pPr>
              <w:spacing w:line="244" w:lineRule="auto"/>
              <w:rPr>
                <w:rFonts w:ascii="Arial"/>
                <w:sz w:val="21"/>
              </w:rPr>
            </w:pPr>
          </w:p>
          <w:p w14:paraId="0EB93DE9">
            <w:pPr>
              <w:pStyle w:val="6"/>
              <w:spacing w:before="81" w:line="249" w:lineRule="auto"/>
              <w:ind w:left="118" w:right="117"/>
              <w:jc w:val="both"/>
            </w:pPr>
            <w:r>
              <w:rPr>
                <w:spacing w:val="4"/>
              </w:rPr>
              <w:t>运营期环境影响和保护措施</w:t>
            </w:r>
          </w:p>
        </w:tc>
        <w:tc>
          <w:tcPr>
            <w:tcW w:w="8158" w:type="dxa"/>
            <w:tcBorders>
              <w:left w:val="single" w:color="000000" w:sz="2" w:space="0"/>
            </w:tcBorders>
            <w:vAlign w:val="top"/>
          </w:tcPr>
          <w:p w14:paraId="59225B4C">
            <w:pPr>
              <w:pStyle w:val="6"/>
              <w:spacing w:before="150" w:line="226" w:lineRule="auto"/>
              <w:ind w:left="640"/>
            </w:pPr>
            <w:r>
              <w:rPr>
                <w:spacing w:val="6"/>
              </w:rPr>
              <w:t>（</w:t>
            </w:r>
            <w:r>
              <w:rPr>
                <w:rFonts w:ascii="Times New Roman" w:hAnsi="Times New Roman" w:eastAsia="Times New Roman" w:cs="Times New Roman"/>
                <w:spacing w:val="6"/>
              </w:rPr>
              <w:t>2</w:t>
            </w:r>
            <w:r>
              <w:rPr>
                <w:spacing w:val="6"/>
              </w:rPr>
              <w:t>）预测模式</w:t>
            </w:r>
          </w:p>
          <w:p w14:paraId="75178E5A">
            <w:pPr>
              <w:pStyle w:val="6"/>
              <w:spacing w:before="154" w:line="226" w:lineRule="auto"/>
              <w:ind w:left="667"/>
            </w:pPr>
            <w:r>
              <w:rPr>
                <w:spacing w:val="6"/>
              </w:rPr>
              <w:t>预测模式如下：</w:t>
            </w:r>
          </w:p>
          <w:p w14:paraId="36806AF1">
            <w:pPr>
              <w:pStyle w:val="6"/>
              <w:spacing w:before="152" w:line="224" w:lineRule="auto"/>
              <w:ind w:left="664"/>
            </w:pPr>
            <w:r>
              <w:rPr>
                <w:spacing w:val="9"/>
              </w:rPr>
              <w:t>①室内声源等效室外声源声功率级计算方法</w:t>
            </w:r>
          </w:p>
          <w:p w14:paraId="733A373C">
            <w:pPr>
              <w:pStyle w:val="6"/>
              <w:spacing w:before="111" w:line="348" w:lineRule="exact"/>
              <w:ind w:left="2983"/>
            </w:pPr>
            <w:r>
              <w:rPr>
                <w:rFonts w:ascii="Times New Roman" w:hAnsi="Times New Roman" w:eastAsia="Times New Roman" w:cs="Times New Roman"/>
                <w:position w:val="4"/>
              </w:rPr>
              <w:t>Lp</w:t>
            </w:r>
            <w:r>
              <w:rPr>
                <w:rFonts w:ascii="Times New Roman" w:hAnsi="Times New Roman" w:eastAsia="Times New Roman" w:cs="Times New Roman"/>
                <w:spacing w:val="8"/>
                <w:position w:val="4"/>
              </w:rPr>
              <w:t>2=</w:t>
            </w:r>
            <w:r>
              <w:rPr>
                <w:rFonts w:ascii="Times New Roman" w:hAnsi="Times New Roman" w:eastAsia="Times New Roman" w:cs="Times New Roman"/>
                <w:position w:val="4"/>
              </w:rPr>
              <w:t>Lp</w:t>
            </w:r>
            <w:r>
              <w:rPr>
                <w:rFonts w:ascii="Times New Roman" w:hAnsi="Times New Roman" w:eastAsia="Times New Roman" w:cs="Times New Roman"/>
                <w:spacing w:val="8"/>
                <w:position w:val="4"/>
              </w:rPr>
              <w:t>1-</w:t>
            </w:r>
            <w:r>
              <w:rPr>
                <w:spacing w:val="8"/>
                <w:position w:val="4"/>
              </w:rPr>
              <w:t>（</w:t>
            </w:r>
            <w:r>
              <w:rPr>
                <w:rFonts w:ascii="Times New Roman" w:hAnsi="Times New Roman" w:eastAsia="Times New Roman" w:cs="Times New Roman"/>
                <w:position w:val="4"/>
              </w:rPr>
              <w:t>TL</w:t>
            </w:r>
            <w:r>
              <w:rPr>
                <w:rFonts w:ascii="Times New Roman" w:hAnsi="Times New Roman" w:eastAsia="Times New Roman" w:cs="Times New Roman"/>
                <w:spacing w:val="8"/>
                <w:position w:val="4"/>
              </w:rPr>
              <w:t>+6</w:t>
            </w:r>
            <w:r>
              <w:rPr>
                <w:spacing w:val="8"/>
                <w:position w:val="4"/>
              </w:rPr>
              <w:t>）</w:t>
            </w:r>
          </w:p>
          <w:p w14:paraId="065AA55A">
            <w:pPr>
              <w:pStyle w:val="6"/>
              <w:spacing w:before="158" w:line="227" w:lineRule="auto"/>
              <w:ind w:left="670"/>
            </w:pPr>
            <w:r>
              <w:t>式中：</w:t>
            </w:r>
          </w:p>
          <w:p w14:paraId="382E56E8">
            <w:pPr>
              <w:pStyle w:val="6"/>
              <w:spacing w:before="153" w:line="300" w:lineRule="auto"/>
              <w:ind w:left="107" w:right="117" w:firstLine="553"/>
            </w:pPr>
            <w:r>
              <w:rPr>
                <w:rFonts w:ascii="Times New Roman" w:hAnsi="Times New Roman" w:eastAsia="Times New Roman" w:cs="Times New Roman"/>
              </w:rPr>
              <w:t>Lpl</w:t>
            </w:r>
            <w:r>
              <w:rPr>
                <w:spacing w:val="7"/>
              </w:rPr>
              <w:t>——靠近开口处（或窗户）室内某倍频带的声压级或</w:t>
            </w:r>
            <w:r>
              <w:rPr>
                <w:spacing w:val="-43"/>
              </w:rPr>
              <w:t xml:space="preserve"> </w:t>
            </w:r>
            <w:r>
              <w:rPr>
                <w:rFonts w:ascii="Times New Roman" w:hAnsi="Times New Roman" w:eastAsia="Times New Roman" w:cs="Times New Roman"/>
                <w:spacing w:val="7"/>
              </w:rPr>
              <w:t xml:space="preserve">A </w:t>
            </w:r>
            <w:r>
              <w:rPr>
                <w:spacing w:val="7"/>
              </w:rPr>
              <w:t>声级，</w:t>
            </w:r>
            <w:r>
              <w:t xml:space="preserve"> </w:t>
            </w:r>
            <w:r>
              <w:rPr>
                <w:rFonts w:ascii="Times New Roman" w:hAnsi="Times New Roman" w:eastAsia="Times New Roman" w:cs="Times New Roman"/>
              </w:rPr>
              <w:t>dB</w:t>
            </w:r>
            <w:r>
              <w:rPr>
                <w:spacing w:val="1"/>
              </w:rPr>
              <w:t>；</w:t>
            </w:r>
          </w:p>
          <w:p w14:paraId="42DAF87D">
            <w:pPr>
              <w:pStyle w:val="6"/>
              <w:spacing w:before="1" w:line="362" w:lineRule="auto"/>
              <w:ind w:left="585" w:right="38" w:hanging="2"/>
            </w:pPr>
            <w:r>
              <w:rPr>
                <w:rFonts w:ascii="Times New Roman" w:hAnsi="Times New Roman" w:eastAsia="Times New Roman" w:cs="Times New Roman"/>
                <w:spacing w:val="-1"/>
              </w:rPr>
              <w:t>Lp2</w:t>
            </w:r>
            <w:r>
              <w:rPr>
                <w:spacing w:val="-1"/>
              </w:rPr>
              <w:t>——靠近开口处</w:t>
            </w:r>
            <w:r>
              <w:rPr>
                <w:rFonts w:ascii="Times New Roman" w:hAnsi="Times New Roman" w:eastAsia="Times New Roman" w:cs="Times New Roman"/>
                <w:spacing w:val="-1"/>
              </w:rPr>
              <w:t>(</w:t>
            </w:r>
            <w:r>
              <w:rPr>
                <w:spacing w:val="-1"/>
              </w:rPr>
              <w:t>或窗户）室外某倍</w:t>
            </w:r>
            <w:r>
              <w:rPr>
                <w:spacing w:val="-2"/>
              </w:rPr>
              <w:t>频带的声压级或</w:t>
            </w:r>
            <w:r>
              <w:rPr>
                <w:spacing w:val="-73"/>
              </w:rPr>
              <w:t xml:space="preserve"> </w:t>
            </w:r>
            <w:r>
              <w:rPr>
                <w:rFonts w:ascii="Times New Roman" w:hAnsi="Times New Roman" w:eastAsia="Times New Roman" w:cs="Times New Roman"/>
                <w:spacing w:val="-2"/>
              </w:rPr>
              <w:t xml:space="preserve">A </w:t>
            </w:r>
            <w:r>
              <w:rPr>
                <w:spacing w:val="-2"/>
              </w:rPr>
              <w:t>声级，</w:t>
            </w:r>
            <w:r>
              <w:rPr>
                <w:rFonts w:ascii="Times New Roman" w:hAnsi="Times New Roman" w:eastAsia="Times New Roman" w:cs="Times New Roman"/>
                <w:spacing w:val="-2"/>
              </w:rPr>
              <w:t>dB</w:t>
            </w:r>
            <w:r>
              <w:rPr>
                <w:spacing w:val="-2"/>
              </w:rPr>
              <w:t>；</w:t>
            </w:r>
            <w:r>
              <w:t xml:space="preserve"> </w:t>
            </w:r>
            <w:r>
              <w:rPr>
                <w:rFonts w:ascii="Times New Roman" w:hAnsi="Times New Roman" w:eastAsia="Times New Roman" w:cs="Times New Roman"/>
              </w:rPr>
              <w:t>TL</w:t>
            </w:r>
            <w:r>
              <w:rPr>
                <w:spacing w:val="8"/>
              </w:rPr>
              <w:t>——隔墙</w:t>
            </w:r>
            <w:r>
              <w:rPr>
                <w:rFonts w:ascii="Times New Roman" w:hAnsi="Times New Roman" w:eastAsia="Times New Roman" w:cs="Times New Roman"/>
                <w:spacing w:val="8"/>
              </w:rPr>
              <w:t>(</w:t>
            </w:r>
            <w:r>
              <w:rPr>
                <w:spacing w:val="8"/>
              </w:rPr>
              <w:t>或窗户</w:t>
            </w:r>
            <w:r>
              <w:rPr>
                <w:rFonts w:ascii="Times New Roman" w:hAnsi="Times New Roman" w:eastAsia="Times New Roman" w:cs="Times New Roman"/>
                <w:spacing w:val="8"/>
              </w:rPr>
              <w:t>)</w:t>
            </w:r>
            <w:r>
              <w:rPr>
                <w:spacing w:val="8"/>
              </w:rPr>
              <w:t>倍频带或</w:t>
            </w:r>
            <w:r>
              <w:rPr>
                <w:spacing w:val="-46"/>
              </w:rPr>
              <w:t xml:space="preserve"> </w:t>
            </w:r>
            <w:r>
              <w:rPr>
                <w:rFonts w:ascii="Times New Roman" w:hAnsi="Times New Roman" w:eastAsia="Times New Roman" w:cs="Times New Roman"/>
                <w:spacing w:val="8"/>
              </w:rPr>
              <w:t>A</w:t>
            </w:r>
            <w:r>
              <w:rPr>
                <w:rFonts w:ascii="Times New Roman" w:hAnsi="Times New Roman" w:eastAsia="Times New Roman" w:cs="Times New Roman"/>
                <w:spacing w:val="20"/>
              </w:rPr>
              <w:t xml:space="preserve"> </w:t>
            </w:r>
            <w:r>
              <w:rPr>
                <w:spacing w:val="8"/>
              </w:rPr>
              <w:t>声级的隔声量，</w:t>
            </w:r>
            <w:r>
              <w:rPr>
                <w:rFonts w:ascii="Times New Roman" w:hAnsi="Times New Roman" w:eastAsia="Times New Roman" w:cs="Times New Roman"/>
              </w:rPr>
              <w:t>dB</w:t>
            </w:r>
            <w:r>
              <w:rPr>
                <w:spacing w:val="8"/>
              </w:rPr>
              <w:t>。</w:t>
            </w:r>
          </w:p>
          <w:p w14:paraId="1C7BDE74">
            <w:pPr>
              <w:pStyle w:val="6"/>
              <w:spacing w:before="31" w:line="224" w:lineRule="auto"/>
              <w:ind w:left="586"/>
            </w:pPr>
            <w:r>
              <w:rPr>
                <w:spacing w:val="8"/>
              </w:rPr>
              <w:t>②点声源模式</w:t>
            </w:r>
          </w:p>
          <w:p w14:paraId="199A1343">
            <w:pPr>
              <w:spacing w:before="137" w:line="348" w:lineRule="exact"/>
              <w:ind w:left="3072"/>
              <w:rPr>
                <w:rFonts w:ascii="Times New Roman" w:hAnsi="Times New Roman" w:eastAsia="Times New Roman" w:cs="Times New Roman"/>
                <w:sz w:val="25"/>
                <w:szCs w:val="25"/>
              </w:rPr>
            </w:pPr>
            <w:r>
              <w:rPr>
                <w:rFonts w:ascii="Times New Roman" w:hAnsi="Times New Roman" w:eastAsia="Times New Roman" w:cs="Times New Roman"/>
                <w:position w:val="4"/>
                <w:sz w:val="25"/>
                <w:szCs w:val="25"/>
              </w:rPr>
              <w:t>LA</w:t>
            </w:r>
            <w:r>
              <w:rPr>
                <w:rFonts w:ascii="Times New Roman" w:hAnsi="Times New Roman" w:eastAsia="Times New Roman" w:cs="Times New Roman"/>
                <w:spacing w:val="6"/>
                <w:position w:val="4"/>
                <w:sz w:val="25"/>
                <w:szCs w:val="25"/>
              </w:rPr>
              <w:t>=</w:t>
            </w:r>
            <w:r>
              <w:rPr>
                <w:rFonts w:ascii="Times New Roman" w:hAnsi="Times New Roman" w:eastAsia="Times New Roman" w:cs="Times New Roman"/>
                <w:position w:val="4"/>
                <w:sz w:val="25"/>
                <w:szCs w:val="25"/>
              </w:rPr>
              <w:t>Lp</w:t>
            </w:r>
            <w:r>
              <w:rPr>
                <w:rFonts w:ascii="Times New Roman" w:hAnsi="Times New Roman" w:eastAsia="Times New Roman" w:cs="Times New Roman"/>
                <w:spacing w:val="6"/>
                <w:position w:val="4"/>
                <w:sz w:val="25"/>
                <w:szCs w:val="25"/>
              </w:rPr>
              <w:t>2-20</w:t>
            </w:r>
            <w:r>
              <w:rPr>
                <w:rFonts w:ascii="Times New Roman" w:hAnsi="Times New Roman" w:eastAsia="Times New Roman" w:cs="Times New Roman"/>
                <w:position w:val="4"/>
                <w:sz w:val="25"/>
                <w:szCs w:val="25"/>
              </w:rPr>
              <w:t>lg</w:t>
            </w:r>
            <w:r>
              <w:rPr>
                <w:rFonts w:ascii="Times New Roman" w:hAnsi="Times New Roman" w:eastAsia="Times New Roman" w:cs="Times New Roman"/>
                <w:spacing w:val="6"/>
                <w:position w:val="4"/>
                <w:sz w:val="25"/>
                <w:szCs w:val="25"/>
              </w:rPr>
              <w:t>(r/r0)</w:t>
            </w:r>
          </w:p>
          <w:p w14:paraId="74BEA1BA">
            <w:pPr>
              <w:pStyle w:val="6"/>
              <w:spacing w:before="164" w:line="227" w:lineRule="auto"/>
              <w:ind w:left="593"/>
            </w:pPr>
            <w:r>
              <w:t>式中：</w:t>
            </w:r>
          </w:p>
          <w:p w14:paraId="1B2A2FDA">
            <w:pPr>
              <w:pStyle w:val="6"/>
              <w:spacing w:before="200" w:line="219" w:lineRule="auto"/>
              <w:ind w:left="583"/>
            </w:pPr>
            <w:r>
              <w:rPr>
                <w:rFonts w:ascii="Times New Roman" w:hAnsi="Times New Roman" w:eastAsia="Times New Roman" w:cs="Times New Roman"/>
              </w:rPr>
              <w:t>LA</w:t>
            </w:r>
            <w:r>
              <w:rPr>
                <w:rFonts w:ascii="Times New Roman" w:hAnsi="Times New Roman" w:eastAsia="Times New Roman" w:cs="Times New Roman"/>
                <w:spacing w:val="9"/>
              </w:rPr>
              <w:t>——</w:t>
            </w:r>
            <w:r>
              <w:rPr>
                <w:spacing w:val="9"/>
              </w:rPr>
              <w:t>预测点声压级，</w:t>
            </w:r>
            <w:r>
              <w:rPr>
                <w:rFonts w:ascii="Times New Roman" w:hAnsi="Times New Roman" w:eastAsia="Times New Roman" w:cs="Times New Roman"/>
              </w:rPr>
              <w:t>dB</w:t>
            </w:r>
            <w:r>
              <w:rPr>
                <w:rFonts w:ascii="Times New Roman" w:hAnsi="Times New Roman" w:eastAsia="Times New Roman" w:cs="Times New Roman"/>
                <w:spacing w:val="9"/>
              </w:rPr>
              <w:t>(A)</w:t>
            </w:r>
            <w:r>
              <w:rPr>
                <w:spacing w:val="9"/>
              </w:rPr>
              <w:t>；</w:t>
            </w:r>
          </w:p>
          <w:p w14:paraId="7F75082B">
            <w:pPr>
              <w:pStyle w:val="6"/>
              <w:spacing w:before="209" w:line="219" w:lineRule="auto"/>
              <w:ind w:left="583"/>
            </w:pPr>
            <w:r>
              <w:rPr>
                <w:rFonts w:ascii="Times New Roman" w:hAnsi="Times New Roman" w:eastAsia="Times New Roman" w:cs="Times New Roman"/>
              </w:rPr>
              <w:t>Lp</w:t>
            </w:r>
            <w:r>
              <w:rPr>
                <w:rFonts w:ascii="Times New Roman" w:hAnsi="Times New Roman" w:eastAsia="Times New Roman" w:cs="Times New Roman"/>
                <w:spacing w:val="11"/>
              </w:rPr>
              <w:t>2——</w:t>
            </w:r>
            <w:r>
              <w:rPr>
                <w:spacing w:val="11"/>
              </w:rPr>
              <w:t>参考位置</w:t>
            </w:r>
            <w:r>
              <w:rPr>
                <w:rFonts w:ascii="Times New Roman" w:hAnsi="Times New Roman" w:eastAsia="Times New Roman" w:cs="Times New Roman"/>
                <w:spacing w:val="11"/>
              </w:rPr>
              <w:t xml:space="preserve">r0 </w:t>
            </w:r>
            <w:r>
              <w:rPr>
                <w:spacing w:val="11"/>
              </w:rPr>
              <w:t>处的声压级，</w:t>
            </w:r>
            <w:r>
              <w:rPr>
                <w:rFonts w:ascii="Times New Roman" w:hAnsi="Times New Roman" w:eastAsia="Times New Roman" w:cs="Times New Roman"/>
              </w:rPr>
              <w:t>dB</w:t>
            </w:r>
            <w:r>
              <w:rPr>
                <w:rFonts w:ascii="Times New Roman" w:hAnsi="Times New Roman" w:eastAsia="Times New Roman" w:cs="Times New Roman"/>
                <w:spacing w:val="11"/>
              </w:rPr>
              <w:t>(A)</w:t>
            </w:r>
            <w:r>
              <w:rPr>
                <w:spacing w:val="11"/>
              </w:rPr>
              <w:t>；</w:t>
            </w:r>
          </w:p>
          <w:p w14:paraId="6B763345">
            <w:pPr>
              <w:pStyle w:val="6"/>
              <w:spacing w:before="210" w:line="227" w:lineRule="auto"/>
              <w:ind w:left="580"/>
            </w:pPr>
            <w:r>
              <w:rPr>
                <w:rFonts w:ascii="Times New Roman" w:hAnsi="Times New Roman" w:eastAsia="Times New Roman" w:cs="Times New Roman"/>
                <w:spacing w:val="8"/>
              </w:rPr>
              <w:t>r——</w:t>
            </w:r>
            <w:r>
              <w:rPr>
                <w:spacing w:val="8"/>
              </w:rPr>
              <w:t>预测点距声源的距离，</w:t>
            </w:r>
            <w:r>
              <w:rPr>
                <w:rFonts w:ascii="Times New Roman" w:hAnsi="Times New Roman" w:eastAsia="Times New Roman" w:cs="Times New Roman"/>
                <w:spacing w:val="8"/>
              </w:rPr>
              <w:t>m</w:t>
            </w:r>
            <w:r>
              <w:rPr>
                <w:spacing w:val="8"/>
              </w:rPr>
              <w:t>；</w:t>
            </w:r>
          </w:p>
          <w:p w14:paraId="0877E4D3">
            <w:pPr>
              <w:pStyle w:val="6"/>
              <w:spacing w:before="197" w:line="226" w:lineRule="auto"/>
              <w:ind w:left="580"/>
            </w:pPr>
            <w:r>
              <w:rPr>
                <w:rFonts w:ascii="Times New Roman" w:hAnsi="Times New Roman" w:eastAsia="Times New Roman" w:cs="Times New Roman"/>
                <w:spacing w:val="8"/>
              </w:rPr>
              <w:t>r0——</w:t>
            </w:r>
            <w:r>
              <w:rPr>
                <w:spacing w:val="8"/>
              </w:rPr>
              <w:t>参考位置距声源的距离，</w:t>
            </w:r>
            <w:r>
              <w:rPr>
                <w:rFonts w:ascii="Times New Roman" w:hAnsi="Times New Roman" w:eastAsia="Times New Roman" w:cs="Times New Roman"/>
                <w:spacing w:val="8"/>
              </w:rPr>
              <w:t>m</w:t>
            </w:r>
            <w:r>
              <w:rPr>
                <w:spacing w:val="8"/>
              </w:rPr>
              <w:t>。</w:t>
            </w:r>
          </w:p>
          <w:p w14:paraId="0A6B1E78">
            <w:pPr>
              <w:pStyle w:val="6"/>
              <w:spacing w:before="200" w:line="224" w:lineRule="auto"/>
              <w:ind w:left="586"/>
            </w:pPr>
            <w:r>
              <w:rPr>
                <w:spacing w:val="9"/>
              </w:rPr>
              <w:t>③工业企业噪声计算</w:t>
            </w:r>
          </w:p>
          <w:p w14:paraId="2EEBA0DF">
            <w:pPr>
              <w:pStyle w:val="6"/>
              <w:spacing w:before="204" w:line="366" w:lineRule="auto"/>
              <w:ind w:left="107" w:right="103" w:firstLine="485"/>
            </w:pPr>
            <w:r>
              <w:rPr>
                <w:spacing w:val="4"/>
              </w:rPr>
              <w:t>设第</w:t>
            </w:r>
            <w:r>
              <w:rPr>
                <w:spacing w:val="-37"/>
              </w:rPr>
              <w:t xml:space="preserve"> </w:t>
            </w:r>
            <w:r>
              <w:rPr>
                <w:rFonts w:ascii="Times New Roman" w:hAnsi="Times New Roman" w:eastAsia="Times New Roman" w:cs="Times New Roman"/>
                <w:spacing w:val="4"/>
              </w:rPr>
              <w:t xml:space="preserve">i </w:t>
            </w:r>
            <w:r>
              <w:rPr>
                <w:spacing w:val="4"/>
              </w:rPr>
              <w:t>个室外声源在预测点产生的</w:t>
            </w:r>
            <w:r>
              <w:rPr>
                <w:spacing w:val="-58"/>
              </w:rPr>
              <w:t xml:space="preserve"> </w:t>
            </w:r>
            <w:r>
              <w:rPr>
                <w:rFonts w:ascii="Times New Roman" w:hAnsi="Times New Roman" w:eastAsia="Times New Roman" w:cs="Times New Roman"/>
                <w:spacing w:val="4"/>
              </w:rPr>
              <w:t>A</w:t>
            </w:r>
            <w:r>
              <w:rPr>
                <w:rFonts w:ascii="Times New Roman" w:hAnsi="Times New Roman" w:eastAsia="Times New Roman" w:cs="Times New Roman"/>
                <w:spacing w:val="20"/>
                <w:w w:val="101"/>
              </w:rPr>
              <w:t xml:space="preserve"> </w:t>
            </w:r>
            <w:r>
              <w:rPr>
                <w:spacing w:val="4"/>
              </w:rPr>
              <w:t>声级为</w:t>
            </w:r>
            <w:r>
              <w:rPr>
                <w:spacing w:val="-55"/>
              </w:rPr>
              <w:t xml:space="preserve"> </w:t>
            </w:r>
            <w:r>
              <w:rPr>
                <w:rFonts w:ascii="Times New Roman" w:hAnsi="Times New Roman" w:eastAsia="Times New Roman" w:cs="Times New Roman"/>
              </w:rPr>
              <w:t>LAi</w:t>
            </w:r>
            <w:r>
              <w:rPr>
                <w:spacing w:val="4"/>
              </w:rPr>
              <w:t>，在</w:t>
            </w:r>
            <w:r>
              <w:rPr>
                <w:spacing w:val="-53"/>
              </w:rPr>
              <w:t xml:space="preserve"> </w:t>
            </w:r>
            <w:r>
              <w:rPr>
                <w:rFonts w:ascii="Times New Roman" w:hAnsi="Times New Roman" w:eastAsia="Times New Roman" w:cs="Times New Roman"/>
                <w:spacing w:val="4"/>
              </w:rPr>
              <w:t>T</w:t>
            </w:r>
            <w:r>
              <w:rPr>
                <w:rFonts w:ascii="Times New Roman" w:hAnsi="Times New Roman" w:eastAsia="Times New Roman" w:cs="Times New Roman"/>
                <w:spacing w:val="28"/>
              </w:rPr>
              <w:t xml:space="preserve"> </w:t>
            </w:r>
            <w:r>
              <w:rPr>
                <w:spacing w:val="4"/>
              </w:rPr>
              <w:t>时间内该声</w:t>
            </w:r>
            <w:r>
              <w:rPr>
                <w:spacing w:val="10"/>
              </w:rPr>
              <w:t>源工作时间为</w:t>
            </w:r>
            <w:r>
              <w:rPr>
                <w:spacing w:val="-48"/>
              </w:rPr>
              <w:t xml:space="preserve"> </w:t>
            </w:r>
            <w:r>
              <w:rPr>
                <w:rFonts w:ascii="Times New Roman" w:hAnsi="Times New Roman" w:eastAsia="Times New Roman" w:cs="Times New Roman"/>
              </w:rPr>
              <w:t>ti</w:t>
            </w:r>
            <w:r>
              <w:rPr>
                <w:spacing w:val="10"/>
              </w:rPr>
              <w:t>﹔第</w:t>
            </w:r>
            <w:r>
              <w:rPr>
                <w:rFonts w:ascii="Times New Roman" w:hAnsi="Times New Roman" w:eastAsia="Times New Roman" w:cs="Times New Roman"/>
                <w:spacing w:val="10"/>
              </w:rPr>
              <w:t xml:space="preserve">j </w:t>
            </w:r>
            <w:r>
              <w:rPr>
                <w:spacing w:val="10"/>
              </w:rPr>
              <w:t>个等效室外声源在预测点产生的</w:t>
            </w:r>
            <w:r>
              <w:rPr>
                <w:spacing w:val="-56"/>
              </w:rPr>
              <w:t xml:space="preserve"> </w:t>
            </w:r>
            <w:r>
              <w:rPr>
                <w:rFonts w:ascii="Times New Roman" w:hAnsi="Times New Roman" w:eastAsia="Times New Roman" w:cs="Times New Roman"/>
                <w:spacing w:val="10"/>
              </w:rPr>
              <w:t xml:space="preserve">A </w:t>
            </w:r>
            <w:r>
              <w:rPr>
                <w:spacing w:val="10"/>
              </w:rPr>
              <w:t>声级为</w:t>
            </w:r>
            <w:r>
              <w:rPr>
                <w:spacing w:val="-52"/>
              </w:rPr>
              <w:t xml:space="preserve"> </w:t>
            </w:r>
            <w:r>
              <w:rPr>
                <w:rFonts w:ascii="Times New Roman" w:hAnsi="Times New Roman" w:eastAsia="Times New Roman" w:cs="Times New Roman"/>
              </w:rPr>
              <w:t>LAj</w:t>
            </w:r>
            <w:r>
              <w:rPr>
                <w:spacing w:val="10"/>
              </w:rPr>
              <w:t>，</w:t>
            </w:r>
            <w:r>
              <w:rPr>
                <w:spacing w:val="12"/>
              </w:rPr>
              <w:t>在</w:t>
            </w:r>
            <w:r>
              <w:rPr>
                <w:spacing w:val="-37"/>
              </w:rPr>
              <w:t xml:space="preserve"> </w:t>
            </w:r>
            <w:r>
              <w:rPr>
                <w:rFonts w:ascii="Times New Roman" w:hAnsi="Times New Roman" w:eastAsia="Times New Roman" w:cs="Times New Roman"/>
                <w:spacing w:val="12"/>
              </w:rPr>
              <w:t>T</w:t>
            </w:r>
            <w:r>
              <w:rPr>
                <w:rFonts w:ascii="Times New Roman" w:hAnsi="Times New Roman" w:eastAsia="Times New Roman" w:cs="Times New Roman"/>
                <w:spacing w:val="32"/>
              </w:rPr>
              <w:t xml:space="preserve"> </w:t>
            </w:r>
            <w:r>
              <w:rPr>
                <w:spacing w:val="12"/>
              </w:rPr>
              <w:t>时间内该声源工作时间为</w:t>
            </w:r>
            <w:r>
              <w:rPr>
                <w:spacing w:val="-50"/>
              </w:rPr>
              <w:t xml:space="preserve"> </w:t>
            </w:r>
            <w:r>
              <w:rPr>
                <w:rFonts w:ascii="Times New Roman" w:hAnsi="Times New Roman" w:eastAsia="Times New Roman" w:cs="Times New Roman"/>
              </w:rPr>
              <w:t>tj</w:t>
            </w:r>
            <w:r>
              <w:rPr>
                <w:rFonts w:ascii="Times New Roman" w:hAnsi="Times New Roman" w:eastAsia="Times New Roman" w:cs="Times New Roman"/>
                <w:spacing w:val="-24"/>
              </w:rPr>
              <w:t xml:space="preserve"> </w:t>
            </w:r>
            <w:r>
              <w:rPr>
                <w:spacing w:val="12"/>
              </w:rPr>
              <w:t>，则工程声源对预测点产生的贡献值</w:t>
            </w:r>
            <w:r>
              <w:rPr>
                <w:spacing w:val="9"/>
              </w:rPr>
              <w:t>（</w:t>
            </w:r>
            <w:r>
              <w:rPr>
                <w:rFonts w:ascii="Times New Roman" w:hAnsi="Times New Roman" w:eastAsia="Times New Roman" w:cs="Times New Roman"/>
              </w:rPr>
              <w:t>Leqg</w:t>
            </w:r>
            <w:r>
              <w:rPr>
                <w:spacing w:val="9"/>
              </w:rPr>
              <w:t>）为：</w:t>
            </w:r>
          </w:p>
          <w:p w14:paraId="2DAA3A63">
            <w:pPr>
              <w:spacing w:line="1111" w:lineRule="exact"/>
              <w:ind w:firstLine="981"/>
            </w:pPr>
            <w:r>
              <w:rPr>
                <w:position w:val="-22"/>
              </w:rPr>
              <w:drawing>
                <wp:inline distT="0" distB="0" distL="0" distR="0">
                  <wp:extent cx="3921125" cy="70548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47"/>
                          <a:stretch>
                            <a:fillRect/>
                          </a:stretch>
                        </pic:blipFill>
                        <pic:spPr>
                          <a:xfrm>
                            <a:off x="0" y="0"/>
                            <a:ext cx="3921252" cy="705611"/>
                          </a:xfrm>
                          <a:prstGeom prst="rect">
                            <a:avLst/>
                          </a:prstGeom>
                        </pic:spPr>
                      </pic:pic>
                    </a:graphicData>
                  </a:graphic>
                </wp:inline>
              </w:drawing>
            </w:r>
          </w:p>
          <w:p w14:paraId="6358FB22">
            <w:pPr>
              <w:pStyle w:val="6"/>
              <w:spacing w:before="294" w:line="227" w:lineRule="auto"/>
              <w:ind w:left="593"/>
            </w:pPr>
            <w:r>
              <w:t>式中：</w:t>
            </w:r>
          </w:p>
          <w:p w14:paraId="63331381">
            <w:pPr>
              <w:pStyle w:val="6"/>
              <w:spacing w:before="154" w:line="219" w:lineRule="auto"/>
              <w:ind w:left="761"/>
            </w:pPr>
            <w:r>
              <w:pict>
                <v:shape id="_x0000_s1037" o:spid="_x0000_s1037" o:spt="202" type="#_x0000_t202" style="position:absolute;left:0pt;margin-left:29.8pt;margin-top:0.05pt;height:11.55pt;width:10.35pt;z-index:251674624;mso-width-relative:page;mso-height-relative:page;" filled="f" stroked="f" coordsize="21600,21600">
                  <v:path/>
                  <v:fill on="f" focussize="0,0"/>
                  <v:stroke on="f"/>
                  <v:imagedata o:title=""/>
                  <o:lock v:ext="edit" aspectratio="f"/>
                  <v:textbox inset="0mm,0mm,0mm,0mm">
                    <w:txbxContent>
                      <w:p w14:paraId="5BC86553">
                        <w:pPr>
                          <w:spacing w:before="20" w:line="190" w:lineRule="exact"/>
                          <w:ind w:left="20"/>
                          <w:rPr>
                            <w:rFonts w:ascii="Times New Roman" w:hAnsi="Times New Roman" w:eastAsia="Times New Roman" w:cs="Times New Roman"/>
                            <w:sz w:val="28"/>
                            <w:szCs w:val="28"/>
                          </w:rPr>
                        </w:pPr>
                        <w:r>
                          <w:rPr>
                            <w:rFonts w:ascii="Times New Roman" w:hAnsi="Times New Roman" w:eastAsia="Times New Roman" w:cs="Times New Roman"/>
                            <w:i/>
                            <w:iCs/>
                            <w:spacing w:val="11"/>
                            <w:position w:val="-4"/>
                            <w:sz w:val="28"/>
                            <w:szCs w:val="28"/>
                          </w:rPr>
                          <w:t>L</w:t>
                        </w:r>
                      </w:p>
                    </w:txbxContent>
                  </v:textbox>
                </v:shape>
              </w:pict>
            </w:r>
            <w:r>
              <w:rPr>
                <w:rFonts w:ascii="Times New Roman" w:hAnsi="Times New Roman" w:eastAsia="Times New Roman" w:cs="Times New Roman"/>
                <w:i/>
                <w:iCs/>
                <w:sz w:val="16"/>
                <w:szCs w:val="16"/>
              </w:rPr>
              <w:t>eqg</w:t>
            </w:r>
            <w:r>
              <w:rPr>
                <w:rFonts w:ascii="Times New Roman" w:hAnsi="Times New Roman" w:eastAsia="Times New Roman" w:cs="Times New Roman"/>
                <w:i/>
                <w:iCs/>
                <w:spacing w:val="17"/>
                <w:sz w:val="16"/>
                <w:szCs w:val="16"/>
              </w:rPr>
              <w:t xml:space="preserve"> </w:t>
            </w:r>
            <w:r>
              <w:rPr>
                <w:spacing w:val="9"/>
              </w:rPr>
              <w:t>—建设项目声源在预测点产生的噪声贡献值，</w:t>
            </w:r>
            <w:r>
              <w:rPr>
                <w:rFonts w:ascii="Times New Roman" w:hAnsi="Times New Roman" w:eastAsia="Times New Roman" w:cs="Times New Roman"/>
              </w:rPr>
              <w:t>dB</w:t>
            </w:r>
            <w:r>
              <w:rPr>
                <w:spacing w:val="9"/>
              </w:rPr>
              <w:t>（</w:t>
            </w:r>
            <w:r>
              <w:rPr>
                <w:rFonts w:ascii="Times New Roman" w:hAnsi="Times New Roman" w:eastAsia="Times New Roman" w:cs="Times New Roman"/>
                <w:spacing w:val="9"/>
              </w:rPr>
              <w:t>A</w:t>
            </w:r>
            <w:r>
              <w:rPr>
                <w:spacing w:val="4"/>
              </w:rPr>
              <w:t>）；</w:t>
            </w:r>
          </w:p>
          <w:p w14:paraId="6D71A706">
            <w:pPr>
              <w:pStyle w:val="6"/>
              <w:spacing w:before="162" w:line="226" w:lineRule="auto"/>
              <w:ind w:left="583"/>
            </w:pPr>
            <w:r>
              <w:rPr>
                <w:rFonts w:ascii="Times New Roman" w:hAnsi="Times New Roman" w:eastAsia="Times New Roman" w:cs="Times New Roman"/>
              </w:rPr>
              <w:t>LAi</w:t>
            </w:r>
            <w:r>
              <w:rPr>
                <w:spacing w:val="10"/>
              </w:rPr>
              <w:t>—室外声源在预测点产生的</w:t>
            </w:r>
            <w:r>
              <w:rPr>
                <w:spacing w:val="-54"/>
              </w:rPr>
              <w:t xml:space="preserve"> </w:t>
            </w:r>
            <w:r>
              <w:rPr>
                <w:rFonts w:ascii="Times New Roman" w:hAnsi="Times New Roman" w:eastAsia="Times New Roman" w:cs="Times New Roman"/>
                <w:spacing w:val="10"/>
              </w:rPr>
              <w:t xml:space="preserve">A </w:t>
            </w:r>
            <w:r>
              <w:rPr>
                <w:spacing w:val="10"/>
              </w:rPr>
              <w:t>声级，</w:t>
            </w:r>
            <w:r>
              <w:rPr>
                <w:rFonts w:ascii="Times New Roman" w:hAnsi="Times New Roman" w:eastAsia="Times New Roman" w:cs="Times New Roman"/>
              </w:rPr>
              <w:t>dB</w:t>
            </w:r>
            <w:r>
              <w:rPr>
                <w:spacing w:val="10"/>
              </w:rPr>
              <w:t>（</w:t>
            </w:r>
            <w:r>
              <w:rPr>
                <w:rFonts w:ascii="Times New Roman" w:hAnsi="Times New Roman" w:eastAsia="Times New Roman" w:cs="Times New Roman"/>
                <w:spacing w:val="10"/>
              </w:rPr>
              <w:t>A</w:t>
            </w:r>
            <w:r>
              <w:rPr>
                <w:spacing w:val="1"/>
              </w:rPr>
              <w:t>）；</w:t>
            </w:r>
          </w:p>
        </w:tc>
      </w:tr>
    </w:tbl>
    <w:p w14:paraId="0E7365B9">
      <w:pPr>
        <w:pStyle w:val="2"/>
        <w:rPr>
          <w:sz w:val="21"/>
        </w:rPr>
      </w:pPr>
    </w:p>
    <w:p w14:paraId="2F87C216">
      <w:pPr>
        <w:rPr>
          <w:sz w:val="21"/>
          <w:szCs w:val="21"/>
        </w:rPr>
        <w:sectPr>
          <w:footerReference r:id="rId87" w:type="default"/>
          <w:pgSz w:w="11907" w:h="16840"/>
          <w:pgMar w:top="400" w:right="1490" w:bottom="1008" w:left="1489" w:header="0" w:footer="770" w:gutter="0"/>
          <w:cols w:space="720" w:num="1"/>
        </w:sectPr>
      </w:pPr>
    </w:p>
    <w:p w14:paraId="2DB87749">
      <w:pPr>
        <w:spacing w:before="19"/>
      </w:pPr>
    </w:p>
    <w:p w14:paraId="6FC9CE85">
      <w:pPr>
        <w:spacing w:before="19"/>
      </w:pPr>
    </w:p>
    <w:p w14:paraId="54541850">
      <w:pPr>
        <w:spacing w:before="19"/>
      </w:pPr>
    </w:p>
    <w:p w14:paraId="5BDDCCFC">
      <w:pPr>
        <w:spacing w:before="18"/>
      </w:pPr>
    </w:p>
    <w:p w14:paraId="060A37F7">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2595D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84" w:hRule="atLeast"/>
        </w:trPr>
        <w:tc>
          <w:tcPr>
            <w:tcW w:w="754" w:type="dxa"/>
            <w:tcBorders>
              <w:right w:val="single" w:color="000000" w:sz="2" w:space="0"/>
            </w:tcBorders>
            <w:vAlign w:val="top"/>
          </w:tcPr>
          <w:p w14:paraId="37C76F0C">
            <w:pPr>
              <w:rPr>
                <w:rFonts w:ascii="Arial"/>
                <w:sz w:val="21"/>
              </w:rPr>
            </w:pPr>
          </w:p>
        </w:tc>
        <w:tc>
          <w:tcPr>
            <w:tcW w:w="8158" w:type="dxa"/>
            <w:tcBorders>
              <w:left w:val="single" w:color="000000" w:sz="2" w:space="0"/>
            </w:tcBorders>
            <w:vAlign w:val="top"/>
          </w:tcPr>
          <w:p w14:paraId="3457B415">
            <w:pPr>
              <w:pStyle w:val="6"/>
              <w:spacing w:before="150" w:line="226" w:lineRule="auto"/>
              <w:ind w:left="586"/>
            </w:pPr>
            <w:r>
              <w:rPr>
                <w:rFonts w:ascii="Times New Roman" w:hAnsi="Times New Roman" w:eastAsia="Times New Roman" w:cs="Times New Roman"/>
                <w:spacing w:val="8"/>
              </w:rPr>
              <w:t>T</w:t>
            </w:r>
            <w:r>
              <w:rPr>
                <w:spacing w:val="8"/>
              </w:rPr>
              <w:t>—用于计算等效声级的时间，</w:t>
            </w:r>
            <w:r>
              <w:rPr>
                <w:rFonts w:ascii="Times New Roman" w:hAnsi="Times New Roman" w:eastAsia="Times New Roman" w:cs="Times New Roman"/>
                <w:spacing w:val="8"/>
              </w:rPr>
              <w:t>s</w:t>
            </w:r>
            <w:r>
              <w:rPr>
                <w:spacing w:val="8"/>
              </w:rPr>
              <w:t>；</w:t>
            </w:r>
          </w:p>
          <w:p w14:paraId="623A7C21">
            <w:pPr>
              <w:pStyle w:val="6"/>
              <w:spacing w:before="154" w:line="226" w:lineRule="auto"/>
              <w:ind w:left="575"/>
            </w:pPr>
            <w:r>
              <w:rPr>
                <w:rFonts w:ascii="Times New Roman" w:hAnsi="Times New Roman" w:eastAsia="Times New Roman" w:cs="Times New Roman"/>
                <w:spacing w:val="8"/>
              </w:rPr>
              <w:t>N-</w:t>
            </w:r>
            <w:r>
              <w:rPr>
                <w:spacing w:val="8"/>
              </w:rPr>
              <w:t>室外声源个数；</w:t>
            </w:r>
          </w:p>
          <w:p w14:paraId="78C94278">
            <w:pPr>
              <w:pStyle w:val="6"/>
              <w:spacing w:before="152" w:line="226" w:lineRule="auto"/>
              <w:ind w:left="581"/>
            </w:pPr>
            <w:r>
              <w:rPr>
                <w:rFonts w:ascii="Times New Roman" w:hAnsi="Times New Roman" w:eastAsia="Times New Roman" w:cs="Times New Roman"/>
              </w:rPr>
              <w:t>ti</w:t>
            </w:r>
            <w:r>
              <w:rPr>
                <w:spacing w:val="5"/>
              </w:rPr>
              <w:t>—在</w:t>
            </w:r>
            <w:r>
              <w:rPr>
                <w:spacing w:val="-49"/>
              </w:rPr>
              <w:t xml:space="preserve"> </w:t>
            </w:r>
            <w:r>
              <w:rPr>
                <w:rFonts w:ascii="Times New Roman" w:hAnsi="Times New Roman" w:eastAsia="Times New Roman" w:cs="Times New Roman"/>
                <w:spacing w:val="5"/>
              </w:rPr>
              <w:t>T</w:t>
            </w:r>
            <w:r>
              <w:rPr>
                <w:rFonts w:ascii="Times New Roman" w:hAnsi="Times New Roman" w:eastAsia="Times New Roman" w:cs="Times New Roman"/>
                <w:spacing w:val="25"/>
              </w:rPr>
              <w:t xml:space="preserve"> </w:t>
            </w:r>
            <w:r>
              <w:rPr>
                <w:spacing w:val="5"/>
              </w:rPr>
              <w:t>时间内</w:t>
            </w:r>
            <w:r>
              <w:rPr>
                <w:spacing w:val="-50"/>
              </w:rPr>
              <w:t xml:space="preserve"> </w:t>
            </w:r>
            <w:r>
              <w:rPr>
                <w:rFonts w:ascii="Times New Roman" w:hAnsi="Times New Roman" w:eastAsia="Times New Roman" w:cs="Times New Roman"/>
                <w:spacing w:val="5"/>
              </w:rPr>
              <w:t>i</w:t>
            </w:r>
            <w:r>
              <w:rPr>
                <w:rFonts w:ascii="Times New Roman" w:hAnsi="Times New Roman" w:eastAsia="Times New Roman" w:cs="Times New Roman"/>
                <w:spacing w:val="17"/>
                <w:w w:val="101"/>
              </w:rPr>
              <w:t xml:space="preserve"> </w:t>
            </w:r>
            <w:r>
              <w:rPr>
                <w:spacing w:val="5"/>
              </w:rPr>
              <w:t>声源的工作时间，</w:t>
            </w:r>
            <w:r>
              <w:rPr>
                <w:rFonts w:ascii="Times New Roman" w:hAnsi="Times New Roman" w:eastAsia="Times New Roman" w:cs="Times New Roman"/>
                <w:spacing w:val="5"/>
              </w:rPr>
              <w:t>s</w:t>
            </w:r>
            <w:r>
              <w:rPr>
                <w:spacing w:val="5"/>
              </w:rPr>
              <w:t>；</w:t>
            </w:r>
          </w:p>
          <w:p w14:paraId="24A1680D">
            <w:pPr>
              <w:pStyle w:val="6"/>
              <w:spacing w:before="155" w:line="219" w:lineRule="auto"/>
              <w:ind w:left="583"/>
            </w:pPr>
            <w:r>
              <w:rPr>
                <w:rFonts w:ascii="Times New Roman" w:hAnsi="Times New Roman" w:eastAsia="Times New Roman" w:cs="Times New Roman"/>
              </w:rPr>
              <w:t>LAj</w:t>
            </w:r>
            <w:r>
              <w:rPr>
                <w:spacing w:val="9"/>
              </w:rPr>
              <w:t>—等效室外声源在预测点产生的</w:t>
            </w:r>
            <w:r>
              <w:rPr>
                <w:spacing w:val="-57"/>
              </w:rPr>
              <w:t xml:space="preserve"> </w:t>
            </w:r>
            <w:r>
              <w:rPr>
                <w:rFonts w:ascii="Times New Roman" w:hAnsi="Times New Roman" w:eastAsia="Times New Roman" w:cs="Times New Roman"/>
                <w:spacing w:val="9"/>
              </w:rPr>
              <w:t>A</w:t>
            </w:r>
            <w:r>
              <w:rPr>
                <w:rFonts w:ascii="Times New Roman" w:hAnsi="Times New Roman" w:eastAsia="Times New Roman" w:cs="Times New Roman"/>
                <w:spacing w:val="20"/>
              </w:rPr>
              <w:t xml:space="preserve"> </w:t>
            </w:r>
            <w:r>
              <w:rPr>
                <w:spacing w:val="9"/>
              </w:rPr>
              <w:t>声级，</w:t>
            </w:r>
            <w:r>
              <w:rPr>
                <w:rFonts w:ascii="Times New Roman" w:hAnsi="Times New Roman" w:eastAsia="Times New Roman" w:cs="Times New Roman"/>
              </w:rPr>
              <w:t>dB</w:t>
            </w:r>
            <w:r>
              <w:rPr>
                <w:spacing w:val="9"/>
              </w:rPr>
              <w:t>（</w:t>
            </w:r>
            <w:r>
              <w:rPr>
                <w:rFonts w:ascii="Times New Roman" w:hAnsi="Times New Roman" w:eastAsia="Times New Roman" w:cs="Times New Roman"/>
                <w:spacing w:val="9"/>
              </w:rPr>
              <w:t>A</w:t>
            </w:r>
            <w:r>
              <w:rPr>
                <w:spacing w:val="8"/>
              </w:rPr>
              <w:t>）；</w:t>
            </w:r>
          </w:p>
          <w:p w14:paraId="56A2DC98">
            <w:pPr>
              <w:pStyle w:val="6"/>
              <w:spacing w:before="163" w:line="226" w:lineRule="auto"/>
              <w:ind w:left="583"/>
            </w:pPr>
            <w:r>
              <w:rPr>
                <w:rFonts w:ascii="Times New Roman" w:hAnsi="Times New Roman" w:eastAsia="Times New Roman" w:cs="Times New Roman"/>
                <w:spacing w:val="8"/>
              </w:rPr>
              <w:t>M</w:t>
            </w:r>
            <w:r>
              <w:rPr>
                <w:spacing w:val="8"/>
              </w:rPr>
              <w:t>——等效室外声源个数；</w:t>
            </w:r>
          </w:p>
          <w:p w14:paraId="027BB87B">
            <w:pPr>
              <w:pStyle w:val="6"/>
              <w:spacing w:before="152" w:line="221" w:lineRule="auto"/>
              <w:ind w:left="581"/>
            </w:pPr>
            <w:r>
              <w:rPr>
                <w:rFonts w:ascii="Times New Roman" w:hAnsi="Times New Roman" w:eastAsia="Times New Roman" w:cs="Times New Roman"/>
              </w:rPr>
              <w:t>tj</w:t>
            </w:r>
            <w:r>
              <w:rPr>
                <w:spacing w:val="9"/>
              </w:rPr>
              <w:t>——在</w:t>
            </w:r>
            <w:r>
              <w:rPr>
                <w:spacing w:val="-36"/>
              </w:rPr>
              <w:t xml:space="preserve"> </w:t>
            </w:r>
            <w:r>
              <w:rPr>
                <w:rFonts w:ascii="Times New Roman" w:hAnsi="Times New Roman" w:eastAsia="Times New Roman" w:cs="Times New Roman"/>
                <w:spacing w:val="9"/>
              </w:rPr>
              <w:t>T</w:t>
            </w:r>
            <w:r>
              <w:rPr>
                <w:rFonts w:ascii="Times New Roman" w:hAnsi="Times New Roman" w:eastAsia="Times New Roman" w:cs="Times New Roman"/>
                <w:spacing w:val="27"/>
                <w:w w:val="101"/>
              </w:rPr>
              <w:t xml:space="preserve"> </w:t>
            </w:r>
            <w:r>
              <w:rPr>
                <w:spacing w:val="9"/>
              </w:rPr>
              <w:t>时间内</w:t>
            </w:r>
            <w:r>
              <w:rPr>
                <w:rFonts w:ascii="Times New Roman" w:hAnsi="Times New Roman" w:eastAsia="Times New Roman" w:cs="Times New Roman"/>
                <w:spacing w:val="9"/>
              </w:rPr>
              <w:t xml:space="preserve">j </w:t>
            </w:r>
            <w:r>
              <w:rPr>
                <w:spacing w:val="9"/>
              </w:rPr>
              <w:t>声源工作时间，</w:t>
            </w:r>
            <w:r>
              <w:rPr>
                <w:rFonts w:ascii="Times New Roman" w:hAnsi="Times New Roman" w:eastAsia="Times New Roman" w:cs="Times New Roman"/>
                <w:spacing w:val="9"/>
              </w:rPr>
              <w:t>s</w:t>
            </w:r>
            <w:r>
              <w:rPr>
                <w:spacing w:val="9"/>
              </w:rPr>
              <w:t>。</w:t>
            </w:r>
          </w:p>
          <w:p w14:paraId="28225F32">
            <w:pPr>
              <w:pStyle w:val="6"/>
              <w:spacing w:before="161" w:line="225" w:lineRule="auto"/>
              <w:ind w:left="640"/>
            </w:pPr>
            <w:r>
              <w:rPr>
                <w:spacing w:val="7"/>
              </w:rPr>
              <w:t>（</w:t>
            </w:r>
            <w:r>
              <w:rPr>
                <w:rFonts w:ascii="Times New Roman" w:hAnsi="Times New Roman" w:eastAsia="Times New Roman" w:cs="Times New Roman"/>
                <w:spacing w:val="7"/>
              </w:rPr>
              <w:t>3</w:t>
            </w:r>
            <w:r>
              <w:rPr>
                <w:spacing w:val="7"/>
              </w:rPr>
              <w:t>）预测结果与评价</w:t>
            </w:r>
          </w:p>
          <w:p w14:paraId="04F2A74F">
            <w:pPr>
              <w:pStyle w:val="6"/>
              <w:spacing w:before="158" w:line="339" w:lineRule="auto"/>
              <w:ind w:left="108" w:right="103" w:firstLine="520"/>
            </w:pPr>
            <w:r>
              <w:rPr>
                <w:spacing w:val="6"/>
              </w:rPr>
              <w:t>根据项目平面布置、噪声源分布及采取的降</w:t>
            </w:r>
            <w:r>
              <w:rPr>
                <w:spacing w:val="5"/>
              </w:rPr>
              <w:t>噪措施，本项目实施后</w:t>
            </w:r>
            <w:r>
              <w:rPr>
                <w:spacing w:val="6"/>
              </w:rPr>
              <w:t>全站运营期厂界噪声预测结果见表</w:t>
            </w:r>
            <w:r>
              <w:rPr>
                <w:spacing w:val="-56"/>
              </w:rPr>
              <w:t xml:space="preserve"> </w:t>
            </w:r>
            <w:r>
              <w:rPr>
                <w:rFonts w:ascii="Times New Roman" w:hAnsi="Times New Roman" w:eastAsia="Times New Roman" w:cs="Times New Roman"/>
                <w:spacing w:val="6"/>
              </w:rPr>
              <w:t>4.2-</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5"/>
              </w:rPr>
              <w:t>3</w:t>
            </w:r>
            <w:r>
              <w:rPr>
                <w:spacing w:val="5"/>
              </w:rPr>
              <w:t>。</w:t>
            </w:r>
          </w:p>
          <w:p w14:paraId="3582F226">
            <w:pPr>
              <w:pStyle w:val="6"/>
              <w:spacing w:before="1" w:line="225" w:lineRule="auto"/>
              <w:jc w:val="right"/>
            </w:pPr>
            <w:r>
              <w:rPr>
                <w:spacing w:val="2"/>
              </w:rPr>
              <w:t>表</w:t>
            </w:r>
            <w:r>
              <w:rPr>
                <w:spacing w:val="-54"/>
              </w:rPr>
              <w:t xml:space="preserve"> </w:t>
            </w:r>
            <w:r>
              <w:rPr>
                <w:rFonts w:ascii="Times New Roman" w:hAnsi="Times New Roman" w:eastAsia="Times New Roman" w:cs="Times New Roman"/>
                <w:spacing w:val="2"/>
              </w:rPr>
              <w:t>4.2-</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 xml:space="preserve">13    </w:t>
            </w:r>
            <w:r>
              <w:rPr>
                <w:spacing w:val="2"/>
              </w:rPr>
              <w:t xml:space="preserve">本项目实施后全站各厂界噪声影响预测结果 </w:t>
            </w:r>
            <w:r>
              <w:rPr>
                <w:spacing w:val="1"/>
              </w:rPr>
              <w:t xml:space="preserve"> 单位：</w:t>
            </w:r>
            <w:r>
              <w:rPr>
                <w:rFonts w:ascii="Times New Roman" w:hAnsi="Times New Roman" w:eastAsia="Times New Roman" w:cs="Times New Roman"/>
              </w:rPr>
              <w:t>dB</w:t>
            </w:r>
            <w:r>
              <w:rPr>
                <w:spacing w:val="1"/>
              </w:rPr>
              <w:t>（</w:t>
            </w:r>
            <w:r>
              <w:rPr>
                <w:rFonts w:ascii="Times New Roman" w:hAnsi="Times New Roman" w:eastAsia="Times New Roman" w:cs="Times New Roman"/>
                <w:spacing w:val="1"/>
              </w:rPr>
              <w:t>A</w:t>
            </w:r>
            <w:r>
              <w:rPr>
                <w:spacing w:val="1"/>
              </w:rPr>
              <w:t>）</w:t>
            </w:r>
          </w:p>
          <w:p w14:paraId="61AA2A7A">
            <w:pPr>
              <w:spacing w:line="99" w:lineRule="auto"/>
              <w:rPr>
                <w:rFonts w:ascii="Arial"/>
                <w:sz w:val="2"/>
              </w:rPr>
            </w:pPr>
          </w:p>
          <w:tbl>
            <w:tblPr>
              <w:tblStyle w:val="5"/>
              <w:tblW w:w="7937"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1185"/>
              <w:gridCol w:w="1421"/>
              <w:gridCol w:w="1421"/>
              <w:gridCol w:w="1421"/>
              <w:gridCol w:w="1431"/>
            </w:tblGrid>
            <w:tr w14:paraId="24758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2243" w:type="dxa"/>
                  <w:gridSpan w:val="2"/>
                  <w:vAlign w:val="top"/>
                </w:tcPr>
                <w:p w14:paraId="5A3B3E9C">
                  <w:pPr>
                    <w:pStyle w:val="6"/>
                    <w:spacing w:before="37" w:line="223" w:lineRule="auto"/>
                    <w:ind w:left="114" w:right="259" w:firstLine="1433"/>
                    <w:rPr>
                      <w:sz w:val="22"/>
                      <w:szCs w:val="22"/>
                    </w:rPr>
                  </w:pPr>
                  <w:r>
                    <w:drawing>
                      <wp:anchor distT="0" distB="0" distL="0" distR="0" simplePos="0" relativeHeight="251675648" behindDoc="1" locked="0" layoutInCell="1" allowOverlap="1">
                        <wp:simplePos x="0" y="0"/>
                        <wp:positionH relativeFrom="column">
                          <wp:posOffset>15875</wp:posOffset>
                        </wp:positionH>
                        <wp:positionV relativeFrom="paragraph">
                          <wp:posOffset>16510</wp:posOffset>
                        </wp:positionV>
                        <wp:extent cx="1397635" cy="358775"/>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48"/>
                                <a:stretch>
                                  <a:fillRect/>
                                </a:stretch>
                              </pic:blipFill>
                              <pic:spPr>
                                <a:xfrm>
                                  <a:off x="0" y="0"/>
                                  <a:ext cx="1397406" cy="358495"/>
                                </a:xfrm>
                                <a:prstGeom prst="rect">
                                  <a:avLst/>
                                </a:prstGeom>
                              </pic:spPr>
                            </pic:pic>
                          </a:graphicData>
                        </a:graphic>
                      </wp:anchor>
                    </w:drawing>
                  </w:r>
                  <w:r>
                    <w:rPr>
                      <w:spacing w:val="-5"/>
                      <w:sz w:val="22"/>
                      <w:szCs w:val="22"/>
                    </w:rPr>
                    <w:t>厂界</w:t>
                  </w:r>
                  <w:r>
                    <w:rPr>
                      <w:spacing w:val="-2"/>
                      <w:sz w:val="22"/>
                      <w:szCs w:val="22"/>
                    </w:rPr>
                    <w:t>评价结果</w:t>
                  </w:r>
                </w:p>
              </w:tc>
              <w:tc>
                <w:tcPr>
                  <w:tcW w:w="1421" w:type="dxa"/>
                  <w:vAlign w:val="top"/>
                </w:tcPr>
                <w:p w14:paraId="255D2008">
                  <w:pPr>
                    <w:pStyle w:val="6"/>
                    <w:spacing w:before="178" w:line="220" w:lineRule="auto"/>
                    <w:ind w:left="121"/>
                    <w:rPr>
                      <w:sz w:val="22"/>
                      <w:szCs w:val="22"/>
                    </w:rPr>
                  </w:pPr>
                  <w:r>
                    <w:rPr>
                      <w:spacing w:val="-6"/>
                      <w:sz w:val="22"/>
                      <w:szCs w:val="22"/>
                    </w:rPr>
                    <w:t>东厂界</w:t>
                  </w:r>
                </w:p>
              </w:tc>
              <w:tc>
                <w:tcPr>
                  <w:tcW w:w="1421" w:type="dxa"/>
                  <w:vAlign w:val="top"/>
                </w:tcPr>
                <w:p w14:paraId="51CEA2CA">
                  <w:pPr>
                    <w:pStyle w:val="6"/>
                    <w:spacing w:before="178" w:line="221" w:lineRule="auto"/>
                    <w:ind w:left="118"/>
                    <w:rPr>
                      <w:sz w:val="22"/>
                      <w:szCs w:val="22"/>
                    </w:rPr>
                  </w:pPr>
                  <w:r>
                    <w:rPr>
                      <w:spacing w:val="-4"/>
                      <w:sz w:val="22"/>
                      <w:szCs w:val="22"/>
                    </w:rPr>
                    <w:t>西厂界</w:t>
                  </w:r>
                </w:p>
              </w:tc>
              <w:tc>
                <w:tcPr>
                  <w:tcW w:w="1421" w:type="dxa"/>
                  <w:vAlign w:val="top"/>
                </w:tcPr>
                <w:p w14:paraId="6F297EE9">
                  <w:pPr>
                    <w:pStyle w:val="6"/>
                    <w:spacing w:before="178" w:line="221" w:lineRule="auto"/>
                    <w:ind w:left="118"/>
                    <w:rPr>
                      <w:sz w:val="22"/>
                      <w:szCs w:val="22"/>
                    </w:rPr>
                  </w:pPr>
                  <w:r>
                    <w:rPr>
                      <w:spacing w:val="-4"/>
                      <w:sz w:val="22"/>
                      <w:szCs w:val="22"/>
                    </w:rPr>
                    <w:t>南厂界</w:t>
                  </w:r>
                </w:p>
              </w:tc>
              <w:tc>
                <w:tcPr>
                  <w:tcW w:w="1431" w:type="dxa"/>
                  <w:vAlign w:val="top"/>
                </w:tcPr>
                <w:p w14:paraId="55753735">
                  <w:pPr>
                    <w:pStyle w:val="6"/>
                    <w:spacing w:before="178" w:line="221" w:lineRule="auto"/>
                    <w:ind w:left="119"/>
                    <w:rPr>
                      <w:sz w:val="22"/>
                      <w:szCs w:val="22"/>
                    </w:rPr>
                  </w:pPr>
                  <w:r>
                    <w:rPr>
                      <w:spacing w:val="-4"/>
                      <w:sz w:val="22"/>
                      <w:szCs w:val="22"/>
                    </w:rPr>
                    <w:t>北厂界</w:t>
                  </w:r>
                </w:p>
              </w:tc>
            </w:tr>
            <w:tr w14:paraId="34243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2243" w:type="dxa"/>
                  <w:gridSpan w:val="2"/>
                  <w:vAlign w:val="top"/>
                </w:tcPr>
                <w:p w14:paraId="795348A3">
                  <w:pPr>
                    <w:pStyle w:val="6"/>
                    <w:spacing w:before="74" w:line="220" w:lineRule="auto"/>
                    <w:ind w:left="117"/>
                    <w:rPr>
                      <w:sz w:val="22"/>
                      <w:szCs w:val="22"/>
                    </w:rPr>
                  </w:pPr>
                  <w:r>
                    <w:rPr>
                      <w:spacing w:val="-3"/>
                      <w:sz w:val="22"/>
                      <w:szCs w:val="22"/>
                    </w:rPr>
                    <w:t>贡献值</w:t>
                  </w:r>
                </w:p>
              </w:tc>
              <w:tc>
                <w:tcPr>
                  <w:tcW w:w="1421" w:type="dxa"/>
                  <w:vAlign w:val="top"/>
                </w:tcPr>
                <w:p w14:paraId="183A9199">
                  <w:pPr>
                    <w:spacing w:before="112" w:line="189" w:lineRule="auto"/>
                    <w:ind w:left="10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46.83</w:t>
                  </w:r>
                </w:p>
              </w:tc>
              <w:tc>
                <w:tcPr>
                  <w:tcW w:w="1421" w:type="dxa"/>
                  <w:vAlign w:val="top"/>
                </w:tcPr>
                <w:p w14:paraId="31244119">
                  <w:pPr>
                    <w:spacing w:before="112" w:line="189" w:lineRule="auto"/>
                    <w:ind w:left="10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44.65</w:t>
                  </w:r>
                </w:p>
              </w:tc>
              <w:tc>
                <w:tcPr>
                  <w:tcW w:w="1421" w:type="dxa"/>
                  <w:vAlign w:val="top"/>
                </w:tcPr>
                <w:p w14:paraId="1DC82D4E">
                  <w:pPr>
                    <w:spacing w:before="112" w:line="189" w:lineRule="auto"/>
                    <w:ind w:left="11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44.65</w:t>
                  </w:r>
                </w:p>
              </w:tc>
              <w:tc>
                <w:tcPr>
                  <w:tcW w:w="1431" w:type="dxa"/>
                  <w:vAlign w:val="top"/>
                </w:tcPr>
                <w:p w14:paraId="63E345FD">
                  <w:pPr>
                    <w:spacing w:before="112" w:line="189" w:lineRule="auto"/>
                    <w:ind w:left="11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43.78</w:t>
                  </w:r>
                </w:p>
              </w:tc>
            </w:tr>
            <w:tr w14:paraId="4C769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058" w:type="dxa"/>
                  <w:vAlign w:val="top"/>
                </w:tcPr>
                <w:p w14:paraId="1FC1ED70">
                  <w:pPr>
                    <w:pStyle w:val="6"/>
                    <w:spacing w:before="76" w:line="223" w:lineRule="auto"/>
                    <w:ind w:left="114"/>
                    <w:rPr>
                      <w:sz w:val="22"/>
                      <w:szCs w:val="22"/>
                    </w:rPr>
                  </w:pPr>
                  <w:r>
                    <w:rPr>
                      <w:spacing w:val="-3"/>
                      <w:sz w:val="22"/>
                      <w:szCs w:val="22"/>
                    </w:rPr>
                    <w:t>昼间</w:t>
                  </w:r>
                </w:p>
              </w:tc>
              <w:tc>
                <w:tcPr>
                  <w:tcW w:w="1185" w:type="dxa"/>
                  <w:vAlign w:val="top"/>
                </w:tcPr>
                <w:p w14:paraId="56F1DE5C">
                  <w:pPr>
                    <w:pStyle w:val="6"/>
                    <w:spacing w:before="75" w:line="221" w:lineRule="auto"/>
                    <w:ind w:left="114"/>
                    <w:rPr>
                      <w:sz w:val="22"/>
                      <w:szCs w:val="22"/>
                    </w:rPr>
                  </w:pPr>
                  <w:r>
                    <w:rPr>
                      <w:spacing w:val="-4"/>
                      <w:sz w:val="22"/>
                      <w:szCs w:val="22"/>
                    </w:rPr>
                    <w:t>标准</w:t>
                  </w:r>
                </w:p>
              </w:tc>
              <w:tc>
                <w:tcPr>
                  <w:tcW w:w="1421" w:type="dxa"/>
                  <w:vAlign w:val="top"/>
                </w:tcPr>
                <w:p w14:paraId="5BC91E0A">
                  <w:pPr>
                    <w:spacing w:before="114" w:line="189" w:lineRule="auto"/>
                    <w:ind w:left="11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1421" w:type="dxa"/>
                  <w:vAlign w:val="top"/>
                </w:tcPr>
                <w:p w14:paraId="362FEE7C">
                  <w:pPr>
                    <w:spacing w:before="114" w:line="189" w:lineRule="auto"/>
                    <w:ind w:left="11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1421" w:type="dxa"/>
                  <w:vAlign w:val="top"/>
                </w:tcPr>
                <w:p w14:paraId="4DD4CD28">
                  <w:pPr>
                    <w:spacing w:before="114" w:line="189" w:lineRule="auto"/>
                    <w:ind w:left="11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1431" w:type="dxa"/>
                  <w:vAlign w:val="top"/>
                </w:tcPr>
                <w:p w14:paraId="250687C3">
                  <w:pPr>
                    <w:spacing w:before="114" w:line="189" w:lineRule="auto"/>
                    <w:ind w:left="11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70</w:t>
                  </w:r>
                </w:p>
              </w:tc>
            </w:tr>
            <w:tr w14:paraId="739C7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1058" w:type="dxa"/>
                  <w:vAlign w:val="top"/>
                </w:tcPr>
                <w:p w14:paraId="559AD791">
                  <w:pPr>
                    <w:pStyle w:val="6"/>
                    <w:spacing w:before="77" w:line="220" w:lineRule="auto"/>
                    <w:ind w:left="118"/>
                    <w:rPr>
                      <w:sz w:val="22"/>
                      <w:szCs w:val="22"/>
                    </w:rPr>
                  </w:pPr>
                  <w:r>
                    <w:rPr>
                      <w:spacing w:val="-6"/>
                      <w:sz w:val="22"/>
                      <w:szCs w:val="22"/>
                    </w:rPr>
                    <w:t>夜间</w:t>
                  </w:r>
                </w:p>
              </w:tc>
              <w:tc>
                <w:tcPr>
                  <w:tcW w:w="1185" w:type="dxa"/>
                  <w:vAlign w:val="top"/>
                </w:tcPr>
                <w:p w14:paraId="3D47CEDE">
                  <w:pPr>
                    <w:pStyle w:val="6"/>
                    <w:spacing w:before="77" w:line="221" w:lineRule="auto"/>
                    <w:ind w:left="114"/>
                    <w:rPr>
                      <w:sz w:val="22"/>
                      <w:szCs w:val="22"/>
                    </w:rPr>
                  </w:pPr>
                  <w:r>
                    <w:rPr>
                      <w:spacing w:val="-4"/>
                      <w:sz w:val="22"/>
                      <w:szCs w:val="22"/>
                    </w:rPr>
                    <w:t>标准</w:t>
                  </w:r>
                </w:p>
              </w:tc>
              <w:tc>
                <w:tcPr>
                  <w:tcW w:w="1421" w:type="dxa"/>
                  <w:vAlign w:val="top"/>
                </w:tcPr>
                <w:p w14:paraId="6056FBE9">
                  <w:pPr>
                    <w:spacing w:before="115" w:line="189" w:lineRule="auto"/>
                    <w:ind w:left="11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1421" w:type="dxa"/>
                  <w:vAlign w:val="top"/>
                </w:tcPr>
                <w:p w14:paraId="2348C8FF">
                  <w:pPr>
                    <w:spacing w:before="115" w:line="189" w:lineRule="auto"/>
                    <w:ind w:left="11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1421" w:type="dxa"/>
                  <w:vAlign w:val="top"/>
                </w:tcPr>
                <w:p w14:paraId="2D7E960C">
                  <w:pPr>
                    <w:spacing w:before="115" w:line="189" w:lineRule="auto"/>
                    <w:ind w:left="11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1431" w:type="dxa"/>
                  <w:vAlign w:val="top"/>
                </w:tcPr>
                <w:p w14:paraId="2266497D">
                  <w:pPr>
                    <w:spacing w:before="118" w:line="186" w:lineRule="auto"/>
                    <w:ind w:left="11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55</w:t>
                  </w:r>
                </w:p>
              </w:tc>
            </w:tr>
          </w:tbl>
          <w:p w14:paraId="6D5FC219">
            <w:pPr>
              <w:spacing w:line="258" w:lineRule="auto"/>
              <w:rPr>
                <w:rFonts w:ascii="Arial"/>
                <w:sz w:val="21"/>
              </w:rPr>
            </w:pPr>
          </w:p>
          <w:p w14:paraId="79DA1602">
            <w:pPr>
              <w:spacing w:line="259" w:lineRule="auto"/>
              <w:rPr>
                <w:rFonts w:ascii="Arial"/>
                <w:sz w:val="21"/>
              </w:rPr>
            </w:pPr>
          </w:p>
          <w:p w14:paraId="5D8430C6">
            <w:pPr>
              <w:pStyle w:val="6"/>
              <w:spacing w:before="82" w:line="340" w:lineRule="auto"/>
              <w:ind w:left="109" w:right="5" w:firstLine="519"/>
              <w:jc w:val="both"/>
            </w:pPr>
            <w:r>
              <w:rPr>
                <w:spacing w:val="11"/>
              </w:rPr>
              <w:t>根据表</w:t>
            </w:r>
            <w:r>
              <w:rPr>
                <w:spacing w:val="-51"/>
              </w:rPr>
              <w:t xml:space="preserve"> </w:t>
            </w:r>
            <w:r>
              <w:rPr>
                <w:rFonts w:ascii="Times New Roman" w:hAnsi="Times New Roman" w:eastAsia="Times New Roman" w:cs="Times New Roman"/>
                <w:spacing w:val="11"/>
              </w:rPr>
              <w:t>4.2-</w:t>
            </w:r>
            <w:r>
              <w:rPr>
                <w:rFonts w:ascii="Times New Roman" w:hAnsi="Times New Roman" w:eastAsia="Times New Roman" w:cs="Times New Roman"/>
                <w:spacing w:val="-29"/>
              </w:rPr>
              <w:t xml:space="preserve"> </w:t>
            </w:r>
            <w:r>
              <w:rPr>
                <w:rFonts w:ascii="Times New Roman" w:hAnsi="Times New Roman" w:eastAsia="Times New Roman" w:cs="Times New Roman"/>
                <w:spacing w:val="11"/>
              </w:rPr>
              <w:t xml:space="preserve">13 </w:t>
            </w:r>
            <w:r>
              <w:rPr>
                <w:spacing w:val="11"/>
              </w:rPr>
              <w:t>预测结果分析，项目改扩建完成后在</w:t>
            </w:r>
            <w:r>
              <w:rPr>
                <w:spacing w:val="10"/>
              </w:rPr>
              <w:t>运营期产生的</w:t>
            </w:r>
            <w:r>
              <w:rPr>
                <w:spacing w:val="6"/>
              </w:rPr>
              <w:t>噪声在采取相应的防噪和降噪措施后，北侧厂界噪声值昼、夜间能</w:t>
            </w:r>
            <w:r>
              <w:rPr>
                <w:spacing w:val="5"/>
              </w:rPr>
              <w:t>满足</w:t>
            </w:r>
            <w:r>
              <w:rPr>
                <w:spacing w:val="8"/>
              </w:rPr>
              <w:t>《工业企业厂界环境噪声排放标准》（</w:t>
            </w:r>
            <w:r>
              <w:rPr>
                <w:rFonts w:ascii="Times New Roman" w:hAnsi="Times New Roman" w:eastAsia="Times New Roman" w:cs="Times New Roman"/>
              </w:rPr>
              <w:t>GB</w:t>
            </w:r>
            <w:r>
              <w:rPr>
                <w:rFonts w:ascii="Times New Roman" w:hAnsi="Times New Roman" w:eastAsia="Times New Roman" w:cs="Times New Roman"/>
                <w:spacing w:val="8"/>
              </w:rPr>
              <w:t>12348-2008</w:t>
            </w:r>
            <w:r>
              <w:rPr>
                <w:spacing w:val="8"/>
              </w:rPr>
              <w:t>）</w:t>
            </w:r>
            <w:r>
              <w:rPr>
                <w:rFonts w:ascii="Times New Roman" w:hAnsi="Times New Roman" w:eastAsia="Times New Roman" w:cs="Times New Roman"/>
                <w:spacing w:val="8"/>
              </w:rPr>
              <w:t xml:space="preserve">4 </w:t>
            </w:r>
            <w:r>
              <w:rPr>
                <w:spacing w:val="8"/>
              </w:rPr>
              <w:t>类标准限值，</w:t>
            </w:r>
            <w:r>
              <w:rPr>
                <w:spacing w:val="9"/>
              </w:rPr>
              <w:t>其他侧厂界噪声值昼、夜间能满足《工业企业厂界环境噪声排放标准》</w:t>
            </w:r>
            <w:r>
              <w:rPr>
                <w:spacing w:val="3"/>
              </w:rPr>
              <w:t xml:space="preserve"> </w:t>
            </w:r>
            <w:r>
              <w:rPr>
                <w:spacing w:val="6"/>
              </w:rPr>
              <w:t>（</w:t>
            </w:r>
            <w:r>
              <w:rPr>
                <w:rFonts w:ascii="Times New Roman" w:hAnsi="Times New Roman" w:eastAsia="Times New Roman" w:cs="Times New Roman"/>
              </w:rPr>
              <w:t>GB</w:t>
            </w:r>
            <w:r>
              <w:rPr>
                <w:rFonts w:ascii="Times New Roman" w:hAnsi="Times New Roman" w:eastAsia="Times New Roman" w:cs="Times New Roman"/>
                <w:spacing w:val="6"/>
              </w:rPr>
              <w:t>12348-2008</w:t>
            </w:r>
            <w:r>
              <w:rPr>
                <w:spacing w:val="6"/>
              </w:rPr>
              <w:t>）</w:t>
            </w:r>
            <w:r>
              <w:rPr>
                <w:rFonts w:ascii="Times New Roman" w:hAnsi="Times New Roman" w:eastAsia="Times New Roman" w:cs="Times New Roman"/>
                <w:spacing w:val="6"/>
              </w:rPr>
              <w:t xml:space="preserve">2 </w:t>
            </w:r>
            <w:r>
              <w:rPr>
                <w:spacing w:val="6"/>
              </w:rPr>
              <w:t>类标准限值。</w:t>
            </w:r>
          </w:p>
          <w:p w14:paraId="69EB5478">
            <w:pPr>
              <w:pStyle w:val="6"/>
              <w:spacing w:line="226" w:lineRule="auto"/>
              <w:ind w:left="640"/>
            </w:pPr>
            <w:r>
              <w:rPr>
                <w:spacing w:val="7"/>
              </w:rPr>
              <w:t>（</w:t>
            </w:r>
            <w:r>
              <w:rPr>
                <w:rFonts w:ascii="Times New Roman" w:hAnsi="Times New Roman" w:eastAsia="Times New Roman" w:cs="Times New Roman"/>
                <w:spacing w:val="7"/>
              </w:rPr>
              <w:t>4</w:t>
            </w:r>
            <w:r>
              <w:rPr>
                <w:spacing w:val="7"/>
              </w:rPr>
              <w:t>）声环境保护目标预测</w:t>
            </w:r>
          </w:p>
          <w:p w14:paraId="1FE211DA">
            <w:pPr>
              <w:pStyle w:val="6"/>
              <w:spacing w:before="153" w:line="340" w:lineRule="auto"/>
              <w:ind w:left="108" w:right="103" w:firstLine="520"/>
            </w:pPr>
            <w:r>
              <w:rPr>
                <w:spacing w:val="12"/>
              </w:rPr>
              <w:t>根据现场调查，项目周围</w:t>
            </w:r>
            <w:r>
              <w:rPr>
                <w:spacing w:val="-43"/>
              </w:rPr>
              <w:t xml:space="preserve"> </w:t>
            </w:r>
            <w:r>
              <w:rPr>
                <w:rFonts w:ascii="Times New Roman" w:hAnsi="Times New Roman" w:eastAsia="Times New Roman" w:cs="Times New Roman"/>
                <w:spacing w:val="12"/>
              </w:rPr>
              <w:t>50m</w:t>
            </w:r>
            <w:r>
              <w:rPr>
                <w:rFonts w:ascii="Times New Roman" w:hAnsi="Times New Roman" w:eastAsia="Times New Roman" w:cs="Times New Roman"/>
                <w:spacing w:val="26"/>
                <w:w w:val="101"/>
              </w:rPr>
              <w:t xml:space="preserve"> </w:t>
            </w:r>
            <w:r>
              <w:rPr>
                <w:spacing w:val="12"/>
              </w:rPr>
              <w:t>范围内环境保</w:t>
            </w:r>
            <w:r>
              <w:rPr>
                <w:spacing w:val="11"/>
              </w:rPr>
              <w:t>护目标为乔鹤佳苑</w:t>
            </w:r>
            <w:r>
              <w:rPr>
                <w:spacing w:val="-41"/>
              </w:rPr>
              <w:t xml:space="preserve"> </w:t>
            </w:r>
            <w:r>
              <w:rPr>
                <w:rFonts w:ascii="Times New Roman" w:hAnsi="Times New Roman" w:eastAsia="Times New Roman" w:cs="Times New Roman"/>
                <w:spacing w:val="11"/>
              </w:rPr>
              <w:t>5</w:t>
            </w:r>
            <w:r>
              <w:rPr>
                <w:spacing w:val="6"/>
              </w:rPr>
              <w:t>栋、乔鹤佳苑</w:t>
            </w:r>
            <w:r>
              <w:rPr>
                <w:spacing w:val="-48"/>
              </w:rPr>
              <w:t xml:space="preserve"> </w:t>
            </w:r>
            <w:r>
              <w:rPr>
                <w:rFonts w:ascii="Times New Roman" w:hAnsi="Times New Roman" w:eastAsia="Times New Roman" w:cs="Times New Roman"/>
                <w:spacing w:val="6"/>
              </w:rPr>
              <w:t xml:space="preserve">6 </w:t>
            </w:r>
            <w:r>
              <w:rPr>
                <w:spacing w:val="6"/>
              </w:rPr>
              <w:t>栋、金茂晓棠（在建）及幸</w:t>
            </w:r>
            <w:r>
              <w:rPr>
                <w:spacing w:val="5"/>
              </w:rPr>
              <w:t>福西山壹号院（在建</w:t>
            </w:r>
            <w:r>
              <w:rPr>
                <w:spacing w:val="-1"/>
              </w:rPr>
              <w:t>），</w:t>
            </w:r>
            <w:r>
              <w:rPr>
                <w:spacing w:val="5"/>
              </w:rPr>
              <w:t>本</w:t>
            </w:r>
            <w:r>
              <w:rPr>
                <w:spacing w:val="6"/>
              </w:rPr>
              <w:t>项目对其声环境影响预测结果见表</w:t>
            </w:r>
            <w:r>
              <w:rPr>
                <w:spacing w:val="-56"/>
              </w:rPr>
              <w:t xml:space="preserve"> </w:t>
            </w:r>
            <w:r>
              <w:rPr>
                <w:rFonts w:ascii="Times New Roman" w:hAnsi="Times New Roman" w:eastAsia="Times New Roman" w:cs="Times New Roman"/>
                <w:spacing w:val="6"/>
              </w:rPr>
              <w:t>4.2-</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5"/>
              </w:rPr>
              <w:t>4</w:t>
            </w:r>
            <w:r>
              <w:rPr>
                <w:spacing w:val="5"/>
              </w:rPr>
              <w:t>。</w:t>
            </w:r>
          </w:p>
          <w:p w14:paraId="788D2C98">
            <w:pPr>
              <w:pStyle w:val="6"/>
              <w:spacing w:before="1" w:line="226" w:lineRule="auto"/>
              <w:ind w:left="347"/>
            </w:pPr>
            <w:r>
              <w:rPr>
                <w:spacing w:val="7"/>
              </w:rPr>
              <w:t>表</w:t>
            </w:r>
            <w:r>
              <w:rPr>
                <w:spacing w:val="-56"/>
              </w:rPr>
              <w:t xml:space="preserve"> </w:t>
            </w:r>
            <w:r>
              <w:rPr>
                <w:rFonts w:ascii="Times New Roman" w:hAnsi="Times New Roman" w:eastAsia="Times New Roman" w:cs="Times New Roman"/>
                <w:spacing w:val="7"/>
              </w:rPr>
              <w:t>4.2-</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 xml:space="preserve">14    </w:t>
            </w:r>
            <w:r>
              <w:rPr>
                <w:spacing w:val="7"/>
              </w:rPr>
              <w:t>声环境保护目标声</w:t>
            </w:r>
            <w:r>
              <w:rPr>
                <w:spacing w:val="6"/>
              </w:rPr>
              <w:t>环境影响预测结果  单位：</w:t>
            </w:r>
            <w:r>
              <w:rPr>
                <w:rFonts w:ascii="Times New Roman" w:hAnsi="Times New Roman" w:eastAsia="Times New Roman" w:cs="Times New Roman"/>
              </w:rPr>
              <w:t>dB</w:t>
            </w:r>
            <w:r>
              <w:rPr>
                <w:spacing w:val="6"/>
              </w:rPr>
              <w:t>（</w:t>
            </w:r>
            <w:r>
              <w:rPr>
                <w:rFonts w:ascii="Times New Roman" w:hAnsi="Times New Roman" w:eastAsia="Times New Roman" w:cs="Times New Roman"/>
                <w:spacing w:val="6"/>
              </w:rPr>
              <w:t>A</w:t>
            </w:r>
            <w:r>
              <w:rPr>
                <w:spacing w:val="6"/>
              </w:rPr>
              <w:t>）</w:t>
            </w:r>
          </w:p>
          <w:p w14:paraId="6D3636D3">
            <w:pPr>
              <w:spacing w:line="91" w:lineRule="auto"/>
              <w:rPr>
                <w:rFonts w:ascii="Arial"/>
                <w:sz w:val="2"/>
              </w:rPr>
            </w:pPr>
          </w:p>
          <w:tbl>
            <w:tblPr>
              <w:tblStyle w:val="5"/>
              <w:tblW w:w="7940"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75"/>
              <w:gridCol w:w="1199"/>
              <w:gridCol w:w="1049"/>
              <w:gridCol w:w="1059"/>
              <w:gridCol w:w="930"/>
              <w:gridCol w:w="1139"/>
              <w:gridCol w:w="789"/>
            </w:tblGrid>
            <w:tr w14:paraId="0A096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775" w:type="dxa"/>
                  <w:vAlign w:val="top"/>
                </w:tcPr>
                <w:p w14:paraId="77385D35">
                  <w:pPr>
                    <w:pStyle w:val="6"/>
                    <w:spacing w:before="204" w:line="221" w:lineRule="auto"/>
                    <w:ind w:left="232"/>
                    <w:rPr>
                      <w:sz w:val="22"/>
                      <w:szCs w:val="22"/>
                    </w:rPr>
                  </w:pPr>
                  <w:r>
                    <w:rPr>
                      <w:spacing w:val="-2"/>
                      <w:sz w:val="22"/>
                      <w:szCs w:val="22"/>
                    </w:rPr>
                    <w:t>环境保护目标</w:t>
                  </w:r>
                </w:p>
              </w:tc>
              <w:tc>
                <w:tcPr>
                  <w:tcW w:w="1199" w:type="dxa"/>
                  <w:vAlign w:val="top"/>
                </w:tcPr>
                <w:p w14:paraId="67517DC0">
                  <w:pPr>
                    <w:pStyle w:val="6"/>
                    <w:spacing w:before="55" w:line="227" w:lineRule="auto"/>
                    <w:ind w:left="273" w:right="157" w:hanging="108"/>
                    <w:rPr>
                      <w:sz w:val="22"/>
                      <w:szCs w:val="22"/>
                    </w:rPr>
                  </w:pPr>
                  <w:r>
                    <w:rPr>
                      <w:spacing w:val="-3"/>
                      <w:sz w:val="22"/>
                      <w:szCs w:val="22"/>
                    </w:rPr>
                    <w:t>方位及最</w:t>
                  </w:r>
                  <w:r>
                    <w:rPr>
                      <w:spacing w:val="-2"/>
                      <w:sz w:val="22"/>
                      <w:szCs w:val="22"/>
                    </w:rPr>
                    <w:t>近距离</w:t>
                  </w:r>
                </w:p>
              </w:tc>
              <w:tc>
                <w:tcPr>
                  <w:tcW w:w="1049" w:type="dxa"/>
                  <w:vAlign w:val="top"/>
                </w:tcPr>
                <w:p w14:paraId="61DF10DA">
                  <w:pPr>
                    <w:pStyle w:val="6"/>
                    <w:spacing w:before="55" w:line="227" w:lineRule="auto"/>
                    <w:ind w:left="111" w:right="98" w:firstLine="92"/>
                    <w:rPr>
                      <w:sz w:val="22"/>
                      <w:szCs w:val="22"/>
                    </w:rPr>
                  </w:pPr>
                  <w:r>
                    <w:rPr>
                      <w:spacing w:val="-4"/>
                      <w:sz w:val="22"/>
                      <w:szCs w:val="22"/>
                    </w:rPr>
                    <w:t>贡献值</w:t>
                  </w:r>
                  <w:r>
                    <w:rPr>
                      <w:rFonts w:ascii="Times New Roman" w:hAnsi="Times New Roman" w:eastAsia="Times New Roman" w:cs="Times New Roman"/>
                      <w:spacing w:val="-5"/>
                      <w:sz w:val="22"/>
                      <w:szCs w:val="22"/>
                    </w:rPr>
                    <w:t>dB</w:t>
                  </w:r>
                  <w:r>
                    <w:rPr>
                      <w:spacing w:val="-5"/>
                      <w:sz w:val="22"/>
                      <w:szCs w:val="22"/>
                    </w:rPr>
                    <w:t>（</w:t>
                  </w:r>
                  <w:r>
                    <w:rPr>
                      <w:rFonts w:ascii="Times New Roman" w:hAnsi="Times New Roman" w:eastAsia="Times New Roman" w:cs="Times New Roman"/>
                      <w:spacing w:val="-5"/>
                      <w:sz w:val="22"/>
                      <w:szCs w:val="22"/>
                    </w:rPr>
                    <w:t>A</w:t>
                  </w:r>
                  <w:r>
                    <w:rPr>
                      <w:spacing w:val="-5"/>
                      <w:sz w:val="22"/>
                      <w:szCs w:val="22"/>
                    </w:rPr>
                    <w:t>）</w:t>
                  </w:r>
                </w:p>
              </w:tc>
              <w:tc>
                <w:tcPr>
                  <w:tcW w:w="1059" w:type="dxa"/>
                  <w:vAlign w:val="top"/>
                </w:tcPr>
                <w:p w14:paraId="04731348">
                  <w:pPr>
                    <w:pStyle w:val="6"/>
                    <w:spacing w:before="55" w:line="227" w:lineRule="auto"/>
                    <w:ind w:left="113" w:right="108" w:firstLine="96"/>
                    <w:rPr>
                      <w:sz w:val="22"/>
                      <w:szCs w:val="22"/>
                    </w:rPr>
                  </w:pPr>
                  <w:r>
                    <w:rPr>
                      <w:spacing w:val="-4"/>
                      <w:sz w:val="22"/>
                      <w:szCs w:val="22"/>
                    </w:rPr>
                    <w:t>背景值</w:t>
                  </w:r>
                  <w:r>
                    <w:rPr>
                      <w:rFonts w:ascii="Times New Roman" w:hAnsi="Times New Roman" w:eastAsia="Times New Roman" w:cs="Times New Roman"/>
                      <w:spacing w:val="-5"/>
                      <w:sz w:val="22"/>
                      <w:szCs w:val="22"/>
                    </w:rPr>
                    <w:t>dB</w:t>
                  </w:r>
                  <w:r>
                    <w:rPr>
                      <w:spacing w:val="-5"/>
                      <w:sz w:val="22"/>
                      <w:szCs w:val="22"/>
                    </w:rPr>
                    <w:t>（</w:t>
                  </w:r>
                  <w:r>
                    <w:rPr>
                      <w:rFonts w:ascii="Times New Roman" w:hAnsi="Times New Roman" w:eastAsia="Times New Roman" w:cs="Times New Roman"/>
                      <w:spacing w:val="-5"/>
                      <w:sz w:val="22"/>
                      <w:szCs w:val="22"/>
                    </w:rPr>
                    <w:t>A</w:t>
                  </w:r>
                  <w:r>
                    <w:rPr>
                      <w:spacing w:val="-5"/>
                      <w:sz w:val="22"/>
                      <w:szCs w:val="22"/>
                    </w:rPr>
                    <w:t>）</w:t>
                  </w:r>
                </w:p>
              </w:tc>
              <w:tc>
                <w:tcPr>
                  <w:tcW w:w="930" w:type="dxa"/>
                  <w:vAlign w:val="top"/>
                </w:tcPr>
                <w:p w14:paraId="341E4B44">
                  <w:pPr>
                    <w:pStyle w:val="6"/>
                    <w:spacing w:before="55" w:line="227" w:lineRule="auto"/>
                    <w:ind w:left="115" w:right="8" w:firstLine="29"/>
                    <w:rPr>
                      <w:sz w:val="22"/>
                      <w:szCs w:val="22"/>
                    </w:rPr>
                  </w:pPr>
                  <w:r>
                    <w:rPr>
                      <w:spacing w:val="-4"/>
                      <w:sz w:val="22"/>
                      <w:szCs w:val="22"/>
                    </w:rPr>
                    <w:t>预测值</w:t>
                  </w:r>
                  <w:r>
                    <w:rPr>
                      <w:sz w:val="22"/>
                      <w:szCs w:val="22"/>
                    </w:rPr>
                    <w:t xml:space="preserve"> </w:t>
                  </w:r>
                  <w:r>
                    <w:rPr>
                      <w:rFonts w:ascii="Times New Roman" w:hAnsi="Times New Roman" w:eastAsia="Times New Roman" w:cs="Times New Roman"/>
                      <w:spacing w:val="-11"/>
                      <w:sz w:val="22"/>
                      <w:szCs w:val="22"/>
                    </w:rPr>
                    <w:t>dB</w:t>
                  </w:r>
                  <w:r>
                    <w:rPr>
                      <w:spacing w:val="-11"/>
                      <w:sz w:val="22"/>
                      <w:szCs w:val="22"/>
                    </w:rPr>
                    <w:t>（</w:t>
                  </w:r>
                  <w:r>
                    <w:rPr>
                      <w:rFonts w:ascii="Times New Roman" w:hAnsi="Times New Roman" w:eastAsia="Times New Roman" w:cs="Times New Roman"/>
                      <w:spacing w:val="-11"/>
                      <w:sz w:val="22"/>
                      <w:szCs w:val="22"/>
                    </w:rPr>
                    <w:t>A</w:t>
                  </w:r>
                  <w:r>
                    <w:rPr>
                      <w:spacing w:val="-11"/>
                      <w:sz w:val="22"/>
                      <w:szCs w:val="22"/>
                    </w:rPr>
                    <w:t>）</w:t>
                  </w:r>
                </w:p>
              </w:tc>
              <w:tc>
                <w:tcPr>
                  <w:tcW w:w="1139" w:type="dxa"/>
                  <w:vAlign w:val="top"/>
                </w:tcPr>
                <w:p w14:paraId="2C22B19A">
                  <w:pPr>
                    <w:pStyle w:val="6"/>
                    <w:spacing w:before="55" w:line="227" w:lineRule="auto"/>
                    <w:ind w:left="284" w:right="107" w:hanging="166"/>
                    <w:rPr>
                      <w:sz w:val="22"/>
                      <w:szCs w:val="22"/>
                    </w:rPr>
                  </w:pPr>
                  <w:r>
                    <w:rPr>
                      <w:spacing w:val="-2"/>
                      <w:sz w:val="22"/>
                      <w:szCs w:val="22"/>
                    </w:rPr>
                    <w:t>标准值</w:t>
                  </w:r>
                  <w:r>
                    <w:rPr>
                      <w:rFonts w:ascii="Times New Roman" w:hAnsi="Times New Roman" w:eastAsia="Times New Roman" w:cs="Times New Roman"/>
                      <w:spacing w:val="-2"/>
                      <w:sz w:val="22"/>
                      <w:szCs w:val="22"/>
                    </w:rPr>
                    <w:t>dB</w:t>
                  </w:r>
                  <w:r>
                    <w:rPr>
                      <w:rFonts w:ascii="Times New Roman" w:hAnsi="Times New Roman" w:eastAsia="Times New Roman" w:cs="Times New Roman"/>
                      <w:sz w:val="22"/>
                      <w:szCs w:val="22"/>
                    </w:rPr>
                    <w:t xml:space="preserve"> </w:t>
                  </w:r>
                  <w:r>
                    <w:rPr>
                      <w:spacing w:val="-6"/>
                      <w:sz w:val="22"/>
                      <w:szCs w:val="22"/>
                    </w:rPr>
                    <w:t>（</w:t>
                  </w:r>
                  <w:r>
                    <w:rPr>
                      <w:rFonts w:ascii="Times New Roman" w:hAnsi="Times New Roman" w:eastAsia="Times New Roman" w:cs="Times New Roman"/>
                      <w:spacing w:val="-6"/>
                      <w:sz w:val="22"/>
                      <w:szCs w:val="22"/>
                    </w:rPr>
                    <w:t>A</w:t>
                  </w:r>
                  <w:r>
                    <w:rPr>
                      <w:spacing w:val="-6"/>
                      <w:sz w:val="22"/>
                      <w:szCs w:val="22"/>
                    </w:rPr>
                    <w:t>）</w:t>
                  </w:r>
                </w:p>
              </w:tc>
              <w:tc>
                <w:tcPr>
                  <w:tcW w:w="789" w:type="dxa"/>
                  <w:vAlign w:val="top"/>
                </w:tcPr>
                <w:p w14:paraId="7382A396">
                  <w:pPr>
                    <w:pStyle w:val="6"/>
                    <w:spacing w:before="55" w:line="221" w:lineRule="auto"/>
                    <w:ind w:left="180"/>
                    <w:rPr>
                      <w:sz w:val="22"/>
                      <w:szCs w:val="22"/>
                    </w:rPr>
                  </w:pPr>
                  <w:r>
                    <w:rPr>
                      <w:spacing w:val="-3"/>
                      <w:sz w:val="22"/>
                      <w:szCs w:val="22"/>
                    </w:rPr>
                    <w:t>达标</w:t>
                  </w:r>
                </w:p>
                <w:p w14:paraId="2CE8D104">
                  <w:pPr>
                    <w:pStyle w:val="6"/>
                    <w:spacing w:before="36" w:line="203" w:lineRule="auto"/>
                    <w:ind w:left="181"/>
                    <w:rPr>
                      <w:sz w:val="22"/>
                      <w:szCs w:val="22"/>
                    </w:rPr>
                  </w:pPr>
                  <w:r>
                    <w:rPr>
                      <w:spacing w:val="-4"/>
                      <w:sz w:val="22"/>
                      <w:szCs w:val="22"/>
                    </w:rPr>
                    <w:t>情况</w:t>
                  </w:r>
                </w:p>
              </w:tc>
            </w:tr>
            <w:tr w14:paraId="2CD1F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1775" w:type="dxa"/>
                  <w:vMerge w:val="restart"/>
                  <w:tcBorders>
                    <w:bottom w:val="nil"/>
                  </w:tcBorders>
                  <w:vAlign w:val="top"/>
                </w:tcPr>
                <w:p w14:paraId="12436762">
                  <w:pPr>
                    <w:pStyle w:val="6"/>
                    <w:spacing w:before="276" w:line="219" w:lineRule="auto"/>
                    <w:ind w:left="288"/>
                    <w:rPr>
                      <w:sz w:val="22"/>
                      <w:szCs w:val="22"/>
                    </w:rPr>
                  </w:pPr>
                  <w:r>
                    <w:rPr>
                      <w:spacing w:val="-2"/>
                      <w:sz w:val="22"/>
                      <w:szCs w:val="22"/>
                    </w:rPr>
                    <w:t>乔鹤佳苑</w:t>
                  </w:r>
                  <w:r>
                    <w:rPr>
                      <w:rFonts w:ascii="Times New Roman" w:hAnsi="Times New Roman" w:eastAsia="Times New Roman" w:cs="Times New Roman"/>
                      <w:spacing w:val="-2"/>
                      <w:sz w:val="22"/>
                      <w:szCs w:val="22"/>
                    </w:rPr>
                    <w:t>5</w:t>
                  </w:r>
                  <w:r>
                    <w:rPr>
                      <w:spacing w:val="-2"/>
                      <w:sz w:val="22"/>
                      <w:szCs w:val="22"/>
                    </w:rPr>
                    <w:t>栋</w:t>
                  </w:r>
                </w:p>
              </w:tc>
              <w:tc>
                <w:tcPr>
                  <w:tcW w:w="1199" w:type="dxa"/>
                  <w:vMerge w:val="restart"/>
                  <w:tcBorders>
                    <w:bottom w:val="nil"/>
                  </w:tcBorders>
                  <w:vAlign w:val="top"/>
                </w:tcPr>
                <w:p w14:paraId="6FCCE4BA">
                  <w:pPr>
                    <w:pStyle w:val="6"/>
                    <w:spacing w:before="276" w:line="220" w:lineRule="auto"/>
                    <w:ind w:left="116"/>
                    <w:rPr>
                      <w:rFonts w:ascii="Times New Roman" w:hAnsi="Times New Roman" w:eastAsia="Times New Roman" w:cs="Times New Roman"/>
                      <w:sz w:val="22"/>
                      <w:szCs w:val="22"/>
                    </w:rPr>
                  </w:pPr>
                  <w:r>
                    <w:rPr>
                      <w:spacing w:val="-14"/>
                      <w:sz w:val="22"/>
                      <w:szCs w:val="22"/>
                    </w:rPr>
                    <w:t>西侧，</w:t>
                  </w:r>
                  <w:r>
                    <w:rPr>
                      <w:rFonts w:ascii="Times New Roman" w:hAnsi="Times New Roman" w:eastAsia="Times New Roman" w:cs="Times New Roman"/>
                      <w:spacing w:val="-14"/>
                      <w:sz w:val="22"/>
                      <w:szCs w:val="22"/>
                    </w:rPr>
                    <w:t>20m</w:t>
                  </w:r>
                </w:p>
              </w:tc>
              <w:tc>
                <w:tcPr>
                  <w:tcW w:w="1049" w:type="dxa"/>
                  <w:vMerge w:val="restart"/>
                  <w:tcBorders>
                    <w:bottom w:val="nil"/>
                  </w:tcBorders>
                  <w:vAlign w:val="top"/>
                </w:tcPr>
                <w:p w14:paraId="241E486D">
                  <w:pPr>
                    <w:spacing w:line="249" w:lineRule="auto"/>
                    <w:rPr>
                      <w:rFonts w:ascii="Arial"/>
                      <w:sz w:val="21"/>
                    </w:rPr>
                  </w:pPr>
                </w:p>
                <w:p w14:paraId="2D2CCA0E">
                  <w:pPr>
                    <w:spacing w:before="63" w:line="189" w:lineRule="auto"/>
                    <w:ind w:left="28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34.33</w:t>
                  </w:r>
                </w:p>
              </w:tc>
              <w:tc>
                <w:tcPr>
                  <w:tcW w:w="1059" w:type="dxa"/>
                  <w:vAlign w:val="top"/>
                </w:tcPr>
                <w:p w14:paraId="0436509B">
                  <w:pPr>
                    <w:spacing w:before="158" w:line="189" w:lineRule="auto"/>
                    <w:ind w:left="34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65.0</w:t>
                  </w:r>
                </w:p>
              </w:tc>
              <w:tc>
                <w:tcPr>
                  <w:tcW w:w="930" w:type="dxa"/>
                  <w:vAlign w:val="top"/>
                </w:tcPr>
                <w:p w14:paraId="0D62742F">
                  <w:pPr>
                    <w:spacing w:before="158" w:line="189" w:lineRule="auto"/>
                    <w:ind w:left="28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65.0</w:t>
                  </w:r>
                </w:p>
              </w:tc>
              <w:tc>
                <w:tcPr>
                  <w:tcW w:w="1139" w:type="dxa"/>
                  <w:vAlign w:val="top"/>
                </w:tcPr>
                <w:p w14:paraId="0A3C9011">
                  <w:pPr>
                    <w:pStyle w:val="6"/>
                    <w:spacing w:before="122" w:line="223" w:lineRule="auto"/>
                    <w:ind w:left="246"/>
                    <w:rPr>
                      <w:rFonts w:ascii="Times New Roman" w:hAnsi="Times New Roman" w:eastAsia="Times New Roman" w:cs="Times New Roman"/>
                      <w:sz w:val="22"/>
                      <w:szCs w:val="22"/>
                    </w:rPr>
                  </w:pPr>
                  <w:r>
                    <w:rPr>
                      <w:spacing w:val="-2"/>
                      <w:sz w:val="22"/>
                      <w:szCs w:val="22"/>
                    </w:rPr>
                    <w:t>昼间</w:t>
                  </w:r>
                  <w:r>
                    <w:rPr>
                      <w:rFonts w:ascii="Times New Roman" w:hAnsi="Times New Roman" w:eastAsia="Times New Roman" w:cs="Times New Roman"/>
                      <w:spacing w:val="-2"/>
                      <w:sz w:val="22"/>
                      <w:szCs w:val="22"/>
                    </w:rPr>
                    <w:t>70</w:t>
                  </w:r>
                </w:p>
              </w:tc>
              <w:tc>
                <w:tcPr>
                  <w:tcW w:w="789" w:type="dxa"/>
                  <w:vAlign w:val="top"/>
                </w:tcPr>
                <w:p w14:paraId="01BABBD6">
                  <w:pPr>
                    <w:pStyle w:val="6"/>
                    <w:spacing w:before="122" w:line="221" w:lineRule="auto"/>
                    <w:ind w:left="180"/>
                    <w:rPr>
                      <w:sz w:val="22"/>
                      <w:szCs w:val="22"/>
                    </w:rPr>
                  </w:pPr>
                  <w:r>
                    <w:rPr>
                      <w:spacing w:val="-3"/>
                      <w:sz w:val="22"/>
                      <w:szCs w:val="22"/>
                    </w:rPr>
                    <w:t>达标</w:t>
                  </w:r>
                </w:p>
              </w:tc>
            </w:tr>
            <w:tr w14:paraId="77B82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775" w:type="dxa"/>
                  <w:vMerge w:val="continue"/>
                  <w:tcBorders>
                    <w:top w:val="nil"/>
                  </w:tcBorders>
                  <w:vAlign w:val="top"/>
                </w:tcPr>
                <w:p w14:paraId="31AC6441">
                  <w:pPr>
                    <w:rPr>
                      <w:rFonts w:ascii="Arial"/>
                      <w:sz w:val="21"/>
                    </w:rPr>
                  </w:pPr>
                </w:p>
              </w:tc>
              <w:tc>
                <w:tcPr>
                  <w:tcW w:w="1199" w:type="dxa"/>
                  <w:vMerge w:val="continue"/>
                  <w:tcBorders>
                    <w:top w:val="nil"/>
                  </w:tcBorders>
                  <w:vAlign w:val="top"/>
                </w:tcPr>
                <w:p w14:paraId="1EABAE3A">
                  <w:pPr>
                    <w:rPr>
                      <w:rFonts w:ascii="Arial"/>
                      <w:sz w:val="21"/>
                    </w:rPr>
                  </w:pPr>
                </w:p>
              </w:tc>
              <w:tc>
                <w:tcPr>
                  <w:tcW w:w="1049" w:type="dxa"/>
                  <w:vMerge w:val="continue"/>
                  <w:tcBorders>
                    <w:top w:val="nil"/>
                  </w:tcBorders>
                  <w:vAlign w:val="top"/>
                </w:tcPr>
                <w:p w14:paraId="4A134FE0">
                  <w:pPr>
                    <w:rPr>
                      <w:rFonts w:ascii="Arial"/>
                      <w:sz w:val="21"/>
                    </w:rPr>
                  </w:pPr>
                </w:p>
              </w:tc>
              <w:tc>
                <w:tcPr>
                  <w:tcW w:w="1059" w:type="dxa"/>
                  <w:vAlign w:val="top"/>
                </w:tcPr>
                <w:p w14:paraId="517B5B5C">
                  <w:pPr>
                    <w:spacing w:before="93" w:line="189" w:lineRule="auto"/>
                    <w:ind w:left="33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49.0</w:t>
                  </w:r>
                </w:p>
              </w:tc>
              <w:tc>
                <w:tcPr>
                  <w:tcW w:w="930" w:type="dxa"/>
                  <w:vAlign w:val="top"/>
                </w:tcPr>
                <w:p w14:paraId="47284D69">
                  <w:pPr>
                    <w:spacing w:before="93" w:line="189" w:lineRule="auto"/>
                    <w:ind w:left="21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49.15</w:t>
                  </w:r>
                </w:p>
              </w:tc>
              <w:tc>
                <w:tcPr>
                  <w:tcW w:w="1139" w:type="dxa"/>
                  <w:vAlign w:val="top"/>
                </w:tcPr>
                <w:p w14:paraId="56118EE4">
                  <w:pPr>
                    <w:pStyle w:val="6"/>
                    <w:spacing w:before="55" w:line="203" w:lineRule="auto"/>
                    <w:ind w:left="250"/>
                    <w:rPr>
                      <w:rFonts w:ascii="Times New Roman" w:hAnsi="Times New Roman" w:eastAsia="Times New Roman" w:cs="Times New Roman"/>
                      <w:sz w:val="22"/>
                      <w:szCs w:val="22"/>
                    </w:rPr>
                  </w:pPr>
                  <w:r>
                    <w:rPr>
                      <w:spacing w:val="-4"/>
                      <w:sz w:val="22"/>
                      <w:szCs w:val="22"/>
                    </w:rPr>
                    <w:t>夜间</w:t>
                  </w:r>
                  <w:r>
                    <w:rPr>
                      <w:rFonts w:ascii="Times New Roman" w:hAnsi="Times New Roman" w:eastAsia="Times New Roman" w:cs="Times New Roman"/>
                      <w:spacing w:val="-4"/>
                      <w:sz w:val="22"/>
                      <w:szCs w:val="22"/>
                    </w:rPr>
                    <w:t>55</w:t>
                  </w:r>
                </w:p>
              </w:tc>
              <w:tc>
                <w:tcPr>
                  <w:tcW w:w="789" w:type="dxa"/>
                  <w:vAlign w:val="top"/>
                </w:tcPr>
                <w:p w14:paraId="073A869B">
                  <w:pPr>
                    <w:pStyle w:val="6"/>
                    <w:spacing w:before="55" w:line="203" w:lineRule="auto"/>
                    <w:ind w:left="180"/>
                    <w:rPr>
                      <w:sz w:val="22"/>
                      <w:szCs w:val="22"/>
                    </w:rPr>
                  </w:pPr>
                  <w:r>
                    <w:rPr>
                      <w:spacing w:val="-3"/>
                      <w:sz w:val="22"/>
                      <w:szCs w:val="22"/>
                    </w:rPr>
                    <w:t>达标</w:t>
                  </w:r>
                </w:p>
              </w:tc>
            </w:tr>
          </w:tbl>
          <w:p w14:paraId="4C812B36">
            <w:pPr>
              <w:spacing w:line="46" w:lineRule="auto"/>
              <w:rPr>
                <w:rFonts w:ascii="Arial"/>
                <w:sz w:val="2"/>
              </w:rPr>
            </w:pPr>
          </w:p>
        </w:tc>
      </w:tr>
    </w:tbl>
    <w:p w14:paraId="0556E7A9">
      <w:pPr>
        <w:pStyle w:val="2"/>
        <w:rPr>
          <w:sz w:val="21"/>
        </w:rPr>
      </w:pPr>
    </w:p>
    <w:p w14:paraId="7D7DCCE4">
      <w:pPr>
        <w:rPr>
          <w:sz w:val="21"/>
          <w:szCs w:val="21"/>
        </w:rPr>
        <w:sectPr>
          <w:footerReference r:id="rId88" w:type="default"/>
          <w:pgSz w:w="11907" w:h="16840"/>
          <w:pgMar w:top="400" w:right="1490" w:bottom="1008" w:left="1489" w:header="0" w:footer="770" w:gutter="0"/>
          <w:cols w:space="720" w:num="1"/>
        </w:sectPr>
      </w:pPr>
    </w:p>
    <w:p w14:paraId="67BE21AD">
      <w:pPr>
        <w:spacing w:before="19"/>
      </w:pPr>
    </w:p>
    <w:p w14:paraId="3F4F0DF5">
      <w:pPr>
        <w:spacing w:before="19"/>
      </w:pPr>
    </w:p>
    <w:p w14:paraId="237C38AD">
      <w:pPr>
        <w:spacing w:before="19"/>
      </w:pPr>
    </w:p>
    <w:p w14:paraId="46F90DF2">
      <w:pPr>
        <w:spacing w:before="18"/>
      </w:pPr>
    </w:p>
    <w:p w14:paraId="316A8B16">
      <w:pPr>
        <w:spacing w:before="18"/>
      </w:pPr>
    </w:p>
    <w:tbl>
      <w:tblPr>
        <w:tblStyle w:val="5"/>
        <w:tblW w:w="891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113"/>
        <w:gridCol w:w="1768"/>
        <w:gridCol w:w="1198"/>
        <w:gridCol w:w="1048"/>
        <w:gridCol w:w="1058"/>
        <w:gridCol w:w="929"/>
        <w:gridCol w:w="1138"/>
        <w:gridCol w:w="784"/>
        <w:gridCol w:w="122"/>
      </w:tblGrid>
      <w:tr w14:paraId="3CA6A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54" w:type="dxa"/>
            <w:vMerge w:val="restart"/>
            <w:tcBorders>
              <w:top w:val="single" w:color="000000" w:sz="6" w:space="0"/>
              <w:left w:val="single" w:color="000000" w:sz="6" w:space="0"/>
              <w:bottom w:val="nil"/>
            </w:tcBorders>
            <w:vAlign w:val="top"/>
          </w:tcPr>
          <w:p w14:paraId="5B67FCFB">
            <w:pPr>
              <w:rPr>
                <w:rFonts w:ascii="Arial"/>
                <w:sz w:val="21"/>
              </w:rPr>
            </w:pPr>
          </w:p>
        </w:tc>
        <w:tc>
          <w:tcPr>
            <w:tcW w:w="113" w:type="dxa"/>
            <w:tcBorders>
              <w:top w:val="single" w:color="000000" w:sz="6" w:space="0"/>
              <w:bottom w:val="nil"/>
            </w:tcBorders>
            <w:vAlign w:val="top"/>
          </w:tcPr>
          <w:p w14:paraId="4A93BEFC">
            <w:pPr>
              <w:rPr>
                <w:rFonts w:ascii="Arial"/>
                <w:sz w:val="21"/>
              </w:rPr>
            </w:pPr>
          </w:p>
        </w:tc>
        <w:tc>
          <w:tcPr>
            <w:tcW w:w="1768" w:type="dxa"/>
            <w:vMerge w:val="restart"/>
            <w:tcBorders>
              <w:top w:val="single" w:color="000000" w:sz="6" w:space="0"/>
              <w:bottom w:val="nil"/>
            </w:tcBorders>
            <w:vAlign w:val="top"/>
          </w:tcPr>
          <w:p w14:paraId="4C915533">
            <w:pPr>
              <w:pStyle w:val="6"/>
              <w:spacing w:before="241" w:line="219" w:lineRule="auto"/>
              <w:ind w:left="280"/>
              <w:rPr>
                <w:sz w:val="22"/>
                <w:szCs w:val="22"/>
              </w:rPr>
            </w:pPr>
            <w:r>
              <w:rPr>
                <w:spacing w:val="-2"/>
                <w:sz w:val="22"/>
                <w:szCs w:val="22"/>
              </w:rPr>
              <w:t>乔鹤佳苑</w:t>
            </w:r>
            <w:r>
              <w:rPr>
                <w:rFonts w:ascii="Times New Roman" w:hAnsi="Times New Roman" w:eastAsia="Times New Roman" w:cs="Times New Roman"/>
                <w:spacing w:val="-2"/>
                <w:sz w:val="22"/>
                <w:szCs w:val="22"/>
              </w:rPr>
              <w:t>6</w:t>
            </w:r>
            <w:r>
              <w:rPr>
                <w:spacing w:val="-2"/>
                <w:sz w:val="22"/>
                <w:szCs w:val="22"/>
              </w:rPr>
              <w:t>栋</w:t>
            </w:r>
          </w:p>
        </w:tc>
        <w:tc>
          <w:tcPr>
            <w:tcW w:w="1198" w:type="dxa"/>
            <w:vMerge w:val="restart"/>
            <w:tcBorders>
              <w:top w:val="single" w:color="000000" w:sz="6" w:space="0"/>
              <w:bottom w:val="nil"/>
            </w:tcBorders>
            <w:vAlign w:val="top"/>
          </w:tcPr>
          <w:p w14:paraId="5C59A364">
            <w:pPr>
              <w:pStyle w:val="6"/>
              <w:spacing w:before="240" w:line="220" w:lineRule="auto"/>
              <w:ind w:left="112"/>
              <w:rPr>
                <w:rFonts w:ascii="Times New Roman" w:hAnsi="Times New Roman" w:eastAsia="Times New Roman" w:cs="Times New Roman"/>
                <w:sz w:val="22"/>
                <w:szCs w:val="22"/>
              </w:rPr>
            </w:pPr>
            <w:r>
              <w:rPr>
                <w:spacing w:val="-13"/>
                <w:sz w:val="22"/>
                <w:szCs w:val="22"/>
              </w:rPr>
              <w:t>南侧，</w:t>
            </w:r>
            <w:r>
              <w:rPr>
                <w:rFonts w:ascii="Times New Roman" w:hAnsi="Times New Roman" w:eastAsia="Times New Roman" w:cs="Times New Roman"/>
                <w:spacing w:val="-13"/>
                <w:sz w:val="22"/>
                <w:szCs w:val="22"/>
              </w:rPr>
              <w:t>20m</w:t>
            </w:r>
          </w:p>
        </w:tc>
        <w:tc>
          <w:tcPr>
            <w:tcW w:w="1048" w:type="dxa"/>
            <w:vMerge w:val="restart"/>
            <w:tcBorders>
              <w:top w:val="single" w:color="000000" w:sz="6" w:space="0"/>
              <w:bottom w:val="nil"/>
            </w:tcBorders>
            <w:vAlign w:val="top"/>
          </w:tcPr>
          <w:p w14:paraId="232A226F">
            <w:pPr>
              <w:spacing w:before="276" w:line="189" w:lineRule="auto"/>
              <w:ind w:left="28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31.21</w:t>
            </w:r>
          </w:p>
        </w:tc>
        <w:tc>
          <w:tcPr>
            <w:tcW w:w="1058" w:type="dxa"/>
            <w:tcBorders>
              <w:top w:val="single" w:color="000000" w:sz="6" w:space="0"/>
            </w:tcBorders>
            <w:vAlign w:val="top"/>
          </w:tcPr>
          <w:p w14:paraId="3600B280">
            <w:pPr>
              <w:spacing w:before="122" w:line="189" w:lineRule="auto"/>
              <w:ind w:left="34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53.0</w:t>
            </w:r>
          </w:p>
        </w:tc>
        <w:tc>
          <w:tcPr>
            <w:tcW w:w="929" w:type="dxa"/>
            <w:tcBorders>
              <w:top w:val="single" w:color="000000" w:sz="6" w:space="0"/>
            </w:tcBorders>
            <w:vAlign w:val="top"/>
          </w:tcPr>
          <w:p w14:paraId="16F7EA08">
            <w:pPr>
              <w:spacing w:before="122" w:line="189" w:lineRule="auto"/>
              <w:ind w:left="22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53.03</w:t>
            </w:r>
          </w:p>
        </w:tc>
        <w:tc>
          <w:tcPr>
            <w:tcW w:w="1138" w:type="dxa"/>
            <w:tcBorders>
              <w:top w:val="single" w:color="000000" w:sz="6" w:space="0"/>
            </w:tcBorders>
            <w:vAlign w:val="top"/>
          </w:tcPr>
          <w:p w14:paraId="2A2CC944">
            <w:pPr>
              <w:pStyle w:val="6"/>
              <w:spacing w:before="85" w:line="203" w:lineRule="auto"/>
              <w:ind w:left="249"/>
              <w:rPr>
                <w:rFonts w:ascii="Times New Roman" w:hAnsi="Times New Roman" w:eastAsia="Times New Roman" w:cs="Times New Roman"/>
                <w:sz w:val="22"/>
                <w:szCs w:val="22"/>
              </w:rPr>
            </w:pPr>
            <w:r>
              <w:rPr>
                <w:spacing w:val="-2"/>
                <w:sz w:val="22"/>
                <w:szCs w:val="22"/>
              </w:rPr>
              <w:t>昼间</w:t>
            </w:r>
            <w:r>
              <w:rPr>
                <w:rFonts w:ascii="Times New Roman" w:hAnsi="Times New Roman" w:eastAsia="Times New Roman" w:cs="Times New Roman"/>
                <w:spacing w:val="-2"/>
                <w:sz w:val="22"/>
                <w:szCs w:val="22"/>
              </w:rPr>
              <w:t>60</w:t>
            </w:r>
          </w:p>
        </w:tc>
        <w:tc>
          <w:tcPr>
            <w:tcW w:w="784" w:type="dxa"/>
            <w:tcBorders>
              <w:top w:val="single" w:color="000000" w:sz="6" w:space="0"/>
            </w:tcBorders>
            <w:vAlign w:val="top"/>
          </w:tcPr>
          <w:p w14:paraId="61558C3F">
            <w:pPr>
              <w:pStyle w:val="6"/>
              <w:spacing w:before="85" w:line="203" w:lineRule="auto"/>
              <w:ind w:left="183"/>
              <w:rPr>
                <w:sz w:val="22"/>
                <w:szCs w:val="22"/>
              </w:rPr>
            </w:pPr>
            <w:r>
              <w:rPr>
                <w:spacing w:val="-3"/>
                <w:sz w:val="22"/>
                <w:szCs w:val="22"/>
              </w:rPr>
              <w:t>达标</w:t>
            </w:r>
          </w:p>
        </w:tc>
        <w:tc>
          <w:tcPr>
            <w:tcW w:w="122" w:type="dxa"/>
            <w:tcBorders>
              <w:top w:val="single" w:color="000000" w:sz="6" w:space="0"/>
              <w:bottom w:val="nil"/>
              <w:right w:val="single" w:color="000000" w:sz="6" w:space="0"/>
            </w:tcBorders>
            <w:vAlign w:val="top"/>
          </w:tcPr>
          <w:p w14:paraId="2CCC3E59">
            <w:pPr>
              <w:rPr>
                <w:rFonts w:ascii="Arial"/>
                <w:sz w:val="21"/>
              </w:rPr>
            </w:pPr>
          </w:p>
        </w:tc>
      </w:tr>
      <w:tr w14:paraId="34588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754" w:type="dxa"/>
            <w:vMerge w:val="continue"/>
            <w:tcBorders>
              <w:top w:val="nil"/>
              <w:left w:val="single" w:color="000000" w:sz="6" w:space="0"/>
              <w:bottom w:val="nil"/>
            </w:tcBorders>
            <w:vAlign w:val="top"/>
          </w:tcPr>
          <w:p w14:paraId="22B63FCF">
            <w:pPr>
              <w:rPr>
                <w:rFonts w:ascii="Arial"/>
                <w:sz w:val="21"/>
              </w:rPr>
            </w:pPr>
          </w:p>
        </w:tc>
        <w:tc>
          <w:tcPr>
            <w:tcW w:w="113" w:type="dxa"/>
            <w:tcBorders>
              <w:top w:val="nil"/>
              <w:bottom w:val="nil"/>
            </w:tcBorders>
            <w:vAlign w:val="top"/>
          </w:tcPr>
          <w:p w14:paraId="7300729B">
            <w:pPr>
              <w:rPr>
                <w:rFonts w:ascii="Arial"/>
                <w:sz w:val="21"/>
              </w:rPr>
            </w:pPr>
          </w:p>
        </w:tc>
        <w:tc>
          <w:tcPr>
            <w:tcW w:w="1768" w:type="dxa"/>
            <w:vMerge w:val="continue"/>
            <w:tcBorders>
              <w:top w:val="nil"/>
            </w:tcBorders>
            <w:vAlign w:val="top"/>
          </w:tcPr>
          <w:p w14:paraId="31DECAEB">
            <w:pPr>
              <w:rPr>
                <w:rFonts w:ascii="Arial"/>
                <w:sz w:val="21"/>
              </w:rPr>
            </w:pPr>
          </w:p>
        </w:tc>
        <w:tc>
          <w:tcPr>
            <w:tcW w:w="1198" w:type="dxa"/>
            <w:vMerge w:val="continue"/>
            <w:tcBorders>
              <w:top w:val="nil"/>
            </w:tcBorders>
            <w:vAlign w:val="top"/>
          </w:tcPr>
          <w:p w14:paraId="08CBE2DE">
            <w:pPr>
              <w:rPr>
                <w:rFonts w:ascii="Arial"/>
                <w:sz w:val="21"/>
              </w:rPr>
            </w:pPr>
          </w:p>
        </w:tc>
        <w:tc>
          <w:tcPr>
            <w:tcW w:w="1048" w:type="dxa"/>
            <w:vMerge w:val="continue"/>
            <w:tcBorders>
              <w:top w:val="nil"/>
            </w:tcBorders>
            <w:vAlign w:val="top"/>
          </w:tcPr>
          <w:p w14:paraId="0DEDD306">
            <w:pPr>
              <w:rPr>
                <w:rFonts w:ascii="Arial"/>
                <w:sz w:val="21"/>
              </w:rPr>
            </w:pPr>
          </w:p>
        </w:tc>
        <w:tc>
          <w:tcPr>
            <w:tcW w:w="1058" w:type="dxa"/>
            <w:vAlign w:val="top"/>
          </w:tcPr>
          <w:p w14:paraId="752B0800">
            <w:pPr>
              <w:spacing w:before="109" w:line="189" w:lineRule="auto"/>
              <w:ind w:left="33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47.0</w:t>
            </w:r>
          </w:p>
        </w:tc>
        <w:tc>
          <w:tcPr>
            <w:tcW w:w="929" w:type="dxa"/>
            <w:vAlign w:val="top"/>
          </w:tcPr>
          <w:p w14:paraId="41CEE220">
            <w:pPr>
              <w:spacing w:before="109" w:line="189" w:lineRule="auto"/>
              <w:ind w:left="22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47.11</w:t>
            </w:r>
          </w:p>
        </w:tc>
        <w:tc>
          <w:tcPr>
            <w:tcW w:w="1138" w:type="dxa"/>
            <w:vAlign w:val="top"/>
          </w:tcPr>
          <w:p w14:paraId="4CD02C35">
            <w:pPr>
              <w:pStyle w:val="6"/>
              <w:spacing w:before="71" w:line="204" w:lineRule="auto"/>
              <w:ind w:left="253"/>
              <w:rPr>
                <w:rFonts w:ascii="Times New Roman" w:hAnsi="Times New Roman" w:eastAsia="Times New Roman" w:cs="Times New Roman"/>
                <w:sz w:val="22"/>
                <w:szCs w:val="22"/>
              </w:rPr>
            </w:pPr>
            <w:r>
              <w:rPr>
                <w:spacing w:val="-4"/>
                <w:sz w:val="22"/>
                <w:szCs w:val="22"/>
              </w:rPr>
              <w:t>夜间</w:t>
            </w:r>
            <w:r>
              <w:rPr>
                <w:rFonts w:ascii="Times New Roman" w:hAnsi="Times New Roman" w:eastAsia="Times New Roman" w:cs="Times New Roman"/>
                <w:spacing w:val="-4"/>
                <w:sz w:val="22"/>
                <w:szCs w:val="22"/>
              </w:rPr>
              <w:t>50</w:t>
            </w:r>
          </w:p>
        </w:tc>
        <w:tc>
          <w:tcPr>
            <w:tcW w:w="784" w:type="dxa"/>
            <w:vAlign w:val="top"/>
          </w:tcPr>
          <w:p w14:paraId="1ACF97B5">
            <w:pPr>
              <w:pStyle w:val="6"/>
              <w:spacing w:before="71" w:line="204" w:lineRule="auto"/>
              <w:ind w:left="183"/>
              <w:rPr>
                <w:sz w:val="22"/>
                <w:szCs w:val="22"/>
              </w:rPr>
            </w:pPr>
            <w:r>
              <w:rPr>
                <w:spacing w:val="-3"/>
                <w:sz w:val="22"/>
                <w:szCs w:val="22"/>
              </w:rPr>
              <w:t>达标</w:t>
            </w:r>
          </w:p>
        </w:tc>
        <w:tc>
          <w:tcPr>
            <w:tcW w:w="122" w:type="dxa"/>
            <w:tcBorders>
              <w:top w:val="nil"/>
              <w:bottom w:val="nil"/>
              <w:right w:val="single" w:color="000000" w:sz="6" w:space="0"/>
            </w:tcBorders>
            <w:vAlign w:val="top"/>
          </w:tcPr>
          <w:p w14:paraId="23C265A8">
            <w:pPr>
              <w:rPr>
                <w:rFonts w:ascii="Arial"/>
                <w:sz w:val="21"/>
              </w:rPr>
            </w:pPr>
          </w:p>
        </w:tc>
      </w:tr>
      <w:tr w14:paraId="3D54D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54" w:type="dxa"/>
            <w:vMerge w:val="continue"/>
            <w:tcBorders>
              <w:top w:val="nil"/>
              <w:left w:val="single" w:color="000000" w:sz="6" w:space="0"/>
              <w:bottom w:val="nil"/>
            </w:tcBorders>
            <w:vAlign w:val="top"/>
          </w:tcPr>
          <w:p w14:paraId="700FE5F3">
            <w:pPr>
              <w:rPr>
                <w:rFonts w:ascii="Arial"/>
                <w:sz w:val="21"/>
              </w:rPr>
            </w:pPr>
          </w:p>
        </w:tc>
        <w:tc>
          <w:tcPr>
            <w:tcW w:w="113" w:type="dxa"/>
            <w:tcBorders>
              <w:top w:val="nil"/>
              <w:bottom w:val="nil"/>
            </w:tcBorders>
            <w:vAlign w:val="top"/>
          </w:tcPr>
          <w:p w14:paraId="4DC3CE8B">
            <w:pPr>
              <w:rPr>
                <w:rFonts w:ascii="Arial"/>
                <w:sz w:val="21"/>
              </w:rPr>
            </w:pPr>
          </w:p>
        </w:tc>
        <w:tc>
          <w:tcPr>
            <w:tcW w:w="1768" w:type="dxa"/>
            <w:vMerge w:val="restart"/>
            <w:tcBorders>
              <w:bottom w:val="nil"/>
            </w:tcBorders>
            <w:vAlign w:val="top"/>
          </w:tcPr>
          <w:p w14:paraId="55472B2B">
            <w:pPr>
              <w:pStyle w:val="6"/>
              <w:spacing w:before="252" w:line="220" w:lineRule="auto"/>
              <w:jc w:val="right"/>
              <w:rPr>
                <w:sz w:val="22"/>
                <w:szCs w:val="22"/>
              </w:rPr>
            </w:pPr>
            <w:r>
              <w:rPr>
                <w:spacing w:val="-15"/>
                <w:sz w:val="22"/>
                <w:szCs w:val="22"/>
              </w:rPr>
              <w:t>金茂晓棠（在建）</w:t>
            </w:r>
          </w:p>
        </w:tc>
        <w:tc>
          <w:tcPr>
            <w:tcW w:w="1198" w:type="dxa"/>
            <w:vMerge w:val="restart"/>
            <w:tcBorders>
              <w:bottom w:val="nil"/>
            </w:tcBorders>
            <w:vAlign w:val="top"/>
          </w:tcPr>
          <w:p w14:paraId="5A3A5549">
            <w:pPr>
              <w:pStyle w:val="6"/>
              <w:spacing w:before="252" w:line="220" w:lineRule="auto"/>
              <w:ind w:left="117"/>
              <w:rPr>
                <w:rFonts w:ascii="Times New Roman" w:hAnsi="Times New Roman" w:eastAsia="Times New Roman" w:cs="Times New Roman"/>
                <w:sz w:val="22"/>
                <w:szCs w:val="22"/>
              </w:rPr>
            </w:pPr>
            <w:r>
              <w:rPr>
                <w:spacing w:val="-14"/>
                <w:sz w:val="22"/>
                <w:szCs w:val="22"/>
              </w:rPr>
              <w:t>东侧，</w:t>
            </w:r>
            <w:r>
              <w:rPr>
                <w:rFonts w:ascii="Times New Roman" w:hAnsi="Times New Roman" w:eastAsia="Times New Roman" w:cs="Times New Roman"/>
                <w:spacing w:val="-14"/>
                <w:sz w:val="22"/>
                <w:szCs w:val="22"/>
              </w:rPr>
              <w:t>45m</w:t>
            </w:r>
          </w:p>
        </w:tc>
        <w:tc>
          <w:tcPr>
            <w:tcW w:w="1048" w:type="dxa"/>
            <w:vMerge w:val="restart"/>
            <w:tcBorders>
              <w:bottom w:val="nil"/>
            </w:tcBorders>
            <w:vAlign w:val="top"/>
          </w:tcPr>
          <w:p w14:paraId="547E55E8">
            <w:pPr>
              <w:spacing w:before="288" w:line="189" w:lineRule="auto"/>
              <w:ind w:left="27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27.83</w:t>
            </w:r>
          </w:p>
        </w:tc>
        <w:tc>
          <w:tcPr>
            <w:tcW w:w="1058" w:type="dxa"/>
            <w:vAlign w:val="top"/>
          </w:tcPr>
          <w:p w14:paraId="569FDEE4">
            <w:pPr>
              <w:spacing w:before="89" w:line="178" w:lineRule="auto"/>
              <w:ind w:left="34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53.0</w:t>
            </w:r>
          </w:p>
        </w:tc>
        <w:tc>
          <w:tcPr>
            <w:tcW w:w="929" w:type="dxa"/>
            <w:vAlign w:val="top"/>
          </w:tcPr>
          <w:p w14:paraId="7047FAD8">
            <w:pPr>
              <w:spacing w:before="89" w:line="178" w:lineRule="auto"/>
              <w:ind w:left="28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53.0</w:t>
            </w:r>
          </w:p>
        </w:tc>
        <w:tc>
          <w:tcPr>
            <w:tcW w:w="1138" w:type="dxa"/>
            <w:vAlign w:val="top"/>
          </w:tcPr>
          <w:p w14:paraId="3904B357">
            <w:pPr>
              <w:pStyle w:val="6"/>
              <w:spacing w:before="50" w:line="190" w:lineRule="auto"/>
              <w:ind w:left="249"/>
              <w:rPr>
                <w:rFonts w:ascii="Times New Roman" w:hAnsi="Times New Roman" w:eastAsia="Times New Roman" w:cs="Times New Roman"/>
                <w:sz w:val="22"/>
                <w:szCs w:val="22"/>
              </w:rPr>
            </w:pPr>
            <w:r>
              <w:rPr>
                <w:spacing w:val="-2"/>
                <w:sz w:val="22"/>
                <w:szCs w:val="22"/>
              </w:rPr>
              <w:t>昼间</w:t>
            </w:r>
            <w:r>
              <w:rPr>
                <w:rFonts w:ascii="Times New Roman" w:hAnsi="Times New Roman" w:eastAsia="Times New Roman" w:cs="Times New Roman"/>
                <w:spacing w:val="-2"/>
                <w:sz w:val="22"/>
                <w:szCs w:val="22"/>
              </w:rPr>
              <w:t>60</w:t>
            </w:r>
          </w:p>
        </w:tc>
        <w:tc>
          <w:tcPr>
            <w:tcW w:w="784" w:type="dxa"/>
            <w:vAlign w:val="top"/>
          </w:tcPr>
          <w:p w14:paraId="6C2D128A">
            <w:pPr>
              <w:pStyle w:val="6"/>
              <w:spacing w:before="50" w:line="190" w:lineRule="auto"/>
              <w:ind w:left="183"/>
              <w:rPr>
                <w:sz w:val="22"/>
                <w:szCs w:val="22"/>
              </w:rPr>
            </w:pPr>
            <w:r>
              <w:rPr>
                <w:spacing w:val="-3"/>
                <w:sz w:val="22"/>
                <w:szCs w:val="22"/>
              </w:rPr>
              <w:t>达标</w:t>
            </w:r>
          </w:p>
        </w:tc>
        <w:tc>
          <w:tcPr>
            <w:tcW w:w="122" w:type="dxa"/>
            <w:tcBorders>
              <w:top w:val="nil"/>
              <w:bottom w:val="nil"/>
              <w:right w:val="single" w:color="000000" w:sz="6" w:space="0"/>
            </w:tcBorders>
            <w:vAlign w:val="top"/>
          </w:tcPr>
          <w:p w14:paraId="568BED09">
            <w:pPr>
              <w:rPr>
                <w:rFonts w:ascii="Arial"/>
                <w:sz w:val="21"/>
              </w:rPr>
            </w:pPr>
          </w:p>
        </w:tc>
      </w:tr>
      <w:tr w14:paraId="2564E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754" w:type="dxa"/>
            <w:vMerge w:val="continue"/>
            <w:tcBorders>
              <w:top w:val="nil"/>
              <w:left w:val="single" w:color="000000" w:sz="6" w:space="0"/>
              <w:bottom w:val="nil"/>
            </w:tcBorders>
            <w:vAlign w:val="top"/>
          </w:tcPr>
          <w:p w14:paraId="29FDED32">
            <w:pPr>
              <w:rPr>
                <w:rFonts w:ascii="Arial"/>
                <w:sz w:val="21"/>
              </w:rPr>
            </w:pPr>
          </w:p>
        </w:tc>
        <w:tc>
          <w:tcPr>
            <w:tcW w:w="113" w:type="dxa"/>
            <w:tcBorders>
              <w:top w:val="nil"/>
              <w:bottom w:val="nil"/>
            </w:tcBorders>
            <w:vAlign w:val="top"/>
          </w:tcPr>
          <w:p w14:paraId="5D179A49">
            <w:pPr>
              <w:rPr>
                <w:rFonts w:ascii="Arial"/>
                <w:sz w:val="21"/>
              </w:rPr>
            </w:pPr>
          </w:p>
        </w:tc>
        <w:tc>
          <w:tcPr>
            <w:tcW w:w="1768" w:type="dxa"/>
            <w:vMerge w:val="continue"/>
            <w:tcBorders>
              <w:top w:val="nil"/>
            </w:tcBorders>
            <w:vAlign w:val="top"/>
          </w:tcPr>
          <w:p w14:paraId="48C8B2E5">
            <w:pPr>
              <w:rPr>
                <w:rFonts w:ascii="Arial"/>
                <w:sz w:val="21"/>
              </w:rPr>
            </w:pPr>
          </w:p>
        </w:tc>
        <w:tc>
          <w:tcPr>
            <w:tcW w:w="1198" w:type="dxa"/>
            <w:vMerge w:val="continue"/>
            <w:tcBorders>
              <w:top w:val="nil"/>
            </w:tcBorders>
            <w:vAlign w:val="top"/>
          </w:tcPr>
          <w:p w14:paraId="5ACCFECF">
            <w:pPr>
              <w:rPr>
                <w:rFonts w:ascii="Arial"/>
                <w:sz w:val="21"/>
              </w:rPr>
            </w:pPr>
          </w:p>
        </w:tc>
        <w:tc>
          <w:tcPr>
            <w:tcW w:w="1048" w:type="dxa"/>
            <w:vMerge w:val="continue"/>
            <w:tcBorders>
              <w:top w:val="nil"/>
            </w:tcBorders>
            <w:vAlign w:val="top"/>
          </w:tcPr>
          <w:p w14:paraId="21577BF6">
            <w:pPr>
              <w:rPr>
                <w:rFonts w:ascii="Arial"/>
                <w:sz w:val="21"/>
              </w:rPr>
            </w:pPr>
          </w:p>
        </w:tc>
        <w:tc>
          <w:tcPr>
            <w:tcW w:w="1058" w:type="dxa"/>
            <w:vAlign w:val="top"/>
          </w:tcPr>
          <w:p w14:paraId="70DBCBEF">
            <w:pPr>
              <w:spacing w:before="152" w:line="189" w:lineRule="auto"/>
              <w:ind w:left="33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47.0</w:t>
            </w:r>
          </w:p>
        </w:tc>
        <w:tc>
          <w:tcPr>
            <w:tcW w:w="929" w:type="dxa"/>
            <w:vAlign w:val="top"/>
          </w:tcPr>
          <w:p w14:paraId="4C28F8E5">
            <w:pPr>
              <w:spacing w:before="152" w:line="189" w:lineRule="auto"/>
              <w:ind w:left="22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47.03</w:t>
            </w:r>
          </w:p>
        </w:tc>
        <w:tc>
          <w:tcPr>
            <w:tcW w:w="1138" w:type="dxa"/>
            <w:vAlign w:val="top"/>
          </w:tcPr>
          <w:p w14:paraId="6FCEA116">
            <w:pPr>
              <w:pStyle w:val="6"/>
              <w:spacing w:before="114" w:line="220" w:lineRule="auto"/>
              <w:ind w:left="253"/>
              <w:rPr>
                <w:rFonts w:ascii="Times New Roman" w:hAnsi="Times New Roman" w:eastAsia="Times New Roman" w:cs="Times New Roman"/>
                <w:sz w:val="22"/>
                <w:szCs w:val="22"/>
              </w:rPr>
            </w:pPr>
            <w:r>
              <w:rPr>
                <w:spacing w:val="-4"/>
                <w:sz w:val="22"/>
                <w:szCs w:val="22"/>
              </w:rPr>
              <w:t>夜间</w:t>
            </w:r>
            <w:r>
              <w:rPr>
                <w:rFonts w:ascii="Times New Roman" w:hAnsi="Times New Roman" w:eastAsia="Times New Roman" w:cs="Times New Roman"/>
                <w:spacing w:val="-4"/>
                <w:sz w:val="22"/>
                <w:szCs w:val="22"/>
              </w:rPr>
              <w:t>50</w:t>
            </w:r>
          </w:p>
        </w:tc>
        <w:tc>
          <w:tcPr>
            <w:tcW w:w="784" w:type="dxa"/>
            <w:vAlign w:val="top"/>
          </w:tcPr>
          <w:p w14:paraId="6E258D18">
            <w:pPr>
              <w:pStyle w:val="6"/>
              <w:spacing w:before="114" w:line="221" w:lineRule="auto"/>
              <w:ind w:left="183"/>
              <w:rPr>
                <w:sz w:val="22"/>
                <w:szCs w:val="22"/>
              </w:rPr>
            </w:pPr>
            <w:r>
              <w:rPr>
                <w:spacing w:val="-3"/>
                <w:sz w:val="22"/>
                <w:szCs w:val="22"/>
              </w:rPr>
              <w:t>达标</w:t>
            </w:r>
          </w:p>
        </w:tc>
        <w:tc>
          <w:tcPr>
            <w:tcW w:w="122" w:type="dxa"/>
            <w:tcBorders>
              <w:top w:val="nil"/>
              <w:bottom w:val="nil"/>
              <w:right w:val="single" w:color="000000" w:sz="6" w:space="0"/>
            </w:tcBorders>
            <w:vAlign w:val="top"/>
          </w:tcPr>
          <w:p w14:paraId="08EA4B33">
            <w:pPr>
              <w:rPr>
                <w:rFonts w:ascii="Arial"/>
                <w:sz w:val="21"/>
              </w:rPr>
            </w:pPr>
          </w:p>
        </w:tc>
      </w:tr>
      <w:tr w14:paraId="63006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754" w:type="dxa"/>
            <w:vMerge w:val="continue"/>
            <w:tcBorders>
              <w:top w:val="nil"/>
              <w:left w:val="single" w:color="000000" w:sz="6" w:space="0"/>
              <w:bottom w:val="nil"/>
            </w:tcBorders>
            <w:vAlign w:val="top"/>
          </w:tcPr>
          <w:p w14:paraId="74E5A09F">
            <w:pPr>
              <w:rPr>
                <w:rFonts w:ascii="Arial"/>
                <w:sz w:val="21"/>
              </w:rPr>
            </w:pPr>
          </w:p>
        </w:tc>
        <w:tc>
          <w:tcPr>
            <w:tcW w:w="113" w:type="dxa"/>
            <w:tcBorders>
              <w:top w:val="nil"/>
              <w:bottom w:val="nil"/>
            </w:tcBorders>
            <w:vAlign w:val="top"/>
          </w:tcPr>
          <w:p w14:paraId="432695B1">
            <w:pPr>
              <w:rPr>
                <w:rFonts w:ascii="Arial"/>
                <w:sz w:val="21"/>
              </w:rPr>
            </w:pPr>
          </w:p>
        </w:tc>
        <w:tc>
          <w:tcPr>
            <w:tcW w:w="1768" w:type="dxa"/>
            <w:vMerge w:val="restart"/>
            <w:tcBorders>
              <w:bottom w:val="nil"/>
            </w:tcBorders>
            <w:vAlign w:val="top"/>
          </w:tcPr>
          <w:p w14:paraId="642AEE89">
            <w:pPr>
              <w:pStyle w:val="6"/>
              <w:spacing w:before="67" w:line="220" w:lineRule="auto"/>
              <w:ind w:left="115"/>
              <w:rPr>
                <w:sz w:val="22"/>
                <w:szCs w:val="22"/>
              </w:rPr>
            </w:pPr>
            <w:r>
              <w:rPr>
                <w:spacing w:val="-2"/>
                <w:sz w:val="22"/>
                <w:szCs w:val="22"/>
              </w:rPr>
              <w:t>幸福西山壹号院</w:t>
            </w:r>
          </w:p>
          <w:p w14:paraId="3E4777B5">
            <w:pPr>
              <w:pStyle w:val="6"/>
              <w:spacing w:before="37" w:line="216" w:lineRule="auto"/>
              <w:ind w:left="451"/>
              <w:rPr>
                <w:sz w:val="22"/>
                <w:szCs w:val="22"/>
              </w:rPr>
            </w:pPr>
            <w:r>
              <w:rPr>
                <w:spacing w:val="-4"/>
                <w:sz w:val="22"/>
                <w:szCs w:val="22"/>
              </w:rPr>
              <w:t>（在建）</w:t>
            </w:r>
          </w:p>
        </w:tc>
        <w:tc>
          <w:tcPr>
            <w:tcW w:w="1198" w:type="dxa"/>
            <w:vMerge w:val="restart"/>
            <w:tcBorders>
              <w:bottom w:val="nil"/>
            </w:tcBorders>
            <w:vAlign w:val="top"/>
          </w:tcPr>
          <w:p w14:paraId="184EFFD8">
            <w:pPr>
              <w:pStyle w:val="6"/>
              <w:spacing w:before="53" w:line="254" w:lineRule="auto"/>
              <w:ind w:left="403" w:right="207" w:hanging="235"/>
              <w:rPr>
                <w:rFonts w:ascii="Times New Roman" w:hAnsi="Times New Roman" w:eastAsia="Times New Roman" w:cs="Times New Roman"/>
                <w:sz w:val="22"/>
                <w:szCs w:val="22"/>
              </w:rPr>
            </w:pPr>
            <w:r>
              <w:rPr>
                <w:spacing w:val="-16"/>
                <w:sz w:val="22"/>
                <w:szCs w:val="22"/>
              </w:rPr>
              <w:t>西北侧，</w:t>
            </w:r>
            <w:r>
              <w:rPr>
                <w:sz w:val="22"/>
                <w:szCs w:val="22"/>
              </w:rPr>
              <w:t xml:space="preserve"> </w:t>
            </w:r>
            <w:r>
              <w:rPr>
                <w:rFonts w:ascii="Times New Roman" w:hAnsi="Times New Roman" w:eastAsia="Times New Roman" w:cs="Times New Roman"/>
                <w:spacing w:val="-2"/>
                <w:sz w:val="22"/>
                <w:szCs w:val="22"/>
              </w:rPr>
              <w:t>25m</w:t>
            </w:r>
          </w:p>
        </w:tc>
        <w:tc>
          <w:tcPr>
            <w:tcW w:w="1048" w:type="dxa"/>
            <w:vMerge w:val="restart"/>
            <w:tcBorders>
              <w:bottom w:val="nil"/>
            </w:tcBorders>
            <w:vAlign w:val="top"/>
          </w:tcPr>
          <w:p w14:paraId="6A11B7DD">
            <w:pPr>
              <w:spacing w:before="256" w:line="189" w:lineRule="auto"/>
              <w:ind w:left="27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29.03</w:t>
            </w:r>
          </w:p>
        </w:tc>
        <w:tc>
          <w:tcPr>
            <w:tcW w:w="1058" w:type="dxa"/>
            <w:vAlign w:val="top"/>
          </w:tcPr>
          <w:p w14:paraId="594FD24E">
            <w:pPr>
              <w:spacing w:before="92" w:line="186" w:lineRule="auto"/>
              <w:ind w:left="34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53.0</w:t>
            </w:r>
          </w:p>
        </w:tc>
        <w:tc>
          <w:tcPr>
            <w:tcW w:w="929" w:type="dxa"/>
            <w:vAlign w:val="top"/>
          </w:tcPr>
          <w:p w14:paraId="519F772E">
            <w:pPr>
              <w:spacing w:before="90" w:line="188" w:lineRule="auto"/>
              <w:ind w:left="22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53.01</w:t>
            </w:r>
          </w:p>
        </w:tc>
        <w:tc>
          <w:tcPr>
            <w:tcW w:w="1138" w:type="dxa"/>
            <w:vAlign w:val="top"/>
          </w:tcPr>
          <w:p w14:paraId="572B6D40">
            <w:pPr>
              <w:pStyle w:val="6"/>
              <w:spacing w:before="55" w:line="196" w:lineRule="auto"/>
              <w:ind w:left="249"/>
              <w:rPr>
                <w:rFonts w:ascii="Times New Roman" w:hAnsi="Times New Roman" w:eastAsia="Times New Roman" w:cs="Times New Roman"/>
                <w:sz w:val="22"/>
                <w:szCs w:val="22"/>
              </w:rPr>
            </w:pPr>
            <w:r>
              <w:rPr>
                <w:spacing w:val="-2"/>
                <w:sz w:val="22"/>
                <w:szCs w:val="22"/>
              </w:rPr>
              <w:t>昼间</w:t>
            </w:r>
            <w:r>
              <w:rPr>
                <w:rFonts w:ascii="Times New Roman" w:hAnsi="Times New Roman" w:eastAsia="Times New Roman" w:cs="Times New Roman"/>
                <w:spacing w:val="-2"/>
                <w:sz w:val="22"/>
                <w:szCs w:val="22"/>
              </w:rPr>
              <w:t>60</w:t>
            </w:r>
          </w:p>
        </w:tc>
        <w:tc>
          <w:tcPr>
            <w:tcW w:w="784" w:type="dxa"/>
            <w:vAlign w:val="top"/>
          </w:tcPr>
          <w:p w14:paraId="66FDBD33">
            <w:pPr>
              <w:pStyle w:val="6"/>
              <w:spacing w:before="53" w:line="198" w:lineRule="auto"/>
              <w:ind w:left="183"/>
              <w:rPr>
                <w:sz w:val="22"/>
                <w:szCs w:val="22"/>
              </w:rPr>
            </w:pPr>
            <w:r>
              <w:rPr>
                <w:spacing w:val="-3"/>
                <w:sz w:val="22"/>
                <w:szCs w:val="22"/>
              </w:rPr>
              <w:t>达标</w:t>
            </w:r>
          </w:p>
        </w:tc>
        <w:tc>
          <w:tcPr>
            <w:tcW w:w="122" w:type="dxa"/>
            <w:tcBorders>
              <w:top w:val="nil"/>
              <w:bottom w:val="nil"/>
              <w:right w:val="single" w:color="000000" w:sz="6" w:space="0"/>
            </w:tcBorders>
            <w:vAlign w:val="top"/>
          </w:tcPr>
          <w:p w14:paraId="742895B4">
            <w:pPr>
              <w:rPr>
                <w:rFonts w:ascii="Arial"/>
                <w:sz w:val="21"/>
              </w:rPr>
            </w:pPr>
          </w:p>
        </w:tc>
      </w:tr>
      <w:tr w14:paraId="6BB8A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754" w:type="dxa"/>
            <w:vMerge w:val="continue"/>
            <w:tcBorders>
              <w:top w:val="nil"/>
              <w:left w:val="single" w:color="000000" w:sz="6" w:space="0"/>
              <w:bottom w:val="nil"/>
            </w:tcBorders>
            <w:vAlign w:val="top"/>
          </w:tcPr>
          <w:p w14:paraId="164F1126">
            <w:pPr>
              <w:rPr>
                <w:rFonts w:ascii="Arial"/>
                <w:sz w:val="21"/>
              </w:rPr>
            </w:pPr>
          </w:p>
        </w:tc>
        <w:tc>
          <w:tcPr>
            <w:tcW w:w="113" w:type="dxa"/>
            <w:tcBorders>
              <w:top w:val="nil"/>
              <w:bottom w:val="nil"/>
            </w:tcBorders>
            <w:vAlign w:val="top"/>
          </w:tcPr>
          <w:p w14:paraId="5DC85E6E">
            <w:pPr>
              <w:rPr>
                <w:rFonts w:ascii="Arial"/>
                <w:sz w:val="21"/>
              </w:rPr>
            </w:pPr>
          </w:p>
        </w:tc>
        <w:tc>
          <w:tcPr>
            <w:tcW w:w="1768" w:type="dxa"/>
            <w:vMerge w:val="continue"/>
            <w:tcBorders>
              <w:top w:val="nil"/>
            </w:tcBorders>
            <w:vAlign w:val="top"/>
          </w:tcPr>
          <w:p w14:paraId="20988450">
            <w:pPr>
              <w:rPr>
                <w:rFonts w:ascii="Arial"/>
                <w:sz w:val="21"/>
              </w:rPr>
            </w:pPr>
          </w:p>
        </w:tc>
        <w:tc>
          <w:tcPr>
            <w:tcW w:w="1198" w:type="dxa"/>
            <w:vMerge w:val="continue"/>
            <w:tcBorders>
              <w:top w:val="nil"/>
            </w:tcBorders>
            <w:vAlign w:val="top"/>
          </w:tcPr>
          <w:p w14:paraId="0145AA4B">
            <w:pPr>
              <w:rPr>
                <w:rFonts w:ascii="Arial"/>
                <w:sz w:val="21"/>
              </w:rPr>
            </w:pPr>
          </w:p>
        </w:tc>
        <w:tc>
          <w:tcPr>
            <w:tcW w:w="1048" w:type="dxa"/>
            <w:vMerge w:val="continue"/>
            <w:tcBorders>
              <w:top w:val="nil"/>
            </w:tcBorders>
            <w:vAlign w:val="top"/>
          </w:tcPr>
          <w:p w14:paraId="38FB156B">
            <w:pPr>
              <w:rPr>
                <w:rFonts w:ascii="Arial"/>
                <w:sz w:val="21"/>
              </w:rPr>
            </w:pPr>
          </w:p>
        </w:tc>
        <w:tc>
          <w:tcPr>
            <w:tcW w:w="1058" w:type="dxa"/>
            <w:vAlign w:val="top"/>
          </w:tcPr>
          <w:p w14:paraId="40ADDCC3">
            <w:pPr>
              <w:spacing w:before="108" w:line="189" w:lineRule="auto"/>
              <w:ind w:left="33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47.0</w:t>
            </w:r>
          </w:p>
        </w:tc>
        <w:tc>
          <w:tcPr>
            <w:tcW w:w="929" w:type="dxa"/>
            <w:vAlign w:val="top"/>
          </w:tcPr>
          <w:p w14:paraId="15226B61">
            <w:pPr>
              <w:spacing w:before="101" w:line="189" w:lineRule="auto"/>
              <w:ind w:left="22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47.04</w:t>
            </w:r>
          </w:p>
        </w:tc>
        <w:tc>
          <w:tcPr>
            <w:tcW w:w="1138" w:type="dxa"/>
            <w:vAlign w:val="top"/>
          </w:tcPr>
          <w:p w14:paraId="4474AFE9">
            <w:pPr>
              <w:pStyle w:val="6"/>
              <w:spacing w:before="69" w:line="210" w:lineRule="auto"/>
              <w:ind w:left="253"/>
              <w:rPr>
                <w:rFonts w:ascii="Times New Roman" w:hAnsi="Times New Roman" w:eastAsia="Times New Roman" w:cs="Times New Roman"/>
                <w:sz w:val="22"/>
                <w:szCs w:val="22"/>
              </w:rPr>
            </w:pPr>
            <w:r>
              <w:rPr>
                <w:spacing w:val="-4"/>
                <w:sz w:val="22"/>
                <w:szCs w:val="22"/>
              </w:rPr>
              <w:t>夜间</w:t>
            </w:r>
            <w:r>
              <w:rPr>
                <w:rFonts w:ascii="Times New Roman" w:hAnsi="Times New Roman" w:eastAsia="Times New Roman" w:cs="Times New Roman"/>
                <w:spacing w:val="-4"/>
                <w:sz w:val="22"/>
                <w:szCs w:val="22"/>
              </w:rPr>
              <w:t>50</w:t>
            </w:r>
          </w:p>
        </w:tc>
        <w:tc>
          <w:tcPr>
            <w:tcW w:w="784" w:type="dxa"/>
            <w:vAlign w:val="top"/>
          </w:tcPr>
          <w:p w14:paraId="5DE82280">
            <w:pPr>
              <w:pStyle w:val="6"/>
              <w:spacing w:before="62" w:line="216" w:lineRule="auto"/>
              <w:ind w:left="183"/>
              <w:rPr>
                <w:sz w:val="22"/>
                <w:szCs w:val="22"/>
              </w:rPr>
            </w:pPr>
            <w:r>
              <w:rPr>
                <w:spacing w:val="-3"/>
                <w:sz w:val="22"/>
                <w:szCs w:val="22"/>
              </w:rPr>
              <w:t>达标</w:t>
            </w:r>
          </w:p>
        </w:tc>
        <w:tc>
          <w:tcPr>
            <w:tcW w:w="122" w:type="dxa"/>
            <w:tcBorders>
              <w:top w:val="nil"/>
              <w:bottom w:val="nil"/>
              <w:right w:val="single" w:color="000000" w:sz="6" w:space="0"/>
            </w:tcBorders>
            <w:vAlign w:val="top"/>
          </w:tcPr>
          <w:p w14:paraId="37EAA3ED">
            <w:pPr>
              <w:rPr>
                <w:rFonts w:ascii="Arial"/>
                <w:sz w:val="21"/>
              </w:rPr>
            </w:pPr>
          </w:p>
        </w:tc>
      </w:tr>
      <w:tr w14:paraId="5528D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16" w:hRule="atLeast"/>
        </w:trPr>
        <w:tc>
          <w:tcPr>
            <w:tcW w:w="754" w:type="dxa"/>
            <w:vMerge w:val="continue"/>
            <w:tcBorders>
              <w:top w:val="nil"/>
              <w:left w:val="single" w:color="000000" w:sz="6" w:space="0"/>
              <w:bottom w:val="single" w:color="000000" w:sz="6" w:space="0"/>
            </w:tcBorders>
            <w:vAlign w:val="top"/>
          </w:tcPr>
          <w:p w14:paraId="65C5BF13">
            <w:pPr>
              <w:rPr>
                <w:rFonts w:ascii="Arial"/>
                <w:sz w:val="21"/>
              </w:rPr>
            </w:pPr>
          </w:p>
        </w:tc>
        <w:tc>
          <w:tcPr>
            <w:tcW w:w="8158" w:type="dxa"/>
            <w:gridSpan w:val="9"/>
            <w:tcBorders>
              <w:bottom w:val="single" w:color="000000" w:sz="6" w:space="0"/>
              <w:right w:val="single" w:color="000000" w:sz="6" w:space="0"/>
            </w:tcBorders>
            <w:vAlign w:val="top"/>
          </w:tcPr>
          <w:p w14:paraId="0BA5BE14">
            <w:pPr>
              <w:pStyle w:val="6"/>
              <w:spacing w:before="34" w:line="242" w:lineRule="auto"/>
              <w:ind w:left="107" w:right="102"/>
              <w:rPr>
                <w:sz w:val="22"/>
                <w:szCs w:val="22"/>
              </w:rPr>
            </w:pPr>
            <w:r>
              <w:rPr>
                <w:spacing w:val="1"/>
                <w:sz w:val="22"/>
                <w:szCs w:val="22"/>
              </w:rPr>
              <w:t>注：金茂晓棠、幸福西山壹号院均为在建小区，背景值类比乔鹤佳苑</w:t>
            </w:r>
            <w:r>
              <w:rPr>
                <w:spacing w:val="-25"/>
                <w:sz w:val="22"/>
                <w:szCs w:val="22"/>
              </w:rPr>
              <w:t xml:space="preserve"> </w:t>
            </w:r>
            <w:r>
              <w:rPr>
                <w:rFonts w:ascii="Times New Roman" w:hAnsi="Times New Roman" w:eastAsia="Times New Roman" w:cs="Times New Roman"/>
                <w:spacing w:val="1"/>
                <w:sz w:val="22"/>
                <w:szCs w:val="22"/>
              </w:rPr>
              <w:t xml:space="preserve">6 </w:t>
            </w:r>
            <w:r>
              <w:rPr>
                <w:spacing w:val="1"/>
                <w:sz w:val="22"/>
                <w:szCs w:val="22"/>
              </w:rPr>
              <w:t>栋，并按</w:t>
            </w:r>
            <w:r>
              <w:rPr>
                <w:spacing w:val="-51"/>
                <w:sz w:val="22"/>
                <w:szCs w:val="22"/>
              </w:rPr>
              <w:t xml:space="preserve"> </w:t>
            </w:r>
            <w:r>
              <w:rPr>
                <w:rFonts w:ascii="Times New Roman" w:hAnsi="Times New Roman" w:eastAsia="Times New Roman" w:cs="Times New Roman"/>
                <w:spacing w:val="1"/>
                <w:sz w:val="22"/>
                <w:szCs w:val="22"/>
              </w:rPr>
              <w:t>2</w:t>
            </w:r>
            <w:r>
              <w:rPr>
                <w:spacing w:val="-1"/>
                <w:sz w:val="22"/>
                <w:szCs w:val="22"/>
              </w:rPr>
              <w:t>类标准限值进行对标</w:t>
            </w:r>
          </w:p>
          <w:p w14:paraId="765582A9">
            <w:pPr>
              <w:pStyle w:val="6"/>
              <w:spacing w:before="105" w:line="340" w:lineRule="auto"/>
              <w:ind w:left="109" w:right="103" w:firstLine="551"/>
              <w:jc w:val="both"/>
            </w:pPr>
            <w:r>
              <w:rPr>
                <w:spacing w:val="9"/>
              </w:rPr>
              <w:t>由表</w:t>
            </w:r>
            <w:r>
              <w:rPr>
                <w:spacing w:val="-34"/>
              </w:rPr>
              <w:t xml:space="preserve"> </w:t>
            </w:r>
            <w:r>
              <w:rPr>
                <w:rFonts w:ascii="Times New Roman" w:hAnsi="Times New Roman" w:eastAsia="Times New Roman" w:cs="Times New Roman"/>
                <w:spacing w:val="9"/>
              </w:rPr>
              <w:t>4.2-</w:t>
            </w:r>
            <w:r>
              <w:rPr>
                <w:rFonts w:ascii="Times New Roman" w:hAnsi="Times New Roman" w:eastAsia="Times New Roman" w:cs="Times New Roman"/>
                <w:spacing w:val="-32"/>
              </w:rPr>
              <w:t xml:space="preserve"> </w:t>
            </w:r>
            <w:r>
              <w:rPr>
                <w:rFonts w:ascii="Times New Roman" w:hAnsi="Times New Roman" w:eastAsia="Times New Roman" w:cs="Times New Roman"/>
                <w:spacing w:val="9"/>
              </w:rPr>
              <w:t>14</w:t>
            </w:r>
            <w:r>
              <w:rPr>
                <w:rFonts w:ascii="Times New Roman" w:hAnsi="Times New Roman" w:eastAsia="Times New Roman" w:cs="Times New Roman"/>
                <w:spacing w:val="21"/>
                <w:w w:val="101"/>
              </w:rPr>
              <w:t xml:space="preserve"> </w:t>
            </w:r>
            <w:r>
              <w:rPr>
                <w:spacing w:val="9"/>
              </w:rPr>
              <w:t>可知，本项目噪声源在昼间及夜间对乔鹤佳苑、金茂</w:t>
            </w:r>
            <w:r>
              <w:rPr>
                <w:spacing w:val="6"/>
              </w:rPr>
              <w:t>晓棠（在建）及幸福西山壹号院（在建）影响较小，昼间、夜间噪</w:t>
            </w:r>
            <w:r>
              <w:rPr>
                <w:spacing w:val="5"/>
              </w:rPr>
              <w:t>声预</w:t>
            </w:r>
            <w:r>
              <w:rPr>
                <w:spacing w:val="7"/>
              </w:rPr>
              <w:t>测值满足《声环境质量标准》（</w:t>
            </w:r>
            <w:r>
              <w:rPr>
                <w:rFonts w:ascii="Times New Roman" w:hAnsi="Times New Roman" w:eastAsia="Times New Roman" w:cs="Times New Roman"/>
              </w:rPr>
              <w:t>GB</w:t>
            </w:r>
            <w:r>
              <w:rPr>
                <w:rFonts w:ascii="Times New Roman" w:hAnsi="Times New Roman" w:eastAsia="Times New Roman" w:cs="Times New Roman"/>
                <w:spacing w:val="7"/>
              </w:rPr>
              <w:t>3096-2008</w:t>
            </w:r>
            <w:r>
              <w:rPr>
                <w:spacing w:val="7"/>
              </w:rPr>
              <w:t>）</w:t>
            </w:r>
            <w:r>
              <w:rPr>
                <w:rFonts w:ascii="Times New Roman" w:hAnsi="Times New Roman" w:eastAsia="Times New Roman" w:cs="Times New Roman"/>
                <w:spacing w:val="7"/>
              </w:rPr>
              <w:t xml:space="preserve">4 </w:t>
            </w:r>
            <w:r>
              <w:rPr>
                <w:spacing w:val="7"/>
              </w:rPr>
              <w:t>类及</w:t>
            </w:r>
            <w:r>
              <w:rPr>
                <w:spacing w:val="-35"/>
              </w:rPr>
              <w:t xml:space="preserve"> </w:t>
            </w:r>
            <w:r>
              <w:rPr>
                <w:rFonts w:ascii="Times New Roman" w:hAnsi="Times New Roman" w:eastAsia="Times New Roman" w:cs="Times New Roman"/>
                <w:spacing w:val="7"/>
              </w:rPr>
              <w:t xml:space="preserve">2 </w:t>
            </w:r>
            <w:r>
              <w:rPr>
                <w:spacing w:val="7"/>
              </w:rPr>
              <w:t>类标准要求。</w:t>
            </w:r>
          </w:p>
          <w:p w14:paraId="2004CDE4">
            <w:pPr>
              <w:pStyle w:val="6"/>
              <w:spacing w:line="226" w:lineRule="auto"/>
              <w:ind w:left="640"/>
            </w:pPr>
            <w:r>
              <w:rPr>
                <w:spacing w:val="6"/>
              </w:rPr>
              <w:t>（</w:t>
            </w:r>
            <w:r>
              <w:rPr>
                <w:rFonts w:ascii="Times New Roman" w:hAnsi="Times New Roman" w:eastAsia="Times New Roman" w:cs="Times New Roman"/>
                <w:spacing w:val="6"/>
              </w:rPr>
              <w:t>5</w:t>
            </w:r>
            <w:r>
              <w:rPr>
                <w:spacing w:val="6"/>
              </w:rPr>
              <w:t>）防治措施</w:t>
            </w:r>
          </w:p>
          <w:p w14:paraId="002FE3C2">
            <w:pPr>
              <w:pStyle w:val="6"/>
              <w:spacing w:before="154" w:line="225" w:lineRule="auto"/>
              <w:ind w:left="629"/>
            </w:pPr>
            <w:r>
              <w:rPr>
                <w:spacing w:val="6"/>
              </w:rPr>
              <w:t>根据现场调查，</w:t>
            </w:r>
            <w:r>
              <w:rPr>
                <w:spacing w:val="-59"/>
              </w:rPr>
              <w:t xml:space="preserve"> </w:t>
            </w:r>
            <w:r>
              <w:rPr>
                <w:spacing w:val="6"/>
              </w:rPr>
              <w:t>目前项目已采取的降噪措施如下：</w:t>
            </w:r>
          </w:p>
          <w:p w14:paraId="488BBB98">
            <w:pPr>
              <w:pStyle w:val="6"/>
              <w:spacing w:before="154" w:line="340" w:lineRule="auto"/>
              <w:ind w:left="111" w:right="103" w:firstLine="516"/>
            </w:pPr>
            <w:r>
              <w:rPr>
                <w:spacing w:val="6"/>
              </w:rPr>
              <w:t>①在站区进站口设置了减速标志和禁鸣标志，</w:t>
            </w:r>
            <w:r>
              <w:rPr>
                <w:spacing w:val="5"/>
              </w:rPr>
              <w:t>加强了进站车辆的管</w:t>
            </w:r>
            <w:r>
              <w:rPr>
                <w:spacing w:val="6"/>
              </w:rPr>
              <w:t>理。采取加油时车辆熄火和平稳启动等措施，使区域内的交</w:t>
            </w:r>
            <w:r>
              <w:rPr>
                <w:spacing w:val="5"/>
              </w:rPr>
              <w:t>通噪声降到</w:t>
            </w:r>
            <w:r>
              <w:rPr>
                <w:spacing w:val="4"/>
              </w:rPr>
              <w:t>最低值。</w:t>
            </w:r>
          </w:p>
          <w:p w14:paraId="34077A38">
            <w:pPr>
              <w:pStyle w:val="6"/>
              <w:spacing w:before="1" w:line="223" w:lineRule="auto"/>
              <w:ind w:left="627"/>
            </w:pPr>
            <w:r>
              <w:rPr>
                <w:spacing w:val="9"/>
              </w:rPr>
              <w:t>②加油站周边设置绿化带，进一步降低噪声影响。</w:t>
            </w:r>
          </w:p>
          <w:p w14:paraId="67E4F8BC">
            <w:pPr>
              <w:pStyle w:val="6"/>
              <w:spacing w:before="156" w:line="340" w:lineRule="auto"/>
              <w:ind w:left="137" w:right="103" w:firstLine="489"/>
            </w:pPr>
            <w:r>
              <w:rPr>
                <w:spacing w:val="6"/>
              </w:rPr>
              <w:t>③为减少项目改扩建完成后噪声影响，评价要求</w:t>
            </w:r>
            <w:r>
              <w:rPr>
                <w:spacing w:val="5"/>
              </w:rPr>
              <w:t>项目建成后续落实</w:t>
            </w:r>
            <w:r>
              <w:rPr>
                <w:spacing w:val="2"/>
              </w:rPr>
              <w:t>以下降噪措施：</w:t>
            </w:r>
          </w:p>
          <w:p w14:paraId="17EC400B">
            <w:pPr>
              <w:pStyle w:val="6"/>
              <w:spacing w:before="1" w:line="339" w:lineRule="auto"/>
              <w:ind w:left="112" w:right="103" w:firstLine="515"/>
            </w:pPr>
            <w:r>
              <w:rPr>
                <w:spacing w:val="6"/>
              </w:rPr>
              <w:t>①加强对潜油泵、加油机的维护和保养，避免</w:t>
            </w:r>
            <w:r>
              <w:rPr>
                <w:spacing w:val="5"/>
              </w:rPr>
              <w:t>因设备问题而引发突</w:t>
            </w:r>
            <w:r>
              <w:rPr>
                <w:spacing w:val="7"/>
              </w:rPr>
              <w:t>发性高噪声造成扰民影响。</w:t>
            </w:r>
          </w:p>
          <w:p w14:paraId="595AC843">
            <w:pPr>
              <w:pStyle w:val="6"/>
              <w:spacing w:before="1" w:line="223" w:lineRule="auto"/>
              <w:ind w:left="627"/>
            </w:pPr>
            <w:r>
              <w:rPr>
                <w:spacing w:val="8"/>
              </w:rPr>
              <w:t>②更替后潜油泵置于地下油罐内。</w:t>
            </w:r>
          </w:p>
          <w:p w14:paraId="03D6A916">
            <w:pPr>
              <w:pStyle w:val="6"/>
              <w:spacing w:before="159" w:line="339" w:lineRule="auto"/>
              <w:ind w:left="628" w:right="32" w:hanging="1"/>
            </w:pPr>
            <w:r>
              <w:rPr>
                <w:spacing w:val="8"/>
              </w:rPr>
              <w:t>③柴油发电机仅为停电时使用，使用频次少，噪声通过建筑隔声。采取上述措施后，项目营运期对声环境影响小，周边环境可接受。</w:t>
            </w:r>
          </w:p>
          <w:p w14:paraId="093CD556">
            <w:pPr>
              <w:pStyle w:val="6"/>
              <w:spacing w:before="1" w:line="227" w:lineRule="auto"/>
              <w:ind w:left="540"/>
            </w:pPr>
            <w:r>
              <w:rPr>
                <w:spacing w:val="6"/>
              </w:rPr>
              <w:t>（</w:t>
            </w:r>
            <w:r>
              <w:rPr>
                <w:rFonts w:ascii="Times New Roman" w:hAnsi="Times New Roman" w:eastAsia="Times New Roman" w:cs="Times New Roman"/>
                <w:spacing w:val="6"/>
              </w:rPr>
              <w:t>6</w:t>
            </w:r>
            <w:r>
              <w:rPr>
                <w:spacing w:val="6"/>
              </w:rPr>
              <w:t>）监测要求</w:t>
            </w:r>
          </w:p>
          <w:p w14:paraId="17F3CCBE">
            <w:pPr>
              <w:pStyle w:val="6"/>
              <w:spacing w:before="152" w:line="320" w:lineRule="auto"/>
              <w:ind w:left="109" w:right="103" w:firstLine="519"/>
              <w:jc w:val="both"/>
            </w:pPr>
            <w:r>
              <w:rPr>
                <w:spacing w:val="26"/>
              </w:rPr>
              <w:t>根据《排污单位</w:t>
            </w:r>
            <w:r>
              <w:rPr>
                <w:spacing w:val="-26"/>
              </w:rPr>
              <w:t xml:space="preserve"> </w:t>
            </w:r>
            <w:r>
              <w:rPr>
                <w:spacing w:val="26"/>
              </w:rPr>
              <w:t>自行监测技术指南</w:t>
            </w:r>
            <w:r>
              <w:rPr>
                <w:spacing w:val="76"/>
              </w:rPr>
              <w:t xml:space="preserve"> </w:t>
            </w:r>
            <w:r>
              <w:rPr>
                <w:spacing w:val="26"/>
              </w:rPr>
              <w:t>储油库</w:t>
            </w:r>
            <w:r>
              <w:rPr>
                <w:spacing w:val="-65"/>
              </w:rPr>
              <w:t xml:space="preserve"> </w:t>
            </w:r>
            <w:r>
              <w:rPr>
                <w:spacing w:val="26"/>
              </w:rPr>
              <w:t>、加油站》</w:t>
            </w:r>
            <w:r>
              <w:rPr>
                <w:spacing w:val="-49"/>
              </w:rPr>
              <w:t xml:space="preserve"> </w:t>
            </w:r>
            <w:r>
              <w:rPr>
                <w:spacing w:val="26"/>
              </w:rPr>
              <w:t>（</w:t>
            </w:r>
            <w:r>
              <w:rPr>
                <w:spacing w:val="-49"/>
              </w:rPr>
              <w:t xml:space="preserve"> </w:t>
            </w:r>
            <w:r>
              <w:rPr>
                <w:rFonts w:ascii="Times New Roman" w:hAnsi="Times New Roman" w:eastAsia="Times New Roman" w:cs="Times New Roman"/>
              </w:rPr>
              <w:t xml:space="preserve">HJ </w:t>
            </w:r>
            <w:r>
              <w:rPr>
                <w:rFonts w:ascii="Times New Roman" w:hAnsi="Times New Roman" w:eastAsia="Times New Roman" w:cs="Times New Roman"/>
                <w:spacing w:val="2"/>
              </w:rPr>
              <w:t>1249-2022</w:t>
            </w:r>
            <w:r>
              <w:rPr>
                <w:spacing w:val="2"/>
              </w:rPr>
              <w:t>）和《排污许可证申请与核发技术规范储油库、加油站》（</w:t>
            </w:r>
            <w:r>
              <w:rPr>
                <w:rFonts w:ascii="Times New Roman" w:hAnsi="Times New Roman" w:eastAsia="Times New Roman" w:cs="Times New Roman"/>
              </w:rPr>
              <w:t>HJ</w:t>
            </w:r>
            <w:r>
              <w:rPr>
                <w:rFonts w:ascii="Times New Roman" w:hAnsi="Times New Roman" w:eastAsia="Times New Roman" w:cs="Times New Roman"/>
                <w:spacing w:val="3"/>
              </w:rPr>
              <w:t xml:space="preserve"> </w:t>
            </w:r>
            <w:r>
              <w:rPr>
                <w:rFonts w:ascii="Times New Roman" w:hAnsi="Times New Roman" w:eastAsia="Times New Roman" w:cs="Times New Roman"/>
                <w:spacing w:val="9"/>
              </w:rPr>
              <w:t>1118-2020</w:t>
            </w:r>
            <w:r>
              <w:rPr>
                <w:spacing w:val="26"/>
              </w:rPr>
              <w:t>），</w:t>
            </w:r>
            <w:r>
              <w:rPr>
                <w:spacing w:val="9"/>
              </w:rPr>
              <w:t>其中并未对加油站噪声自行监测频次作出要求，但为了</w:t>
            </w:r>
            <w:r>
              <w:rPr>
                <w:spacing w:val="6"/>
              </w:rPr>
              <w:t>更好的了解项目运营期设施设备产生的噪声对周边环境的影响，本</w:t>
            </w:r>
            <w:r>
              <w:rPr>
                <w:spacing w:val="5"/>
              </w:rPr>
              <w:t>次评</w:t>
            </w:r>
            <w:r>
              <w:rPr>
                <w:spacing w:val="7"/>
              </w:rPr>
              <w:t>价仍按照《排污单位自行监测技术指南 总则》（</w:t>
            </w:r>
            <w:r>
              <w:rPr>
                <w:rFonts w:ascii="Times New Roman" w:hAnsi="Times New Roman" w:eastAsia="Times New Roman" w:cs="Times New Roman"/>
              </w:rPr>
              <w:t>HJ</w:t>
            </w:r>
            <w:r>
              <w:rPr>
                <w:rFonts w:ascii="Times New Roman" w:hAnsi="Times New Roman" w:eastAsia="Times New Roman" w:cs="Times New Roman"/>
                <w:spacing w:val="20"/>
              </w:rPr>
              <w:t xml:space="preserve"> </w:t>
            </w:r>
            <w:r>
              <w:rPr>
                <w:rFonts w:ascii="Times New Roman" w:hAnsi="Times New Roman" w:eastAsia="Times New Roman" w:cs="Times New Roman"/>
                <w:spacing w:val="7"/>
              </w:rPr>
              <w:t>819-2017</w:t>
            </w:r>
            <w:r>
              <w:rPr>
                <w:spacing w:val="7"/>
              </w:rPr>
              <w:t>）、《排</w:t>
            </w:r>
          </w:p>
        </w:tc>
      </w:tr>
    </w:tbl>
    <w:p w14:paraId="2A06BA41">
      <w:pPr>
        <w:pStyle w:val="2"/>
        <w:rPr>
          <w:sz w:val="21"/>
        </w:rPr>
      </w:pPr>
    </w:p>
    <w:p w14:paraId="6502C7AF">
      <w:pPr>
        <w:rPr>
          <w:sz w:val="21"/>
          <w:szCs w:val="21"/>
        </w:rPr>
        <w:sectPr>
          <w:footerReference r:id="rId89" w:type="default"/>
          <w:pgSz w:w="11907" w:h="16840"/>
          <w:pgMar w:top="400" w:right="1490" w:bottom="1008" w:left="1489" w:header="0" w:footer="770" w:gutter="0"/>
          <w:cols w:space="720" w:num="1"/>
        </w:sectPr>
      </w:pPr>
    </w:p>
    <w:p w14:paraId="31A58692">
      <w:pPr>
        <w:spacing w:before="19"/>
      </w:pPr>
    </w:p>
    <w:p w14:paraId="262AC167">
      <w:pPr>
        <w:spacing w:before="19"/>
      </w:pPr>
    </w:p>
    <w:p w14:paraId="2E2DC084">
      <w:pPr>
        <w:spacing w:before="19"/>
      </w:pPr>
    </w:p>
    <w:p w14:paraId="6CDF0212">
      <w:pPr>
        <w:spacing w:before="18"/>
      </w:pPr>
    </w:p>
    <w:p w14:paraId="5304F51F">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3D956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97" w:hRule="atLeast"/>
        </w:trPr>
        <w:tc>
          <w:tcPr>
            <w:tcW w:w="754" w:type="dxa"/>
            <w:tcBorders>
              <w:right w:val="single" w:color="000000" w:sz="2" w:space="0"/>
            </w:tcBorders>
            <w:vAlign w:val="top"/>
          </w:tcPr>
          <w:p w14:paraId="73A5950E">
            <w:pPr>
              <w:rPr>
                <w:rFonts w:ascii="Arial"/>
                <w:sz w:val="21"/>
              </w:rPr>
            </w:pPr>
          </w:p>
        </w:tc>
        <w:tc>
          <w:tcPr>
            <w:tcW w:w="8158" w:type="dxa"/>
            <w:tcBorders>
              <w:left w:val="single" w:color="000000" w:sz="2" w:space="0"/>
            </w:tcBorders>
            <w:vAlign w:val="top"/>
          </w:tcPr>
          <w:p w14:paraId="0D152102">
            <w:pPr>
              <w:pStyle w:val="6"/>
              <w:spacing w:before="151" w:line="339" w:lineRule="auto"/>
              <w:ind w:left="109" w:right="111" w:firstLine="1"/>
            </w:pPr>
            <w:r>
              <w:rPr>
                <w:spacing w:val="7"/>
              </w:rPr>
              <w:t>污许可证申请与核发技术规范 总则》（</w:t>
            </w:r>
            <w:r>
              <w:rPr>
                <w:rFonts w:ascii="Times New Roman" w:hAnsi="Times New Roman" w:eastAsia="Times New Roman" w:cs="Times New Roman"/>
              </w:rPr>
              <w:t>HJ</w:t>
            </w:r>
            <w:r>
              <w:rPr>
                <w:rFonts w:ascii="Times New Roman" w:hAnsi="Times New Roman" w:eastAsia="Times New Roman" w:cs="Times New Roman"/>
                <w:spacing w:val="7"/>
              </w:rPr>
              <w:t xml:space="preserve"> 942-2018</w:t>
            </w:r>
            <w:r>
              <w:rPr>
                <w:spacing w:val="7"/>
              </w:rPr>
              <w:t>）相关要求执行。</w:t>
            </w:r>
            <w:r>
              <w:rPr>
                <w:spacing w:val="5"/>
              </w:rPr>
              <w:t>本项目营运期噪声监测要求见表</w:t>
            </w:r>
            <w:r>
              <w:rPr>
                <w:spacing w:val="-41"/>
              </w:rPr>
              <w:t xml:space="preserve"> </w:t>
            </w:r>
            <w:r>
              <w:rPr>
                <w:rFonts w:ascii="Times New Roman" w:hAnsi="Times New Roman" w:eastAsia="Times New Roman" w:cs="Times New Roman"/>
                <w:spacing w:val="5"/>
              </w:rPr>
              <w:t>4.2-</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15</w:t>
            </w:r>
            <w:r>
              <w:rPr>
                <w:spacing w:val="5"/>
              </w:rPr>
              <w:t>。</w:t>
            </w:r>
          </w:p>
          <w:p w14:paraId="68178D76">
            <w:pPr>
              <w:pStyle w:val="6"/>
              <w:spacing w:line="226" w:lineRule="auto"/>
              <w:ind w:left="1893"/>
            </w:pPr>
            <w:r>
              <w:rPr>
                <w:spacing w:val="5"/>
              </w:rPr>
              <w:t>表</w:t>
            </w:r>
            <w:r>
              <w:rPr>
                <w:spacing w:val="-52"/>
              </w:rPr>
              <w:t xml:space="preserve"> </w:t>
            </w:r>
            <w:r>
              <w:rPr>
                <w:rFonts w:ascii="Times New Roman" w:hAnsi="Times New Roman" w:eastAsia="Times New Roman" w:cs="Times New Roman"/>
                <w:spacing w:val="5"/>
              </w:rPr>
              <w:t>4.2-</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 xml:space="preserve">15    </w:t>
            </w:r>
            <w:r>
              <w:rPr>
                <w:spacing w:val="5"/>
              </w:rPr>
              <w:t>运营期环境监测要求一览表</w:t>
            </w:r>
          </w:p>
          <w:p w14:paraId="24BCF997">
            <w:pPr>
              <w:spacing w:line="86" w:lineRule="auto"/>
              <w:rPr>
                <w:rFonts w:ascii="Arial"/>
                <w:sz w:val="2"/>
              </w:rPr>
            </w:pPr>
          </w:p>
          <w:tbl>
            <w:tblPr>
              <w:tblStyle w:val="5"/>
              <w:tblW w:w="7940"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3"/>
              <w:gridCol w:w="926"/>
              <w:gridCol w:w="1023"/>
              <w:gridCol w:w="877"/>
              <w:gridCol w:w="877"/>
              <w:gridCol w:w="3364"/>
            </w:tblGrid>
            <w:tr w14:paraId="14884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73" w:type="dxa"/>
                  <w:vAlign w:val="top"/>
                </w:tcPr>
                <w:p w14:paraId="5D05FE12">
                  <w:pPr>
                    <w:pStyle w:val="6"/>
                    <w:spacing w:before="55" w:line="222" w:lineRule="auto"/>
                    <w:ind w:left="224"/>
                    <w:rPr>
                      <w:sz w:val="22"/>
                      <w:szCs w:val="22"/>
                    </w:rPr>
                  </w:pPr>
                  <w:r>
                    <w:rPr>
                      <w:spacing w:val="-4"/>
                      <w:sz w:val="22"/>
                      <w:szCs w:val="22"/>
                    </w:rPr>
                    <w:t>监测</w:t>
                  </w:r>
                </w:p>
                <w:p w14:paraId="5094F215">
                  <w:pPr>
                    <w:pStyle w:val="6"/>
                    <w:spacing w:before="36" w:line="203" w:lineRule="auto"/>
                    <w:ind w:left="222"/>
                    <w:rPr>
                      <w:sz w:val="22"/>
                      <w:szCs w:val="22"/>
                    </w:rPr>
                  </w:pPr>
                  <w:r>
                    <w:rPr>
                      <w:spacing w:val="-3"/>
                      <w:sz w:val="22"/>
                      <w:szCs w:val="22"/>
                    </w:rPr>
                    <w:t>对象</w:t>
                  </w:r>
                </w:p>
              </w:tc>
              <w:tc>
                <w:tcPr>
                  <w:tcW w:w="926" w:type="dxa"/>
                  <w:vAlign w:val="top"/>
                </w:tcPr>
                <w:p w14:paraId="558F65C4">
                  <w:pPr>
                    <w:pStyle w:val="6"/>
                    <w:spacing w:before="206" w:line="222" w:lineRule="auto"/>
                    <w:ind w:left="27"/>
                    <w:rPr>
                      <w:sz w:val="22"/>
                      <w:szCs w:val="22"/>
                    </w:rPr>
                  </w:pPr>
                  <w:r>
                    <w:rPr>
                      <w:spacing w:val="-3"/>
                      <w:sz w:val="22"/>
                      <w:szCs w:val="22"/>
                    </w:rPr>
                    <w:t>监测点位</w:t>
                  </w:r>
                </w:p>
              </w:tc>
              <w:tc>
                <w:tcPr>
                  <w:tcW w:w="1023" w:type="dxa"/>
                  <w:vAlign w:val="top"/>
                </w:tcPr>
                <w:p w14:paraId="43E13CD8">
                  <w:pPr>
                    <w:pStyle w:val="6"/>
                    <w:spacing w:before="206" w:line="221" w:lineRule="auto"/>
                    <w:ind w:left="78"/>
                    <w:rPr>
                      <w:sz w:val="22"/>
                      <w:szCs w:val="22"/>
                    </w:rPr>
                  </w:pPr>
                  <w:r>
                    <w:rPr>
                      <w:spacing w:val="-3"/>
                      <w:sz w:val="22"/>
                      <w:szCs w:val="22"/>
                    </w:rPr>
                    <w:t>监测因子</w:t>
                  </w:r>
                </w:p>
              </w:tc>
              <w:tc>
                <w:tcPr>
                  <w:tcW w:w="877" w:type="dxa"/>
                  <w:vAlign w:val="top"/>
                </w:tcPr>
                <w:p w14:paraId="570EF760">
                  <w:pPr>
                    <w:pStyle w:val="6"/>
                    <w:spacing w:before="55" w:line="220" w:lineRule="auto"/>
                    <w:ind w:left="112"/>
                    <w:rPr>
                      <w:sz w:val="22"/>
                      <w:szCs w:val="22"/>
                    </w:rPr>
                  </w:pPr>
                  <w:r>
                    <w:rPr>
                      <w:spacing w:val="-2"/>
                      <w:sz w:val="22"/>
                      <w:szCs w:val="22"/>
                    </w:rPr>
                    <w:t>验收监</w:t>
                  </w:r>
                </w:p>
                <w:p w14:paraId="0F8AED9A">
                  <w:pPr>
                    <w:pStyle w:val="6"/>
                    <w:spacing w:before="38" w:line="203" w:lineRule="auto"/>
                    <w:ind w:left="114"/>
                    <w:rPr>
                      <w:sz w:val="22"/>
                      <w:szCs w:val="22"/>
                    </w:rPr>
                  </w:pPr>
                  <w:r>
                    <w:rPr>
                      <w:spacing w:val="-3"/>
                      <w:sz w:val="22"/>
                      <w:szCs w:val="22"/>
                    </w:rPr>
                    <w:t>测频次</w:t>
                  </w:r>
                </w:p>
              </w:tc>
              <w:tc>
                <w:tcPr>
                  <w:tcW w:w="877" w:type="dxa"/>
                  <w:vAlign w:val="top"/>
                </w:tcPr>
                <w:p w14:paraId="6C5C1EFC">
                  <w:pPr>
                    <w:pStyle w:val="6"/>
                    <w:spacing w:before="55" w:line="221" w:lineRule="auto"/>
                    <w:ind w:left="150"/>
                    <w:rPr>
                      <w:sz w:val="22"/>
                      <w:szCs w:val="22"/>
                    </w:rPr>
                  </w:pPr>
                  <w:r>
                    <w:rPr>
                      <w:spacing w:val="-15"/>
                      <w:sz w:val="22"/>
                      <w:szCs w:val="22"/>
                    </w:rPr>
                    <w:t>自行监</w:t>
                  </w:r>
                </w:p>
                <w:p w14:paraId="4A66DE5E">
                  <w:pPr>
                    <w:pStyle w:val="6"/>
                    <w:spacing w:before="37" w:line="203" w:lineRule="auto"/>
                    <w:ind w:left="115"/>
                    <w:rPr>
                      <w:sz w:val="22"/>
                      <w:szCs w:val="22"/>
                    </w:rPr>
                  </w:pPr>
                  <w:r>
                    <w:rPr>
                      <w:spacing w:val="-3"/>
                      <w:sz w:val="22"/>
                      <w:szCs w:val="22"/>
                    </w:rPr>
                    <w:t>测频次</w:t>
                  </w:r>
                </w:p>
              </w:tc>
              <w:tc>
                <w:tcPr>
                  <w:tcW w:w="3364" w:type="dxa"/>
                  <w:vAlign w:val="top"/>
                </w:tcPr>
                <w:p w14:paraId="11EB5669">
                  <w:pPr>
                    <w:pStyle w:val="6"/>
                    <w:spacing w:before="206" w:line="220" w:lineRule="auto"/>
                    <w:ind w:left="1246"/>
                    <w:rPr>
                      <w:sz w:val="22"/>
                      <w:szCs w:val="22"/>
                    </w:rPr>
                  </w:pPr>
                  <w:r>
                    <w:rPr>
                      <w:spacing w:val="-2"/>
                      <w:sz w:val="22"/>
                      <w:szCs w:val="22"/>
                    </w:rPr>
                    <w:t>执行标准</w:t>
                  </w:r>
                </w:p>
              </w:tc>
            </w:tr>
            <w:tr w14:paraId="2E83B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6" w:hRule="atLeast"/>
              </w:trPr>
              <w:tc>
                <w:tcPr>
                  <w:tcW w:w="873" w:type="dxa"/>
                  <w:vAlign w:val="top"/>
                </w:tcPr>
                <w:p w14:paraId="0D604928">
                  <w:pPr>
                    <w:spacing w:line="429" w:lineRule="auto"/>
                    <w:rPr>
                      <w:rFonts w:ascii="Arial"/>
                      <w:sz w:val="21"/>
                    </w:rPr>
                  </w:pPr>
                </w:p>
                <w:p w14:paraId="543E2D3B">
                  <w:pPr>
                    <w:pStyle w:val="6"/>
                    <w:spacing w:before="71" w:line="221" w:lineRule="auto"/>
                    <w:ind w:left="233"/>
                    <w:rPr>
                      <w:sz w:val="22"/>
                      <w:szCs w:val="22"/>
                    </w:rPr>
                  </w:pPr>
                  <w:r>
                    <w:rPr>
                      <w:spacing w:val="-9"/>
                      <w:sz w:val="22"/>
                      <w:szCs w:val="22"/>
                    </w:rPr>
                    <w:t>噪声</w:t>
                  </w:r>
                </w:p>
              </w:tc>
              <w:tc>
                <w:tcPr>
                  <w:tcW w:w="926" w:type="dxa"/>
                  <w:vAlign w:val="top"/>
                </w:tcPr>
                <w:p w14:paraId="6CB8DA9D">
                  <w:pPr>
                    <w:spacing w:line="429" w:lineRule="auto"/>
                    <w:rPr>
                      <w:rFonts w:ascii="Arial"/>
                      <w:sz w:val="21"/>
                    </w:rPr>
                  </w:pPr>
                </w:p>
                <w:p w14:paraId="217CC702">
                  <w:pPr>
                    <w:pStyle w:val="6"/>
                    <w:spacing w:before="71" w:line="221" w:lineRule="auto"/>
                    <w:ind w:left="250"/>
                    <w:rPr>
                      <w:sz w:val="22"/>
                      <w:szCs w:val="22"/>
                    </w:rPr>
                  </w:pPr>
                  <w:r>
                    <w:rPr>
                      <w:spacing w:val="-5"/>
                      <w:sz w:val="22"/>
                      <w:szCs w:val="22"/>
                    </w:rPr>
                    <w:t>厂界</w:t>
                  </w:r>
                </w:p>
              </w:tc>
              <w:tc>
                <w:tcPr>
                  <w:tcW w:w="1023" w:type="dxa"/>
                  <w:vAlign w:val="top"/>
                </w:tcPr>
                <w:p w14:paraId="02755A7C">
                  <w:pPr>
                    <w:spacing w:line="429" w:lineRule="auto"/>
                    <w:rPr>
                      <w:rFonts w:ascii="Arial"/>
                      <w:sz w:val="21"/>
                    </w:rPr>
                  </w:pPr>
                </w:p>
                <w:p w14:paraId="146541AD">
                  <w:pPr>
                    <w:pStyle w:val="6"/>
                    <w:spacing w:before="71" w:line="220" w:lineRule="auto"/>
                    <w:ind w:left="79"/>
                    <w:rPr>
                      <w:sz w:val="22"/>
                      <w:szCs w:val="22"/>
                    </w:rPr>
                  </w:pPr>
                  <w:r>
                    <w:rPr>
                      <w:spacing w:val="-3"/>
                      <w:sz w:val="22"/>
                      <w:szCs w:val="22"/>
                    </w:rPr>
                    <w:t>等效声级</w:t>
                  </w:r>
                </w:p>
              </w:tc>
              <w:tc>
                <w:tcPr>
                  <w:tcW w:w="877" w:type="dxa"/>
                  <w:vAlign w:val="top"/>
                </w:tcPr>
                <w:p w14:paraId="1334D2E9">
                  <w:pPr>
                    <w:spacing w:line="429" w:lineRule="auto"/>
                    <w:rPr>
                      <w:rFonts w:ascii="Arial"/>
                      <w:sz w:val="21"/>
                    </w:rPr>
                  </w:pPr>
                </w:p>
                <w:p w14:paraId="3536698B">
                  <w:pPr>
                    <w:pStyle w:val="6"/>
                    <w:spacing w:before="71" w:line="220" w:lineRule="auto"/>
                    <w:ind w:left="296"/>
                    <w:rPr>
                      <w:sz w:val="22"/>
                      <w:szCs w:val="22"/>
                    </w:rPr>
                  </w:pPr>
                  <w:r>
                    <w:rPr>
                      <w:rFonts w:ascii="Times New Roman" w:hAnsi="Times New Roman" w:eastAsia="Times New Roman" w:cs="Times New Roman"/>
                      <w:spacing w:val="-13"/>
                      <w:sz w:val="22"/>
                      <w:szCs w:val="22"/>
                    </w:rPr>
                    <w:t>1</w:t>
                  </w:r>
                  <w:r>
                    <w:rPr>
                      <w:spacing w:val="-13"/>
                      <w:sz w:val="22"/>
                      <w:szCs w:val="22"/>
                    </w:rPr>
                    <w:t>次</w:t>
                  </w:r>
                </w:p>
              </w:tc>
              <w:tc>
                <w:tcPr>
                  <w:tcW w:w="877" w:type="dxa"/>
                  <w:vAlign w:val="top"/>
                </w:tcPr>
                <w:p w14:paraId="7450E81D">
                  <w:pPr>
                    <w:spacing w:line="429" w:lineRule="auto"/>
                    <w:rPr>
                      <w:rFonts w:ascii="Arial"/>
                      <w:sz w:val="21"/>
                    </w:rPr>
                  </w:pPr>
                </w:p>
                <w:p w14:paraId="3DEDC307">
                  <w:pPr>
                    <w:pStyle w:val="6"/>
                    <w:spacing w:before="71" w:line="220" w:lineRule="auto"/>
                    <w:ind w:left="45"/>
                    <w:rPr>
                      <w:sz w:val="22"/>
                      <w:szCs w:val="22"/>
                    </w:rPr>
                  </w:pPr>
                  <w:r>
                    <w:rPr>
                      <w:rFonts w:ascii="Times New Roman" w:hAnsi="Times New Roman" w:eastAsia="Times New Roman" w:cs="Times New Roman"/>
                      <w:spacing w:val="-5"/>
                      <w:sz w:val="22"/>
                      <w:szCs w:val="22"/>
                    </w:rPr>
                    <w:t>1</w:t>
                  </w:r>
                  <w:r>
                    <w:rPr>
                      <w:spacing w:val="-5"/>
                      <w:sz w:val="22"/>
                      <w:szCs w:val="22"/>
                    </w:rPr>
                    <w:t>次</w:t>
                  </w:r>
                  <w:r>
                    <w:rPr>
                      <w:rFonts w:ascii="Times New Roman" w:hAnsi="Times New Roman" w:eastAsia="Times New Roman" w:cs="Times New Roman"/>
                      <w:spacing w:val="-5"/>
                      <w:sz w:val="22"/>
                      <w:szCs w:val="22"/>
                    </w:rPr>
                    <w:t>/</w:t>
                  </w:r>
                  <w:r>
                    <w:rPr>
                      <w:spacing w:val="-5"/>
                      <w:sz w:val="22"/>
                      <w:szCs w:val="22"/>
                    </w:rPr>
                    <w:t>季度</w:t>
                  </w:r>
                </w:p>
              </w:tc>
              <w:tc>
                <w:tcPr>
                  <w:tcW w:w="3364" w:type="dxa"/>
                  <w:vAlign w:val="top"/>
                </w:tcPr>
                <w:p w14:paraId="677A2316">
                  <w:pPr>
                    <w:pStyle w:val="6"/>
                    <w:spacing w:before="52" w:line="220" w:lineRule="auto"/>
                    <w:jc w:val="right"/>
                    <w:rPr>
                      <w:sz w:val="22"/>
                      <w:szCs w:val="22"/>
                    </w:rPr>
                  </w:pPr>
                  <w:r>
                    <w:rPr>
                      <w:spacing w:val="-12"/>
                      <w:sz w:val="22"/>
                      <w:szCs w:val="22"/>
                    </w:rPr>
                    <w:t>北侧厂界执行</w:t>
                  </w:r>
                  <w:r>
                    <w:rPr>
                      <w:rFonts w:ascii="Times New Roman" w:hAnsi="Times New Roman" w:eastAsia="Times New Roman" w:cs="Times New Roman"/>
                      <w:spacing w:val="-12"/>
                      <w:sz w:val="22"/>
                      <w:szCs w:val="22"/>
                    </w:rPr>
                    <w:t>4</w:t>
                  </w:r>
                  <w:r>
                    <w:rPr>
                      <w:spacing w:val="-12"/>
                      <w:sz w:val="22"/>
                      <w:szCs w:val="22"/>
                    </w:rPr>
                    <w:t>类标准：昼间</w:t>
                  </w:r>
                  <w:r>
                    <w:rPr>
                      <w:rFonts w:ascii="Times New Roman" w:hAnsi="Times New Roman" w:eastAsia="Times New Roman" w:cs="Times New Roman"/>
                      <w:spacing w:val="-12"/>
                      <w:sz w:val="22"/>
                      <w:szCs w:val="22"/>
                    </w:rPr>
                    <w:t>≤70dB</w:t>
                  </w:r>
                  <w:r>
                    <w:rPr>
                      <w:spacing w:val="-12"/>
                      <w:sz w:val="22"/>
                      <w:szCs w:val="22"/>
                    </w:rPr>
                    <w:t>，</w:t>
                  </w:r>
                </w:p>
                <w:p w14:paraId="56DCA2B8">
                  <w:pPr>
                    <w:pStyle w:val="6"/>
                    <w:spacing w:before="37" w:line="220" w:lineRule="auto"/>
                    <w:ind w:left="1062"/>
                    <w:rPr>
                      <w:sz w:val="22"/>
                      <w:szCs w:val="22"/>
                    </w:rPr>
                  </w:pPr>
                  <w:r>
                    <w:rPr>
                      <w:spacing w:val="-2"/>
                      <w:sz w:val="22"/>
                      <w:szCs w:val="22"/>
                    </w:rPr>
                    <w:t>夜间</w:t>
                  </w:r>
                  <w:r>
                    <w:rPr>
                      <w:rFonts w:ascii="Times New Roman" w:hAnsi="Times New Roman" w:eastAsia="Times New Roman" w:cs="Times New Roman"/>
                      <w:spacing w:val="-2"/>
                      <w:sz w:val="22"/>
                      <w:szCs w:val="22"/>
                    </w:rPr>
                    <w:t>≤55dB</w:t>
                  </w:r>
                  <w:r>
                    <w:rPr>
                      <w:spacing w:val="-2"/>
                      <w:sz w:val="22"/>
                      <w:szCs w:val="22"/>
                    </w:rPr>
                    <w:t>；</w:t>
                  </w:r>
                </w:p>
                <w:p w14:paraId="75D5C445">
                  <w:pPr>
                    <w:pStyle w:val="6"/>
                    <w:spacing w:before="37" w:line="220" w:lineRule="auto"/>
                    <w:jc w:val="right"/>
                    <w:rPr>
                      <w:sz w:val="22"/>
                      <w:szCs w:val="22"/>
                    </w:rPr>
                  </w:pPr>
                  <w:r>
                    <w:rPr>
                      <w:spacing w:val="-12"/>
                      <w:sz w:val="22"/>
                      <w:szCs w:val="22"/>
                    </w:rPr>
                    <w:t>其余厂界执行</w:t>
                  </w:r>
                  <w:r>
                    <w:rPr>
                      <w:rFonts w:ascii="Times New Roman" w:hAnsi="Times New Roman" w:eastAsia="Times New Roman" w:cs="Times New Roman"/>
                      <w:spacing w:val="-12"/>
                      <w:sz w:val="22"/>
                      <w:szCs w:val="22"/>
                    </w:rPr>
                    <w:t>2</w:t>
                  </w:r>
                  <w:r>
                    <w:rPr>
                      <w:spacing w:val="-12"/>
                      <w:sz w:val="22"/>
                      <w:szCs w:val="22"/>
                    </w:rPr>
                    <w:t>类标准：昼间</w:t>
                  </w:r>
                  <w:r>
                    <w:rPr>
                      <w:rFonts w:ascii="Times New Roman" w:hAnsi="Times New Roman" w:eastAsia="Times New Roman" w:cs="Times New Roman"/>
                      <w:spacing w:val="-12"/>
                      <w:sz w:val="22"/>
                      <w:szCs w:val="22"/>
                    </w:rPr>
                    <w:t>≤60dB</w:t>
                  </w:r>
                  <w:r>
                    <w:rPr>
                      <w:spacing w:val="-12"/>
                      <w:sz w:val="22"/>
                      <w:szCs w:val="22"/>
                    </w:rPr>
                    <w:t>，</w:t>
                  </w:r>
                </w:p>
                <w:p w14:paraId="5F1DC856">
                  <w:pPr>
                    <w:pStyle w:val="6"/>
                    <w:spacing w:before="37" w:line="205" w:lineRule="auto"/>
                    <w:ind w:left="1173"/>
                    <w:rPr>
                      <w:rFonts w:ascii="Times New Roman" w:hAnsi="Times New Roman" w:eastAsia="Times New Roman" w:cs="Times New Roman"/>
                      <w:sz w:val="22"/>
                      <w:szCs w:val="22"/>
                    </w:rPr>
                  </w:pPr>
                  <w:r>
                    <w:rPr>
                      <w:spacing w:val="-2"/>
                      <w:sz w:val="22"/>
                      <w:szCs w:val="22"/>
                    </w:rPr>
                    <w:t>夜间</w:t>
                  </w:r>
                  <w:r>
                    <w:rPr>
                      <w:rFonts w:ascii="Times New Roman" w:hAnsi="Times New Roman" w:eastAsia="Times New Roman" w:cs="Times New Roman"/>
                      <w:spacing w:val="-2"/>
                      <w:sz w:val="22"/>
                      <w:szCs w:val="22"/>
                    </w:rPr>
                    <w:t>≤50dB</w:t>
                  </w:r>
                </w:p>
              </w:tc>
            </w:tr>
          </w:tbl>
          <w:p w14:paraId="5C9BB559">
            <w:pPr>
              <w:pStyle w:val="6"/>
              <w:spacing w:before="144" w:line="227" w:lineRule="auto"/>
              <w:ind w:left="105"/>
            </w:pPr>
            <w:r>
              <w:rPr>
                <w:rFonts w:ascii="Times New Roman" w:hAnsi="Times New Roman" w:eastAsia="Times New Roman" w:cs="Times New Roman"/>
                <w:b/>
                <w:bCs/>
                <w:spacing w:val="4"/>
              </w:rPr>
              <w:t>4.2.4</w:t>
            </w:r>
            <w:r>
              <w:rPr>
                <w:rFonts w:ascii="Times New Roman" w:hAnsi="Times New Roman" w:eastAsia="Times New Roman" w:cs="Times New Roman"/>
                <w:b/>
                <w:bCs/>
                <w:spacing w:val="37"/>
                <w:w w:val="101"/>
              </w:rPr>
              <w:t xml:space="preserve"> </w:t>
            </w:r>
            <w:r>
              <w:rPr>
                <w:b/>
                <w:bCs/>
                <w:spacing w:val="4"/>
              </w:rPr>
              <w:t>固废影响及其防治措施</w:t>
            </w:r>
          </w:p>
          <w:p w14:paraId="5608EB2B">
            <w:pPr>
              <w:pStyle w:val="6"/>
              <w:spacing w:before="153" w:line="227" w:lineRule="auto"/>
              <w:ind w:left="623"/>
            </w:pPr>
            <w:r>
              <w:rPr>
                <w:rFonts w:ascii="Times New Roman" w:hAnsi="Times New Roman" w:eastAsia="Times New Roman" w:cs="Times New Roman"/>
                <w:spacing w:val="3"/>
              </w:rPr>
              <w:t>4.2.4.1</w:t>
            </w:r>
            <w:r>
              <w:rPr>
                <w:rFonts w:ascii="Times New Roman" w:hAnsi="Times New Roman" w:eastAsia="Times New Roman" w:cs="Times New Roman"/>
                <w:spacing w:val="45"/>
              </w:rPr>
              <w:t xml:space="preserve"> </w:t>
            </w:r>
            <w:r>
              <w:rPr>
                <w:spacing w:val="3"/>
              </w:rPr>
              <w:t>固废影响分析</w:t>
            </w:r>
          </w:p>
          <w:p w14:paraId="25679034">
            <w:pPr>
              <w:pStyle w:val="6"/>
              <w:spacing w:before="153" w:line="227" w:lineRule="auto"/>
              <w:ind w:left="640"/>
            </w:pPr>
            <w:r>
              <w:rPr>
                <w:spacing w:val="6"/>
              </w:rPr>
              <w:t>（</w:t>
            </w:r>
            <w:r>
              <w:rPr>
                <w:rFonts w:ascii="Times New Roman" w:hAnsi="Times New Roman" w:eastAsia="Times New Roman" w:cs="Times New Roman"/>
                <w:spacing w:val="6"/>
              </w:rPr>
              <w:t>1</w:t>
            </w:r>
            <w:r>
              <w:rPr>
                <w:spacing w:val="6"/>
              </w:rPr>
              <w:t>）生活垃圾</w:t>
            </w:r>
          </w:p>
          <w:p w14:paraId="52BFFF74">
            <w:pPr>
              <w:pStyle w:val="6"/>
              <w:spacing w:before="151" w:line="224" w:lineRule="auto"/>
              <w:ind w:left="628"/>
            </w:pPr>
            <w:r>
              <w:rPr>
                <w:spacing w:val="7"/>
              </w:rPr>
              <w:t>①生活垃圾</w:t>
            </w:r>
          </w:p>
          <w:p w14:paraId="01C557F9">
            <w:pPr>
              <w:pStyle w:val="6"/>
              <w:spacing w:before="157" w:line="339" w:lineRule="auto"/>
              <w:ind w:left="110" w:right="103" w:firstLine="522"/>
              <w:jc w:val="both"/>
            </w:pPr>
            <w:r>
              <w:rPr>
                <w:spacing w:val="9"/>
              </w:rPr>
              <w:t>项目改扩建后劳动定员不变仍为</w:t>
            </w:r>
            <w:r>
              <w:rPr>
                <w:spacing w:val="-28"/>
              </w:rPr>
              <w:t xml:space="preserve"> </w:t>
            </w:r>
            <w:r>
              <w:rPr>
                <w:rFonts w:ascii="Times New Roman" w:hAnsi="Times New Roman" w:eastAsia="Times New Roman" w:cs="Times New Roman"/>
                <w:spacing w:val="9"/>
              </w:rPr>
              <w:t>10</w:t>
            </w:r>
            <w:r>
              <w:rPr>
                <w:rFonts w:ascii="Times New Roman" w:hAnsi="Times New Roman" w:eastAsia="Times New Roman" w:cs="Times New Roman"/>
                <w:spacing w:val="20"/>
              </w:rPr>
              <w:t xml:space="preserve"> </w:t>
            </w:r>
            <w:r>
              <w:rPr>
                <w:spacing w:val="9"/>
              </w:rPr>
              <w:t>人，生活垃圾产生量按</w:t>
            </w:r>
            <w:r>
              <w:rPr>
                <w:spacing w:val="-48"/>
              </w:rPr>
              <w:t xml:space="preserve"> </w:t>
            </w:r>
            <w:r>
              <w:rPr>
                <w:rFonts w:ascii="Times New Roman" w:hAnsi="Times New Roman" w:eastAsia="Times New Roman" w:cs="Times New Roman"/>
                <w:spacing w:val="9"/>
              </w:rPr>
              <w:t>0.5</w:t>
            </w:r>
            <w:r>
              <w:rPr>
                <w:rFonts w:ascii="Times New Roman" w:hAnsi="Times New Roman" w:eastAsia="Times New Roman" w:cs="Times New Roman"/>
              </w:rPr>
              <w:t>kg</w:t>
            </w:r>
            <w:r>
              <w:rPr>
                <w:rFonts w:ascii="Times New Roman" w:hAnsi="Times New Roman" w:eastAsia="Times New Roman" w:cs="Times New Roman"/>
                <w:spacing w:val="9"/>
              </w:rPr>
              <w:t>/</w:t>
            </w:r>
            <w:r>
              <w:rPr>
                <w:rFonts w:ascii="Times New Roman" w:hAnsi="Times New Roman" w:eastAsia="Times New Roman" w:cs="Times New Roman"/>
              </w:rPr>
              <w:t xml:space="preserve"> </w:t>
            </w:r>
            <w:r>
              <w:rPr>
                <w:spacing w:val="12"/>
              </w:rPr>
              <w:t>（人</w:t>
            </w:r>
            <w:r>
              <w:rPr>
                <w:rFonts w:ascii="Times New Roman" w:hAnsi="Times New Roman" w:eastAsia="Times New Roman" w:cs="Times New Roman"/>
                <w:spacing w:val="12"/>
              </w:rPr>
              <w:t>·</w:t>
            </w:r>
            <w:r>
              <w:rPr>
                <w:spacing w:val="12"/>
              </w:rPr>
              <w:t>天）计，则员工生活垃圾产生量为</w:t>
            </w:r>
            <w:r>
              <w:rPr>
                <w:spacing w:val="-8"/>
              </w:rPr>
              <w:t xml:space="preserve"> </w:t>
            </w:r>
            <w:r>
              <w:rPr>
                <w:rFonts w:ascii="Times New Roman" w:hAnsi="Times New Roman" w:eastAsia="Times New Roman" w:cs="Times New Roman"/>
                <w:spacing w:val="12"/>
              </w:rPr>
              <w:t>1.825t/a</w:t>
            </w:r>
            <w:r>
              <w:rPr>
                <w:spacing w:val="12"/>
              </w:rPr>
              <w:t>；另外，司乘人员按</w:t>
            </w:r>
            <w:r>
              <w:rPr>
                <w:rFonts w:ascii="Times New Roman" w:hAnsi="Times New Roman" w:eastAsia="Times New Roman" w:cs="Times New Roman"/>
                <w:spacing w:val="9"/>
              </w:rPr>
              <w:t>150</w:t>
            </w:r>
            <w:r>
              <w:rPr>
                <w:rFonts w:ascii="Times New Roman" w:hAnsi="Times New Roman" w:eastAsia="Times New Roman" w:cs="Times New Roman"/>
                <w:spacing w:val="28"/>
              </w:rPr>
              <w:t xml:space="preserve"> </w:t>
            </w:r>
            <w:r>
              <w:rPr>
                <w:spacing w:val="9"/>
              </w:rPr>
              <w:t>人</w:t>
            </w:r>
            <w:r>
              <w:rPr>
                <w:rFonts w:ascii="Times New Roman" w:hAnsi="Times New Roman" w:eastAsia="Times New Roman" w:cs="Times New Roman"/>
                <w:spacing w:val="9"/>
              </w:rPr>
              <w:t>/d</w:t>
            </w:r>
            <w:r>
              <w:rPr>
                <w:rFonts w:ascii="Times New Roman" w:hAnsi="Times New Roman" w:eastAsia="Times New Roman" w:cs="Times New Roman"/>
                <w:spacing w:val="-29"/>
              </w:rPr>
              <w:t xml:space="preserve"> </w:t>
            </w:r>
            <w:r>
              <w:rPr>
                <w:spacing w:val="9"/>
              </w:rPr>
              <w:t>，其生活垃圾产生量按</w:t>
            </w:r>
            <w:r>
              <w:rPr>
                <w:spacing w:val="-44"/>
              </w:rPr>
              <w:t xml:space="preserve"> </w:t>
            </w:r>
            <w:r>
              <w:rPr>
                <w:rFonts w:ascii="Times New Roman" w:hAnsi="Times New Roman" w:eastAsia="Times New Roman" w:cs="Times New Roman"/>
                <w:spacing w:val="9"/>
              </w:rPr>
              <w:t>0.05</w:t>
            </w:r>
            <w:r>
              <w:rPr>
                <w:rFonts w:ascii="Times New Roman" w:hAnsi="Times New Roman" w:eastAsia="Times New Roman" w:cs="Times New Roman"/>
              </w:rPr>
              <w:t>kg</w:t>
            </w:r>
            <w:r>
              <w:rPr>
                <w:rFonts w:ascii="Times New Roman" w:hAnsi="Times New Roman" w:eastAsia="Times New Roman" w:cs="Times New Roman"/>
                <w:spacing w:val="9"/>
              </w:rPr>
              <w:t>/</w:t>
            </w:r>
            <w:r>
              <w:rPr>
                <w:spacing w:val="9"/>
              </w:rPr>
              <w:t>（人</w:t>
            </w:r>
            <w:r>
              <w:rPr>
                <w:rFonts w:ascii="Times New Roman" w:hAnsi="Times New Roman" w:eastAsia="Times New Roman" w:cs="Times New Roman"/>
                <w:spacing w:val="9"/>
              </w:rPr>
              <w:t>·</w:t>
            </w:r>
            <w:r>
              <w:rPr>
                <w:spacing w:val="9"/>
              </w:rPr>
              <w:t>天）计，则司乘人员生活</w:t>
            </w:r>
            <w:r>
              <w:rPr>
                <w:spacing w:val="4"/>
              </w:rPr>
              <w:t>垃圾产生量为</w:t>
            </w:r>
            <w:r>
              <w:rPr>
                <w:spacing w:val="-47"/>
              </w:rPr>
              <w:t xml:space="preserve"> </w:t>
            </w:r>
            <w:r>
              <w:rPr>
                <w:rFonts w:ascii="Times New Roman" w:hAnsi="Times New Roman" w:eastAsia="Times New Roman" w:cs="Times New Roman"/>
                <w:spacing w:val="4"/>
              </w:rPr>
              <w:t>2.738t/a</w:t>
            </w:r>
            <w:r>
              <w:rPr>
                <w:spacing w:val="4"/>
              </w:rPr>
              <w:t>，合计为</w:t>
            </w:r>
            <w:r>
              <w:rPr>
                <w:spacing w:val="-55"/>
              </w:rPr>
              <w:t xml:space="preserve"> </w:t>
            </w:r>
            <w:r>
              <w:rPr>
                <w:rFonts w:ascii="Times New Roman" w:hAnsi="Times New Roman" w:eastAsia="Times New Roman" w:cs="Times New Roman"/>
                <w:spacing w:val="4"/>
              </w:rPr>
              <w:t>4.563t/a</w:t>
            </w:r>
            <w:r>
              <w:rPr>
                <w:spacing w:val="4"/>
              </w:rPr>
              <w:t>。站区站房及加油站出入口分别</w:t>
            </w:r>
            <w:r>
              <w:rPr>
                <w:spacing w:val="6"/>
              </w:rPr>
              <w:t>设置生活垃圾分类收集桶，当日清运，生活垃圾经分类收集后由</w:t>
            </w:r>
            <w:r>
              <w:rPr>
                <w:spacing w:val="5"/>
              </w:rPr>
              <w:t>当地环</w:t>
            </w:r>
            <w:r>
              <w:rPr>
                <w:spacing w:val="7"/>
              </w:rPr>
              <w:t>卫部门进行清运处置。</w:t>
            </w:r>
          </w:p>
          <w:p w14:paraId="14DF35CF">
            <w:pPr>
              <w:pStyle w:val="6"/>
              <w:spacing w:before="6" w:line="224" w:lineRule="auto"/>
              <w:ind w:left="627"/>
            </w:pPr>
            <w:r>
              <w:rPr>
                <w:spacing w:val="8"/>
              </w:rPr>
              <w:t>②生化池污泥</w:t>
            </w:r>
          </w:p>
          <w:p w14:paraId="2685CA24">
            <w:pPr>
              <w:pStyle w:val="6"/>
              <w:spacing w:before="160" w:line="339" w:lineRule="auto"/>
              <w:ind w:left="106" w:right="103" w:firstLine="527"/>
            </w:pPr>
            <w:r>
              <w:rPr>
                <w:spacing w:val="7"/>
              </w:rPr>
              <w:t>项目改扩建后生化池处理的污水量为</w:t>
            </w:r>
            <w:r>
              <w:rPr>
                <w:spacing w:val="-35"/>
              </w:rPr>
              <w:t xml:space="preserve"> </w:t>
            </w:r>
            <w:r>
              <w:rPr>
                <w:rFonts w:ascii="Times New Roman" w:hAnsi="Times New Roman" w:eastAsia="Times New Roman" w:cs="Times New Roman"/>
                <w:spacing w:val="7"/>
              </w:rPr>
              <w:t>739.</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125m</w:t>
            </w:r>
            <w:r>
              <w:rPr>
                <w:rFonts w:ascii="Times New Roman" w:hAnsi="Times New Roman" w:eastAsia="Times New Roman" w:cs="Times New Roman"/>
                <w:spacing w:val="7"/>
                <w:position w:val="8"/>
                <w:sz w:val="16"/>
                <w:szCs w:val="16"/>
              </w:rPr>
              <w:t>3</w:t>
            </w:r>
            <w:r>
              <w:rPr>
                <w:rFonts w:ascii="Times New Roman" w:hAnsi="Times New Roman" w:eastAsia="Times New Roman" w:cs="Times New Roman"/>
                <w:spacing w:val="7"/>
              </w:rPr>
              <w:t>/a</w:t>
            </w:r>
            <w:r>
              <w:rPr>
                <w:rFonts w:ascii="Times New Roman" w:hAnsi="Times New Roman" w:eastAsia="Times New Roman" w:cs="Times New Roman"/>
                <w:spacing w:val="-29"/>
              </w:rPr>
              <w:t xml:space="preserve"> </w:t>
            </w:r>
            <w:r>
              <w:rPr>
                <w:spacing w:val="7"/>
              </w:rPr>
              <w:t>，污泥产生系数</w:t>
            </w:r>
            <w:r>
              <w:rPr>
                <w:spacing w:val="4"/>
              </w:rPr>
              <w:t>为</w:t>
            </w:r>
            <w:r>
              <w:rPr>
                <w:spacing w:val="-31"/>
              </w:rPr>
              <w:t xml:space="preserve"> </w:t>
            </w:r>
            <w:r>
              <w:rPr>
                <w:rFonts w:ascii="Times New Roman" w:hAnsi="Times New Roman" w:eastAsia="Times New Roman" w:cs="Times New Roman"/>
                <w:spacing w:val="4"/>
              </w:rPr>
              <w:t>0.</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1</w:t>
            </w:r>
            <w:r>
              <w:rPr>
                <w:rFonts w:ascii="Times New Roman" w:hAnsi="Times New Roman" w:eastAsia="Times New Roman" w:cs="Times New Roman"/>
              </w:rPr>
              <w:t>kg</w:t>
            </w:r>
            <w:r>
              <w:rPr>
                <w:rFonts w:ascii="Times New Roman" w:hAnsi="Times New Roman" w:eastAsia="Times New Roman" w:cs="Times New Roman"/>
                <w:spacing w:val="4"/>
              </w:rPr>
              <w:t>/m</w:t>
            </w:r>
            <w:r>
              <w:rPr>
                <w:rFonts w:ascii="Times New Roman" w:hAnsi="Times New Roman" w:eastAsia="Times New Roman" w:cs="Times New Roman"/>
                <w:spacing w:val="4"/>
                <w:position w:val="8"/>
                <w:sz w:val="16"/>
                <w:szCs w:val="16"/>
              </w:rPr>
              <w:t>3</w:t>
            </w:r>
            <w:r>
              <w:rPr>
                <w:rFonts w:ascii="Times New Roman" w:hAnsi="Times New Roman" w:eastAsia="Times New Roman" w:cs="Times New Roman"/>
                <w:spacing w:val="4"/>
              </w:rPr>
              <w:t>-</w:t>
            </w:r>
            <w:r>
              <w:rPr>
                <w:spacing w:val="4"/>
              </w:rPr>
              <w:t>废水，则生化池污泥产生量约</w:t>
            </w:r>
            <w:r>
              <w:rPr>
                <w:spacing w:val="-50"/>
              </w:rPr>
              <w:t xml:space="preserve"> </w:t>
            </w:r>
            <w:r>
              <w:rPr>
                <w:rFonts w:ascii="Times New Roman" w:hAnsi="Times New Roman" w:eastAsia="Times New Roman" w:cs="Times New Roman"/>
                <w:spacing w:val="4"/>
              </w:rPr>
              <w:t>0.074t/a</w:t>
            </w:r>
            <w:r>
              <w:rPr>
                <w:rFonts w:ascii="Times New Roman" w:hAnsi="Times New Roman" w:eastAsia="Times New Roman" w:cs="Times New Roman"/>
                <w:spacing w:val="-28"/>
              </w:rPr>
              <w:t xml:space="preserve"> </w:t>
            </w:r>
            <w:r>
              <w:rPr>
                <w:spacing w:val="4"/>
              </w:rPr>
              <w:t>，属于一般工业固废</w:t>
            </w:r>
            <w:r>
              <w:rPr>
                <w:spacing w:val="9"/>
              </w:rPr>
              <w:t>（</w:t>
            </w:r>
            <w:r>
              <w:rPr>
                <w:rFonts w:ascii="Times New Roman" w:hAnsi="Times New Roman" w:eastAsia="Times New Roman" w:cs="Times New Roman"/>
                <w:spacing w:val="9"/>
              </w:rPr>
              <w:t>462-001-S90</w:t>
            </w:r>
            <w:r>
              <w:rPr>
                <w:spacing w:val="9"/>
              </w:rPr>
              <w:t>）</w:t>
            </w:r>
            <w:r>
              <w:rPr>
                <w:spacing w:val="-70"/>
              </w:rPr>
              <w:t xml:space="preserve"> </w:t>
            </w:r>
            <w:r>
              <w:rPr>
                <w:spacing w:val="9"/>
              </w:rPr>
              <w:t>。生化池定期委托有资质单位清掏后即时进行清运处</w:t>
            </w:r>
            <w:r>
              <w:t>置。</w:t>
            </w:r>
          </w:p>
          <w:p w14:paraId="6006F861">
            <w:pPr>
              <w:pStyle w:val="6"/>
              <w:spacing w:before="1" w:line="226" w:lineRule="auto"/>
              <w:ind w:left="640"/>
            </w:pPr>
            <w:r>
              <w:rPr>
                <w:spacing w:val="6"/>
              </w:rPr>
              <w:t>（</w:t>
            </w:r>
            <w:r>
              <w:rPr>
                <w:rFonts w:ascii="Times New Roman" w:hAnsi="Times New Roman" w:eastAsia="Times New Roman" w:cs="Times New Roman"/>
                <w:spacing w:val="6"/>
              </w:rPr>
              <w:t>2</w:t>
            </w:r>
            <w:r>
              <w:rPr>
                <w:spacing w:val="6"/>
              </w:rPr>
              <w:t>）危险废物</w:t>
            </w:r>
          </w:p>
          <w:p w14:paraId="72AC43B5">
            <w:pPr>
              <w:pStyle w:val="6"/>
              <w:spacing w:before="155" w:line="339" w:lineRule="auto"/>
              <w:ind w:left="112" w:right="103" w:firstLine="520"/>
            </w:pPr>
            <w:r>
              <w:rPr>
                <w:spacing w:val="5"/>
              </w:rPr>
              <w:t>项目改扩建后产生的危险废物主要为清罐废物、设备检修废物、隔</w:t>
            </w:r>
            <w:r>
              <w:rPr>
                <w:spacing w:val="8"/>
              </w:rPr>
              <w:t>油沉淀池含油污泥、三次油气回收废膜组件。</w:t>
            </w:r>
          </w:p>
          <w:p w14:paraId="004417E1">
            <w:pPr>
              <w:pStyle w:val="6"/>
              <w:spacing w:before="1" w:line="223" w:lineRule="auto"/>
              <w:ind w:left="628"/>
            </w:pPr>
            <w:r>
              <w:rPr>
                <w:spacing w:val="7"/>
              </w:rPr>
              <w:t>①清罐废物</w:t>
            </w:r>
          </w:p>
          <w:p w14:paraId="56C3CF69">
            <w:pPr>
              <w:pStyle w:val="6"/>
              <w:spacing w:before="157" w:line="291" w:lineRule="auto"/>
              <w:ind w:left="108" w:right="103" w:firstLine="522"/>
            </w:pPr>
            <w:r>
              <w:rPr>
                <w:spacing w:val="5"/>
              </w:rPr>
              <w:t>成品油储罐定期清理时，有少量清罐废物产生，主要由清罐油渣和清罐废水组成（统称为清罐废物）。根据调查，加油站平均</w:t>
            </w:r>
            <w:r>
              <w:rPr>
                <w:spacing w:val="-38"/>
              </w:rPr>
              <w:t xml:space="preserve"> </w:t>
            </w:r>
            <w:r>
              <w:rPr>
                <w:rFonts w:ascii="Times New Roman" w:hAnsi="Times New Roman" w:eastAsia="Times New Roman" w:cs="Times New Roman"/>
                <w:spacing w:val="5"/>
              </w:rPr>
              <w:t xml:space="preserve">5 </w:t>
            </w:r>
            <w:r>
              <w:rPr>
                <w:spacing w:val="5"/>
              </w:rPr>
              <w:t>年清理一</w:t>
            </w:r>
          </w:p>
        </w:tc>
      </w:tr>
    </w:tbl>
    <w:p w14:paraId="15D5ABCA">
      <w:pPr>
        <w:pStyle w:val="2"/>
        <w:rPr>
          <w:sz w:val="21"/>
        </w:rPr>
      </w:pPr>
    </w:p>
    <w:p w14:paraId="67C8354C">
      <w:pPr>
        <w:rPr>
          <w:sz w:val="21"/>
          <w:szCs w:val="21"/>
        </w:rPr>
        <w:sectPr>
          <w:footerReference r:id="rId90" w:type="default"/>
          <w:pgSz w:w="11907" w:h="16840"/>
          <w:pgMar w:top="400" w:right="1490" w:bottom="1008" w:left="1489" w:header="0" w:footer="770" w:gutter="0"/>
          <w:cols w:space="720" w:num="1"/>
        </w:sectPr>
      </w:pPr>
    </w:p>
    <w:p w14:paraId="3E99A951">
      <w:pPr>
        <w:spacing w:before="19"/>
      </w:pPr>
    </w:p>
    <w:p w14:paraId="40FF1E83">
      <w:pPr>
        <w:spacing w:before="19"/>
      </w:pPr>
    </w:p>
    <w:p w14:paraId="22300852">
      <w:pPr>
        <w:spacing w:before="19"/>
      </w:pPr>
    </w:p>
    <w:p w14:paraId="2FB8D99D">
      <w:pPr>
        <w:spacing w:before="18"/>
      </w:pPr>
    </w:p>
    <w:p w14:paraId="315DF756">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79B9F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07" w:hRule="atLeast"/>
        </w:trPr>
        <w:tc>
          <w:tcPr>
            <w:tcW w:w="754" w:type="dxa"/>
            <w:tcBorders>
              <w:right w:val="single" w:color="000000" w:sz="2" w:space="0"/>
            </w:tcBorders>
            <w:vAlign w:val="top"/>
          </w:tcPr>
          <w:p w14:paraId="268D4323">
            <w:pPr>
              <w:rPr>
                <w:rFonts w:ascii="Arial"/>
                <w:sz w:val="21"/>
              </w:rPr>
            </w:pPr>
          </w:p>
        </w:tc>
        <w:tc>
          <w:tcPr>
            <w:tcW w:w="8158" w:type="dxa"/>
            <w:tcBorders>
              <w:left w:val="single" w:color="000000" w:sz="2" w:space="0"/>
            </w:tcBorders>
            <w:vAlign w:val="top"/>
          </w:tcPr>
          <w:p w14:paraId="6CC0253A">
            <w:pPr>
              <w:pStyle w:val="6"/>
              <w:spacing w:before="149" w:line="340" w:lineRule="auto"/>
              <w:ind w:left="107" w:right="103" w:firstLine="7"/>
              <w:jc w:val="both"/>
            </w:pPr>
            <w:r>
              <w:rPr>
                <w:spacing w:val="6"/>
              </w:rPr>
              <w:t>次，由有资质的专业清洗公司进行清洗。油罐清洗</w:t>
            </w:r>
            <w:r>
              <w:rPr>
                <w:spacing w:val="5"/>
              </w:rPr>
              <w:t>含油废渣产生量约为</w:t>
            </w:r>
            <w:r>
              <w:rPr>
                <w:rFonts w:ascii="Times New Roman" w:hAnsi="Times New Roman" w:eastAsia="Times New Roman" w:cs="Times New Roman"/>
                <w:spacing w:val="9"/>
              </w:rPr>
              <w:t>0.5t/</w:t>
            </w:r>
            <w:r>
              <w:rPr>
                <w:spacing w:val="9"/>
              </w:rPr>
              <w:t>罐•次，本次评价按</w:t>
            </w:r>
            <w:r>
              <w:rPr>
                <w:spacing w:val="-47"/>
              </w:rPr>
              <w:t xml:space="preserve"> </w:t>
            </w:r>
            <w:r>
              <w:rPr>
                <w:rFonts w:ascii="Times New Roman" w:hAnsi="Times New Roman" w:eastAsia="Times New Roman" w:cs="Times New Roman"/>
                <w:spacing w:val="9"/>
              </w:rPr>
              <w:t xml:space="preserve">3 </w:t>
            </w:r>
            <w:r>
              <w:rPr>
                <w:spacing w:val="9"/>
              </w:rPr>
              <w:t>个油罐每</w:t>
            </w:r>
            <w:r>
              <w:rPr>
                <w:spacing w:val="-43"/>
              </w:rPr>
              <w:t xml:space="preserve"> </w:t>
            </w:r>
            <w:r>
              <w:rPr>
                <w:rFonts w:ascii="Times New Roman" w:hAnsi="Times New Roman" w:eastAsia="Times New Roman" w:cs="Times New Roman"/>
                <w:spacing w:val="9"/>
              </w:rPr>
              <w:t xml:space="preserve">5 </w:t>
            </w:r>
            <w:r>
              <w:rPr>
                <w:spacing w:val="9"/>
              </w:rPr>
              <w:t>年清洗一次油罐计，则清罐废物</w:t>
            </w:r>
            <w:r>
              <w:rPr>
                <w:spacing w:val="3"/>
              </w:rPr>
              <w:t>的产生量为</w:t>
            </w:r>
            <w:r>
              <w:rPr>
                <w:spacing w:val="-28"/>
              </w:rPr>
              <w:t xml:space="preserve"> </w:t>
            </w:r>
            <w:r>
              <w:rPr>
                <w:rFonts w:ascii="Times New Roman" w:hAnsi="Times New Roman" w:eastAsia="Times New Roman" w:cs="Times New Roman"/>
                <w:spacing w:val="3"/>
              </w:rPr>
              <w:t>1.5t/</w:t>
            </w:r>
            <w:r>
              <w:rPr>
                <w:spacing w:val="3"/>
              </w:rPr>
              <w:t>次。</w:t>
            </w:r>
          </w:p>
          <w:p w14:paraId="2DA12CE0">
            <w:pPr>
              <w:pStyle w:val="6"/>
              <w:spacing w:before="2" w:line="339" w:lineRule="auto"/>
              <w:ind w:left="120" w:right="103" w:firstLine="509"/>
              <w:jc w:val="both"/>
            </w:pPr>
            <w:r>
              <w:rPr>
                <w:spacing w:val="10"/>
              </w:rPr>
              <w:t>根据《国家危险废物名录》</w:t>
            </w:r>
            <w:r>
              <w:rPr>
                <w:spacing w:val="-104"/>
              </w:rPr>
              <w:t xml:space="preserve"> </w:t>
            </w:r>
            <w:r>
              <w:rPr>
                <w:spacing w:val="10"/>
              </w:rPr>
              <w:t>（</w:t>
            </w:r>
            <w:r>
              <w:rPr>
                <w:rFonts w:ascii="Times New Roman" w:hAnsi="Times New Roman" w:eastAsia="Times New Roman" w:cs="Times New Roman"/>
                <w:spacing w:val="10"/>
              </w:rPr>
              <w:t xml:space="preserve">2025 </w:t>
            </w:r>
            <w:r>
              <w:rPr>
                <w:spacing w:val="10"/>
              </w:rPr>
              <w:t>版</w:t>
            </w:r>
            <w:r>
              <w:rPr>
                <w:spacing w:val="20"/>
              </w:rPr>
              <w:t>），</w:t>
            </w:r>
            <w:r>
              <w:rPr>
                <w:spacing w:val="10"/>
              </w:rPr>
              <w:t>清罐废渣属于危险废物</w:t>
            </w:r>
            <w:r>
              <w:rPr>
                <w:spacing w:val="8"/>
              </w:rPr>
              <w:t>（</w:t>
            </w:r>
            <w:r>
              <w:rPr>
                <w:rFonts w:ascii="Times New Roman" w:hAnsi="Times New Roman" w:eastAsia="Times New Roman" w:cs="Times New Roman"/>
              </w:rPr>
              <w:t>HW</w:t>
            </w:r>
            <w:r>
              <w:rPr>
                <w:rFonts w:ascii="Times New Roman" w:hAnsi="Times New Roman" w:eastAsia="Times New Roman" w:cs="Times New Roman"/>
                <w:spacing w:val="8"/>
              </w:rPr>
              <w:t>08</w:t>
            </w:r>
            <w:r>
              <w:rPr>
                <w:rFonts w:ascii="Times New Roman" w:hAnsi="Times New Roman" w:eastAsia="Times New Roman" w:cs="Times New Roman"/>
                <w:spacing w:val="-26"/>
              </w:rPr>
              <w:t xml:space="preserve"> </w:t>
            </w:r>
            <w:r>
              <w:rPr>
                <w:spacing w:val="8"/>
              </w:rPr>
              <w:t>，</w:t>
            </w:r>
            <w:r>
              <w:rPr>
                <w:rFonts w:ascii="Times New Roman" w:hAnsi="Times New Roman" w:eastAsia="Times New Roman" w:cs="Times New Roman"/>
                <w:spacing w:val="8"/>
              </w:rPr>
              <w:t>900-221-08</w:t>
            </w:r>
            <w:r>
              <w:rPr>
                <w:spacing w:val="20"/>
              </w:rPr>
              <w:t>），</w:t>
            </w:r>
            <w:r>
              <w:rPr>
                <w:spacing w:val="8"/>
              </w:rPr>
              <w:t>用塑料桶盛装，转运均采用联单制管</w:t>
            </w:r>
            <w:r>
              <w:rPr>
                <w:spacing w:val="7"/>
              </w:rPr>
              <w:t>理，当</w:t>
            </w:r>
            <w:r>
              <w:rPr>
                <w:spacing w:val="8"/>
              </w:rPr>
              <w:t>日由危废资质单位统一清运处置，站内不进行暂存和处置。</w:t>
            </w:r>
          </w:p>
          <w:p w14:paraId="46D978BB">
            <w:pPr>
              <w:pStyle w:val="6"/>
              <w:spacing w:before="1" w:line="223" w:lineRule="auto"/>
              <w:ind w:left="627"/>
            </w:pPr>
            <w:r>
              <w:rPr>
                <w:spacing w:val="8"/>
              </w:rPr>
              <w:t>②设备检修废物</w:t>
            </w:r>
          </w:p>
          <w:p w14:paraId="45FC1004">
            <w:pPr>
              <w:pStyle w:val="6"/>
              <w:spacing w:before="155" w:line="336" w:lineRule="auto"/>
              <w:ind w:left="107" w:right="15" w:firstLine="521"/>
            </w:pPr>
            <w:r>
              <w:t>加油机、管道等设备平均每</w:t>
            </w:r>
            <w:r>
              <w:rPr>
                <w:spacing w:val="-49"/>
              </w:rPr>
              <w:t xml:space="preserve"> </w:t>
            </w:r>
            <w:r>
              <w:rPr>
                <w:rFonts w:ascii="Times New Roman" w:hAnsi="Times New Roman" w:eastAsia="Times New Roman" w:cs="Times New Roman"/>
              </w:rPr>
              <w:t xml:space="preserve">3 </w:t>
            </w:r>
            <w:r>
              <w:t>个月检修一</w:t>
            </w:r>
            <w:r>
              <w:rPr>
                <w:spacing w:val="-1"/>
              </w:rPr>
              <w:t>次，检修废物由含油废水、</w:t>
            </w:r>
            <w:r>
              <w:rPr>
                <w:spacing w:val="6"/>
              </w:rPr>
              <w:t>含油废渣、伴生污染物、清洗废液构成。清洗废液由于含油类物质浓度较高，现场无法进行处理或回用，与其余检修废物一并作为危险废物进行处理。根据建设单位提供的项目实际运行情况，项目加油机等设备检</w:t>
            </w:r>
            <w:r>
              <w:rPr>
                <w:spacing w:val="3"/>
              </w:rPr>
              <w:t>修废物产生量约</w:t>
            </w:r>
            <w:r>
              <w:rPr>
                <w:spacing w:val="-48"/>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1t/</w:t>
            </w:r>
            <w:r>
              <w:rPr>
                <w:spacing w:val="3"/>
              </w:rPr>
              <w:t>次，一年约检修</w:t>
            </w:r>
            <w:r>
              <w:rPr>
                <w:spacing w:val="-54"/>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20"/>
              </w:rPr>
              <w:t xml:space="preserve"> </w:t>
            </w:r>
            <w:r>
              <w:rPr>
                <w:spacing w:val="3"/>
              </w:rPr>
              <w:t>次，则项目设备检修废</w:t>
            </w:r>
            <w:r>
              <w:rPr>
                <w:spacing w:val="2"/>
              </w:rPr>
              <w:t>物合计约</w:t>
            </w:r>
            <w:r>
              <w:rPr>
                <w:rFonts w:ascii="Times New Roman" w:hAnsi="Times New Roman" w:eastAsia="Times New Roman" w:cs="Times New Roman"/>
                <w:spacing w:val="1"/>
              </w:rPr>
              <w:t>0.4t/a</w:t>
            </w:r>
            <w:r>
              <w:rPr>
                <w:spacing w:val="1"/>
              </w:rPr>
              <w:t>。</w:t>
            </w:r>
          </w:p>
          <w:p w14:paraId="1B47F2CE">
            <w:pPr>
              <w:pStyle w:val="6"/>
              <w:spacing w:before="31" w:line="340" w:lineRule="auto"/>
              <w:ind w:left="107" w:right="103" w:firstLine="521"/>
              <w:jc w:val="both"/>
            </w:pPr>
            <w:r>
              <w:rPr>
                <w:spacing w:val="10"/>
              </w:rPr>
              <w:t>根据《国家危险废物名录》</w:t>
            </w:r>
            <w:r>
              <w:rPr>
                <w:spacing w:val="-102"/>
              </w:rPr>
              <w:t xml:space="preserve"> </w:t>
            </w:r>
            <w:r>
              <w:rPr>
                <w:spacing w:val="10"/>
              </w:rPr>
              <w:t>（</w:t>
            </w:r>
            <w:r>
              <w:rPr>
                <w:rFonts w:ascii="Times New Roman" w:hAnsi="Times New Roman" w:eastAsia="Times New Roman" w:cs="Times New Roman"/>
                <w:spacing w:val="10"/>
              </w:rPr>
              <w:t xml:space="preserve">2025 </w:t>
            </w:r>
            <w:r>
              <w:rPr>
                <w:spacing w:val="10"/>
              </w:rPr>
              <w:t>版</w:t>
            </w:r>
            <w:r>
              <w:rPr>
                <w:spacing w:val="22"/>
              </w:rPr>
              <w:t>），</w:t>
            </w:r>
            <w:r>
              <w:rPr>
                <w:spacing w:val="10"/>
              </w:rPr>
              <w:t>设备</w:t>
            </w:r>
            <w:r>
              <w:rPr>
                <w:spacing w:val="9"/>
              </w:rPr>
              <w:t>检修废物属于危险</w:t>
            </w:r>
            <w:r>
              <w:rPr>
                <w:spacing w:val="8"/>
              </w:rPr>
              <w:t>废物（</w:t>
            </w:r>
            <w:r>
              <w:rPr>
                <w:rFonts w:ascii="Times New Roman" w:hAnsi="Times New Roman" w:eastAsia="Times New Roman" w:cs="Times New Roman"/>
              </w:rPr>
              <w:t>HW</w:t>
            </w:r>
            <w:r>
              <w:rPr>
                <w:rFonts w:ascii="Times New Roman" w:hAnsi="Times New Roman" w:eastAsia="Times New Roman" w:cs="Times New Roman"/>
                <w:spacing w:val="8"/>
              </w:rPr>
              <w:t>08</w:t>
            </w:r>
            <w:r>
              <w:rPr>
                <w:rFonts w:ascii="Times New Roman" w:hAnsi="Times New Roman" w:eastAsia="Times New Roman" w:cs="Times New Roman"/>
                <w:spacing w:val="-28"/>
              </w:rPr>
              <w:t xml:space="preserve"> </w:t>
            </w:r>
            <w:r>
              <w:rPr>
                <w:spacing w:val="8"/>
              </w:rPr>
              <w:t>，</w:t>
            </w:r>
            <w:r>
              <w:rPr>
                <w:rFonts w:ascii="Times New Roman" w:hAnsi="Times New Roman" w:eastAsia="Times New Roman" w:cs="Times New Roman"/>
                <w:spacing w:val="8"/>
              </w:rPr>
              <w:t>900-249-08</w:t>
            </w:r>
            <w:r>
              <w:rPr>
                <w:spacing w:val="27"/>
              </w:rPr>
              <w:t>），</w:t>
            </w:r>
            <w:r>
              <w:rPr>
                <w:spacing w:val="8"/>
              </w:rPr>
              <w:t>用金属桶密闭盛装，收集暂存于危险废物贮存点后定期交有资质单位清运处置。</w:t>
            </w:r>
          </w:p>
          <w:p w14:paraId="253248C4">
            <w:pPr>
              <w:pStyle w:val="6"/>
              <w:spacing w:before="1" w:line="223" w:lineRule="auto"/>
              <w:ind w:left="627"/>
            </w:pPr>
            <w:r>
              <w:rPr>
                <w:spacing w:val="9"/>
              </w:rPr>
              <w:t>③隔油池浮油及含油污泥</w:t>
            </w:r>
          </w:p>
          <w:p w14:paraId="26438DCC">
            <w:pPr>
              <w:pStyle w:val="6"/>
              <w:spacing w:before="154" w:line="340" w:lineRule="auto"/>
              <w:ind w:left="106" w:right="35" w:firstLine="538"/>
            </w:pPr>
            <w:r>
              <w:rPr>
                <w:spacing w:val="1"/>
              </w:rPr>
              <w:t>隔油池每半年清掏一次，清掏产生的浮油及含油污泥量约为</w:t>
            </w:r>
            <w:r>
              <w:rPr>
                <w:spacing w:val="-37"/>
              </w:rPr>
              <w:t xml:space="preserve"> </w:t>
            </w:r>
            <w:r>
              <w:rPr>
                <w:rFonts w:ascii="Times New Roman" w:hAnsi="Times New Roman" w:eastAsia="Times New Roman" w:cs="Times New Roman"/>
                <w:spacing w:val="1"/>
              </w:rPr>
              <w:t>0.</w:t>
            </w:r>
            <w:r>
              <w:rPr>
                <w:rFonts w:ascii="Times New Roman" w:hAnsi="Times New Roman" w:eastAsia="Times New Roman" w:cs="Times New Roman"/>
                <w:spacing w:val="-30"/>
              </w:rPr>
              <w:t xml:space="preserve"> </w:t>
            </w:r>
            <w:r>
              <w:rPr>
                <w:rFonts w:ascii="Times New Roman" w:hAnsi="Times New Roman" w:eastAsia="Times New Roman" w:cs="Times New Roman"/>
                <w:spacing w:val="1"/>
              </w:rPr>
              <w:t>1t/a</w:t>
            </w:r>
            <w:r>
              <w:rPr>
                <w:spacing w:val="1"/>
              </w:rPr>
              <w:t>，</w:t>
            </w:r>
            <w:r>
              <w:rPr>
                <w:spacing w:val="10"/>
              </w:rPr>
              <w:t>根据《国家危险废物名录》</w:t>
            </w:r>
            <w:r>
              <w:rPr>
                <w:spacing w:val="-100"/>
              </w:rPr>
              <w:t xml:space="preserve"> </w:t>
            </w:r>
            <w:r>
              <w:rPr>
                <w:spacing w:val="10"/>
              </w:rPr>
              <w:t>（</w:t>
            </w:r>
            <w:r>
              <w:rPr>
                <w:rFonts w:ascii="Times New Roman" w:hAnsi="Times New Roman" w:eastAsia="Times New Roman" w:cs="Times New Roman"/>
                <w:spacing w:val="10"/>
              </w:rPr>
              <w:t xml:space="preserve">2025 </w:t>
            </w:r>
            <w:r>
              <w:rPr>
                <w:spacing w:val="10"/>
              </w:rPr>
              <w:t>版</w:t>
            </w:r>
            <w:r>
              <w:rPr>
                <w:spacing w:val="22"/>
              </w:rPr>
              <w:t>），</w:t>
            </w:r>
            <w:r>
              <w:rPr>
                <w:spacing w:val="10"/>
              </w:rPr>
              <w:t>设备检修废</w:t>
            </w:r>
            <w:r>
              <w:rPr>
                <w:spacing w:val="9"/>
              </w:rPr>
              <w:t>物属于危险废物</w:t>
            </w:r>
            <w:r>
              <w:rPr>
                <w:spacing w:val="8"/>
              </w:rPr>
              <w:t>（</w:t>
            </w:r>
            <w:r>
              <w:rPr>
                <w:rFonts w:ascii="Times New Roman" w:hAnsi="Times New Roman" w:eastAsia="Times New Roman" w:cs="Times New Roman"/>
              </w:rPr>
              <w:t>HW</w:t>
            </w:r>
            <w:r>
              <w:rPr>
                <w:rFonts w:ascii="Times New Roman" w:hAnsi="Times New Roman" w:eastAsia="Times New Roman" w:cs="Times New Roman"/>
                <w:spacing w:val="8"/>
              </w:rPr>
              <w:t>08</w:t>
            </w:r>
            <w:r>
              <w:rPr>
                <w:rFonts w:ascii="Times New Roman" w:hAnsi="Times New Roman" w:eastAsia="Times New Roman" w:cs="Times New Roman"/>
                <w:spacing w:val="-25"/>
              </w:rPr>
              <w:t xml:space="preserve"> </w:t>
            </w:r>
            <w:r>
              <w:rPr>
                <w:spacing w:val="8"/>
              </w:rPr>
              <w:t>，</w:t>
            </w:r>
            <w:r>
              <w:rPr>
                <w:rFonts w:ascii="Times New Roman" w:hAnsi="Times New Roman" w:eastAsia="Times New Roman" w:cs="Times New Roman"/>
                <w:spacing w:val="8"/>
              </w:rPr>
              <w:t>900-210-08</w:t>
            </w:r>
            <w:r>
              <w:rPr>
                <w:spacing w:val="25"/>
              </w:rPr>
              <w:t>），</w:t>
            </w:r>
            <w:r>
              <w:rPr>
                <w:spacing w:val="8"/>
              </w:rPr>
              <w:t>定期委托有资质单位清掏后即时进行清运处置，不在站内暂存和处置。</w:t>
            </w:r>
          </w:p>
          <w:p w14:paraId="06B2425B">
            <w:pPr>
              <w:pStyle w:val="6"/>
              <w:spacing w:before="1" w:line="223" w:lineRule="auto"/>
              <w:ind w:left="627"/>
            </w:pPr>
            <w:r>
              <w:rPr>
                <w:spacing w:val="9"/>
              </w:rPr>
              <w:t>④三次油气回收废膜组件</w:t>
            </w:r>
          </w:p>
          <w:p w14:paraId="114153DE">
            <w:pPr>
              <w:pStyle w:val="6"/>
              <w:spacing w:before="156" w:line="340" w:lineRule="auto"/>
              <w:ind w:left="108" w:right="52" w:firstLine="519"/>
            </w:pPr>
            <w:r>
              <w:rPr>
                <w:spacing w:val="5"/>
              </w:rPr>
              <w:t>膜组件达到使用寿命后，</w:t>
            </w:r>
            <w:r>
              <w:rPr>
                <w:spacing w:val="-73"/>
              </w:rPr>
              <w:t xml:space="preserve"> </w:t>
            </w:r>
            <w:r>
              <w:rPr>
                <w:spacing w:val="5"/>
              </w:rPr>
              <w:t>由厂家定期更换，一般</w:t>
            </w:r>
            <w:r>
              <w:rPr>
                <w:spacing w:val="-49"/>
              </w:rPr>
              <w:t xml:space="preserve"> </w:t>
            </w:r>
            <w:r>
              <w:rPr>
                <w:rFonts w:ascii="Times New Roman" w:hAnsi="Times New Roman" w:eastAsia="Times New Roman" w:cs="Times New Roman"/>
                <w:spacing w:val="5"/>
              </w:rPr>
              <w:t xml:space="preserve">6 </w:t>
            </w:r>
            <w:r>
              <w:rPr>
                <w:spacing w:val="5"/>
              </w:rPr>
              <w:t>个月更换一次，产生量约</w:t>
            </w:r>
            <w:r>
              <w:rPr>
                <w:spacing w:val="-46"/>
              </w:rPr>
              <w:t xml:space="preserve"> </w:t>
            </w:r>
            <w:r>
              <w:rPr>
                <w:rFonts w:ascii="Times New Roman" w:hAnsi="Times New Roman" w:eastAsia="Times New Roman" w:cs="Times New Roman"/>
                <w:spacing w:val="5"/>
              </w:rPr>
              <w:t>0.01t/a</w:t>
            </w:r>
            <w:r>
              <w:rPr>
                <w:rFonts w:ascii="Times New Roman" w:hAnsi="Times New Roman" w:eastAsia="Times New Roman" w:cs="Times New Roman"/>
                <w:spacing w:val="-26"/>
              </w:rPr>
              <w:t xml:space="preserve"> </w:t>
            </w:r>
            <w:r>
              <w:rPr>
                <w:spacing w:val="5"/>
              </w:rPr>
              <w:t>，属于危险废物（</w:t>
            </w:r>
            <w:r>
              <w:rPr>
                <w:rFonts w:ascii="Times New Roman" w:hAnsi="Times New Roman" w:eastAsia="Times New Roman" w:cs="Times New Roman"/>
              </w:rPr>
              <w:t>HW</w:t>
            </w:r>
            <w:r>
              <w:rPr>
                <w:rFonts w:ascii="Times New Roman" w:hAnsi="Times New Roman" w:eastAsia="Times New Roman" w:cs="Times New Roman"/>
                <w:spacing w:val="5"/>
              </w:rPr>
              <w:t>49</w:t>
            </w:r>
            <w:r>
              <w:rPr>
                <w:rFonts w:ascii="Times New Roman" w:hAnsi="Times New Roman" w:eastAsia="Times New Roman" w:cs="Times New Roman"/>
                <w:spacing w:val="-26"/>
              </w:rPr>
              <w:t xml:space="preserve"> </w:t>
            </w:r>
            <w:r>
              <w:rPr>
                <w:spacing w:val="5"/>
              </w:rPr>
              <w:t>，</w:t>
            </w:r>
            <w:r>
              <w:rPr>
                <w:rFonts w:ascii="Times New Roman" w:hAnsi="Times New Roman" w:eastAsia="Times New Roman" w:cs="Times New Roman"/>
                <w:spacing w:val="5"/>
              </w:rPr>
              <w:t>900-041-49</w:t>
            </w:r>
            <w:r>
              <w:rPr>
                <w:spacing w:val="12"/>
              </w:rPr>
              <w:t>），</w:t>
            </w:r>
            <w:r>
              <w:rPr>
                <w:spacing w:val="-72"/>
              </w:rPr>
              <w:t xml:space="preserve"> </w:t>
            </w:r>
            <w:r>
              <w:rPr>
                <w:spacing w:val="5"/>
              </w:rPr>
              <w:t>由厂家负责</w:t>
            </w:r>
            <w:r>
              <w:rPr>
                <w:spacing w:val="8"/>
              </w:rPr>
              <w:t>更换后交有资质单位处置，站内不暂存。</w:t>
            </w:r>
          </w:p>
          <w:p w14:paraId="7200C15A">
            <w:pPr>
              <w:pStyle w:val="6"/>
              <w:spacing w:before="1" w:line="227" w:lineRule="auto"/>
              <w:ind w:left="640"/>
            </w:pPr>
            <w:r>
              <w:rPr>
                <w:spacing w:val="6"/>
              </w:rPr>
              <w:t>（</w:t>
            </w:r>
            <w:r>
              <w:rPr>
                <w:rFonts w:ascii="Times New Roman" w:hAnsi="Times New Roman" w:eastAsia="Times New Roman" w:cs="Times New Roman"/>
                <w:spacing w:val="6"/>
              </w:rPr>
              <w:t>3</w:t>
            </w:r>
            <w:r>
              <w:rPr>
                <w:spacing w:val="6"/>
              </w:rPr>
              <w:t>）生化池污泥</w:t>
            </w:r>
          </w:p>
          <w:p w14:paraId="523676C8">
            <w:pPr>
              <w:pStyle w:val="6"/>
              <w:spacing w:before="149" w:line="291" w:lineRule="auto"/>
              <w:ind w:left="113" w:right="103" w:firstLine="518"/>
            </w:pPr>
            <w:r>
              <w:rPr>
                <w:spacing w:val="5"/>
              </w:rPr>
              <w:t>综上所述，本项目实施后全站危险废物及固体废物产生量及处理方</w:t>
            </w:r>
            <w:r>
              <w:t>式见表</w:t>
            </w:r>
            <w:r>
              <w:rPr>
                <w:spacing w:val="-44"/>
              </w:rPr>
              <w:t xml:space="preserve"> </w:t>
            </w:r>
            <w:r>
              <w:rPr>
                <w:rFonts w:ascii="Times New Roman" w:hAnsi="Times New Roman" w:eastAsia="Times New Roman" w:cs="Times New Roman"/>
              </w:rPr>
              <w:t>4.2-</w:t>
            </w:r>
            <w:r>
              <w:rPr>
                <w:rFonts w:ascii="Times New Roman" w:hAnsi="Times New Roman" w:eastAsia="Times New Roman" w:cs="Times New Roman"/>
                <w:spacing w:val="-32"/>
              </w:rPr>
              <w:t xml:space="preserve"> </w:t>
            </w:r>
            <w:r>
              <w:rPr>
                <w:rFonts w:ascii="Times New Roman" w:hAnsi="Times New Roman" w:eastAsia="Times New Roman" w:cs="Times New Roman"/>
              </w:rPr>
              <w:t>16~</w:t>
            </w:r>
            <w:r>
              <w:t>表</w:t>
            </w:r>
            <w:r>
              <w:rPr>
                <w:spacing w:val="-56"/>
              </w:rPr>
              <w:t xml:space="preserve"> </w:t>
            </w:r>
            <w:r>
              <w:rPr>
                <w:rFonts w:ascii="Times New Roman" w:hAnsi="Times New Roman" w:eastAsia="Times New Roman" w:cs="Times New Roman"/>
              </w:rPr>
              <w:t>4.2-</w:t>
            </w:r>
            <w:r>
              <w:rPr>
                <w:rFonts w:ascii="Times New Roman" w:hAnsi="Times New Roman" w:eastAsia="Times New Roman" w:cs="Times New Roman"/>
                <w:spacing w:val="-32"/>
              </w:rPr>
              <w:t xml:space="preserve"> </w:t>
            </w:r>
            <w:r>
              <w:rPr>
                <w:rFonts w:ascii="Times New Roman" w:hAnsi="Times New Roman" w:eastAsia="Times New Roman" w:cs="Times New Roman"/>
              </w:rPr>
              <w:t>17</w:t>
            </w:r>
            <w:r>
              <w:t>。</w:t>
            </w:r>
          </w:p>
        </w:tc>
      </w:tr>
    </w:tbl>
    <w:p w14:paraId="2CEEA6D7">
      <w:pPr>
        <w:pStyle w:val="2"/>
        <w:rPr>
          <w:sz w:val="21"/>
        </w:rPr>
      </w:pPr>
    </w:p>
    <w:p w14:paraId="69D9B193">
      <w:pPr>
        <w:rPr>
          <w:sz w:val="21"/>
          <w:szCs w:val="21"/>
        </w:rPr>
        <w:sectPr>
          <w:footerReference r:id="rId91" w:type="default"/>
          <w:pgSz w:w="11907" w:h="16840"/>
          <w:pgMar w:top="400" w:right="1490" w:bottom="1008" w:left="1489" w:header="0" w:footer="770" w:gutter="0"/>
          <w:cols w:space="720" w:num="1"/>
        </w:sectPr>
      </w:pPr>
    </w:p>
    <w:p w14:paraId="47294F2C">
      <w:pPr>
        <w:spacing w:before="19"/>
      </w:pPr>
    </w:p>
    <w:p w14:paraId="35E5C194">
      <w:pPr>
        <w:spacing w:before="19"/>
      </w:pPr>
    </w:p>
    <w:p w14:paraId="7AF4AAD0">
      <w:pPr>
        <w:spacing w:before="19"/>
      </w:pPr>
    </w:p>
    <w:p w14:paraId="3187740D">
      <w:pPr>
        <w:spacing w:before="18"/>
      </w:pPr>
    </w:p>
    <w:p w14:paraId="5782FE6B">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786CF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67" w:hRule="atLeast"/>
        </w:trPr>
        <w:tc>
          <w:tcPr>
            <w:tcW w:w="754" w:type="dxa"/>
            <w:tcBorders>
              <w:right w:val="single" w:color="000000" w:sz="2" w:space="0"/>
            </w:tcBorders>
            <w:vAlign w:val="top"/>
          </w:tcPr>
          <w:p w14:paraId="14DA3179">
            <w:pPr>
              <w:rPr>
                <w:rFonts w:ascii="Arial"/>
                <w:sz w:val="21"/>
              </w:rPr>
            </w:pPr>
          </w:p>
        </w:tc>
        <w:tc>
          <w:tcPr>
            <w:tcW w:w="8158" w:type="dxa"/>
            <w:tcBorders>
              <w:left w:val="single" w:color="000000" w:sz="2" w:space="0"/>
            </w:tcBorders>
            <w:vAlign w:val="top"/>
          </w:tcPr>
          <w:p w14:paraId="1D84F8A5">
            <w:pPr>
              <w:pStyle w:val="6"/>
              <w:spacing w:before="150" w:line="225" w:lineRule="auto"/>
              <w:ind w:left="1242"/>
            </w:pPr>
            <w:r>
              <w:rPr>
                <w:spacing w:val="6"/>
              </w:rPr>
              <w:t>表</w:t>
            </w:r>
            <w:r>
              <w:rPr>
                <w:spacing w:val="-56"/>
              </w:rPr>
              <w:t xml:space="preserve"> </w:t>
            </w:r>
            <w:r>
              <w:rPr>
                <w:rFonts w:ascii="Times New Roman" w:hAnsi="Times New Roman" w:eastAsia="Times New Roman" w:cs="Times New Roman"/>
                <w:spacing w:val="6"/>
              </w:rPr>
              <w:t>4.2-</w:t>
            </w:r>
            <w:r>
              <w:rPr>
                <w:rFonts w:ascii="Times New Roman" w:hAnsi="Times New Roman" w:eastAsia="Times New Roman" w:cs="Times New Roman"/>
                <w:spacing w:val="-30"/>
              </w:rPr>
              <w:t xml:space="preserve"> </w:t>
            </w:r>
            <w:r>
              <w:rPr>
                <w:rFonts w:ascii="Times New Roman" w:hAnsi="Times New Roman" w:eastAsia="Times New Roman" w:cs="Times New Roman"/>
                <w:spacing w:val="6"/>
              </w:rPr>
              <w:t xml:space="preserve">16    </w:t>
            </w:r>
            <w:r>
              <w:rPr>
                <w:spacing w:val="6"/>
              </w:rPr>
              <w:t>本项目实施后全站危险废物汇总</w:t>
            </w:r>
            <w:r>
              <w:rPr>
                <w:spacing w:val="5"/>
              </w:rPr>
              <w:t>情况表</w:t>
            </w:r>
          </w:p>
          <w:p w14:paraId="23B71D58">
            <w:pPr>
              <w:spacing w:line="98" w:lineRule="auto"/>
              <w:rPr>
                <w:rFonts w:ascii="Arial"/>
                <w:sz w:val="2"/>
              </w:rPr>
            </w:pPr>
          </w:p>
          <w:tbl>
            <w:tblPr>
              <w:tblStyle w:val="5"/>
              <w:tblW w:w="7970" w:type="dxa"/>
              <w:tblInd w:w="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9"/>
              <w:gridCol w:w="773"/>
              <w:gridCol w:w="672"/>
              <w:gridCol w:w="695"/>
              <w:gridCol w:w="830"/>
              <w:gridCol w:w="831"/>
              <w:gridCol w:w="518"/>
              <w:gridCol w:w="532"/>
              <w:gridCol w:w="518"/>
              <w:gridCol w:w="505"/>
              <w:gridCol w:w="518"/>
              <w:gridCol w:w="1139"/>
            </w:tblGrid>
            <w:tr w14:paraId="49D53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439" w:type="dxa"/>
                  <w:textDirection w:val="tbRlV"/>
                  <w:vAlign w:val="top"/>
                </w:tcPr>
                <w:p w14:paraId="28B8DB51">
                  <w:pPr>
                    <w:pStyle w:val="6"/>
                    <w:spacing w:before="105" w:line="211" w:lineRule="auto"/>
                    <w:ind w:left="356"/>
                    <w:rPr>
                      <w:sz w:val="22"/>
                      <w:szCs w:val="22"/>
                    </w:rPr>
                  </w:pPr>
                  <w:r>
                    <w:rPr>
                      <w:sz w:val="22"/>
                      <w:szCs w:val="22"/>
                    </w:rPr>
                    <w:t>序</w:t>
                  </w:r>
                  <w:r>
                    <w:rPr>
                      <w:spacing w:val="-31"/>
                      <w:sz w:val="22"/>
                      <w:szCs w:val="22"/>
                    </w:rPr>
                    <w:t xml:space="preserve"> </w:t>
                  </w:r>
                  <w:r>
                    <w:rPr>
                      <w:sz w:val="22"/>
                      <w:szCs w:val="22"/>
                    </w:rPr>
                    <w:t>号</w:t>
                  </w:r>
                </w:p>
              </w:tc>
              <w:tc>
                <w:tcPr>
                  <w:tcW w:w="773" w:type="dxa"/>
                  <w:vAlign w:val="top"/>
                </w:tcPr>
                <w:p w14:paraId="0DF65187">
                  <w:pPr>
                    <w:pStyle w:val="6"/>
                    <w:spacing w:before="205" w:line="221" w:lineRule="auto"/>
                    <w:ind w:left="173"/>
                    <w:rPr>
                      <w:sz w:val="22"/>
                      <w:szCs w:val="22"/>
                    </w:rPr>
                  </w:pPr>
                  <w:r>
                    <w:rPr>
                      <w:spacing w:val="-5"/>
                      <w:sz w:val="22"/>
                      <w:szCs w:val="22"/>
                    </w:rPr>
                    <w:t>危险</w:t>
                  </w:r>
                </w:p>
                <w:p w14:paraId="1C245045">
                  <w:pPr>
                    <w:pStyle w:val="6"/>
                    <w:spacing w:before="36" w:line="221" w:lineRule="auto"/>
                    <w:ind w:left="170"/>
                    <w:rPr>
                      <w:sz w:val="22"/>
                      <w:szCs w:val="22"/>
                    </w:rPr>
                  </w:pPr>
                  <w:r>
                    <w:rPr>
                      <w:spacing w:val="-3"/>
                      <w:sz w:val="22"/>
                      <w:szCs w:val="22"/>
                    </w:rPr>
                    <w:t>废物</w:t>
                  </w:r>
                </w:p>
                <w:p w14:paraId="2FE4D2C2">
                  <w:pPr>
                    <w:pStyle w:val="6"/>
                    <w:spacing w:before="37" w:line="222" w:lineRule="auto"/>
                    <w:ind w:left="173"/>
                    <w:rPr>
                      <w:sz w:val="22"/>
                      <w:szCs w:val="22"/>
                    </w:rPr>
                  </w:pPr>
                  <w:r>
                    <w:rPr>
                      <w:spacing w:val="-5"/>
                      <w:sz w:val="22"/>
                      <w:szCs w:val="22"/>
                    </w:rPr>
                    <w:t>名称</w:t>
                  </w:r>
                </w:p>
              </w:tc>
              <w:tc>
                <w:tcPr>
                  <w:tcW w:w="672" w:type="dxa"/>
                  <w:vAlign w:val="top"/>
                </w:tcPr>
                <w:p w14:paraId="2E7C47AF">
                  <w:pPr>
                    <w:pStyle w:val="6"/>
                    <w:spacing w:before="205" w:line="221" w:lineRule="auto"/>
                    <w:ind w:left="123"/>
                    <w:rPr>
                      <w:sz w:val="22"/>
                      <w:szCs w:val="22"/>
                    </w:rPr>
                  </w:pPr>
                  <w:r>
                    <w:rPr>
                      <w:spacing w:val="-5"/>
                      <w:sz w:val="22"/>
                      <w:szCs w:val="22"/>
                    </w:rPr>
                    <w:t>危险</w:t>
                  </w:r>
                </w:p>
                <w:p w14:paraId="09FAF562">
                  <w:pPr>
                    <w:pStyle w:val="6"/>
                    <w:spacing w:before="36" w:line="221" w:lineRule="auto"/>
                    <w:ind w:left="119"/>
                    <w:rPr>
                      <w:sz w:val="22"/>
                      <w:szCs w:val="22"/>
                    </w:rPr>
                  </w:pPr>
                  <w:r>
                    <w:rPr>
                      <w:spacing w:val="-3"/>
                      <w:sz w:val="22"/>
                      <w:szCs w:val="22"/>
                    </w:rPr>
                    <w:t>废物</w:t>
                  </w:r>
                </w:p>
                <w:p w14:paraId="716895ED">
                  <w:pPr>
                    <w:pStyle w:val="6"/>
                    <w:spacing w:before="36" w:line="220" w:lineRule="auto"/>
                    <w:ind w:left="120"/>
                    <w:rPr>
                      <w:sz w:val="22"/>
                      <w:szCs w:val="22"/>
                    </w:rPr>
                  </w:pPr>
                  <w:r>
                    <w:rPr>
                      <w:spacing w:val="-4"/>
                      <w:sz w:val="22"/>
                      <w:szCs w:val="22"/>
                    </w:rPr>
                    <w:t>类别</w:t>
                  </w:r>
                </w:p>
              </w:tc>
              <w:tc>
                <w:tcPr>
                  <w:tcW w:w="695" w:type="dxa"/>
                  <w:vAlign w:val="top"/>
                </w:tcPr>
                <w:p w14:paraId="7C345FA9">
                  <w:pPr>
                    <w:pStyle w:val="6"/>
                    <w:spacing w:before="205" w:line="221" w:lineRule="auto"/>
                    <w:ind w:left="135"/>
                    <w:rPr>
                      <w:sz w:val="22"/>
                      <w:szCs w:val="22"/>
                    </w:rPr>
                  </w:pPr>
                  <w:r>
                    <w:rPr>
                      <w:spacing w:val="-5"/>
                      <w:sz w:val="22"/>
                      <w:szCs w:val="22"/>
                    </w:rPr>
                    <w:t>危险</w:t>
                  </w:r>
                </w:p>
                <w:p w14:paraId="62920EEF">
                  <w:pPr>
                    <w:pStyle w:val="6"/>
                    <w:spacing w:before="36" w:line="221" w:lineRule="auto"/>
                    <w:ind w:left="131"/>
                    <w:rPr>
                      <w:sz w:val="22"/>
                      <w:szCs w:val="22"/>
                    </w:rPr>
                  </w:pPr>
                  <w:r>
                    <w:rPr>
                      <w:spacing w:val="-3"/>
                      <w:sz w:val="22"/>
                      <w:szCs w:val="22"/>
                    </w:rPr>
                    <w:t>废物</w:t>
                  </w:r>
                </w:p>
                <w:p w14:paraId="02BDB987">
                  <w:pPr>
                    <w:pStyle w:val="6"/>
                    <w:spacing w:before="36" w:line="220" w:lineRule="auto"/>
                    <w:ind w:left="131"/>
                    <w:rPr>
                      <w:sz w:val="22"/>
                      <w:szCs w:val="22"/>
                    </w:rPr>
                  </w:pPr>
                  <w:r>
                    <w:rPr>
                      <w:spacing w:val="-3"/>
                      <w:sz w:val="22"/>
                      <w:szCs w:val="22"/>
                    </w:rPr>
                    <w:t>代码</w:t>
                  </w:r>
                </w:p>
              </w:tc>
              <w:tc>
                <w:tcPr>
                  <w:tcW w:w="830" w:type="dxa"/>
                  <w:vAlign w:val="top"/>
                </w:tcPr>
                <w:p w14:paraId="1A423DF0">
                  <w:pPr>
                    <w:pStyle w:val="6"/>
                    <w:tabs>
                      <w:tab w:val="left" w:pos="749"/>
                    </w:tabs>
                    <w:spacing w:before="205" w:line="257" w:lineRule="auto"/>
                    <w:ind w:left="120" w:right="74" w:firstLine="79"/>
                    <w:jc w:val="both"/>
                    <w:rPr>
                      <w:sz w:val="22"/>
                      <w:szCs w:val="22"/>
                    </w:rPr>
                  </w:pPr>
                  <w:r>
                    <w:rPr>
                      <w:spacing w:val="-4"/>
                      <w:sz w:val="22"/>
                      <w:szCs w:val="22"/>
                    </w:rPr>
                    <w:t>产生</w:t>
                  </w:r>
                  <w:r>
                    <w:rPr>
                      <w:spacing w:val="52"/>
                      <w:w w:val="159"/>
                      <w:sz w:val="22"/>
                      <w:szCs w:val="22"/>
                    </w:rPr>
                    <w:t>量</w:t>
                  </w:r>
                  <w:r>
                    <w:rPr>
                      <w:sz w:val="22"/>
                      <w:szCs w:val="22"/>
                    </w:rPr>
                    <w:tab/>
                  </w:r>
                  <w:r>
                    <w:rPr>
                      <w:sz w:val="22"/>
                      <w:szCs w:val="22"/>
                    </w:rPr>
                    <w:t xml:space="preserve"> </w:t>
                  </w:r>
                  <w:r>
                    <w:rPr>
                      <w:spacing w:val="-6"/>
                      <w:sz w:val="22"/>
                      <w:szCs w:val="22"/>
                    </w:rPr>
                    <w:t>（</w:t>
                  </w:r>
                  <w:r>
                    <w:rPr>
                      <w:rFonts w:ascii="Times New Roman" w:hAnsi="Times New Roman" w:eastAsia="Times New Roman" w:cs="Times New Roman"/>
                      <w:spacing w:val="-6"/>
                      <w:sz w:val="22"/>
                      <w:szCs w:val="22"/>
                    </w:rPr>
                    <w:t>t/a</w:t>
                  </w:r>
                  <w:r>
                    <w:rPr>
                      <w:spacing w:val="-6"/>
                      <w:sz w:val="22"/>
                      <w:szCs w:val="22"/>
                    </w:rPr>
                    <w:t>）</w:t>
                  </w:r>
                </w:p>
              </w:tc>
              <w:tc>
                <w:tcPr>
                  <w:tcW w:w="831" w:type="dxa"/>
                  <w:vAlign w:val="top"/>
                </w:tcPr>
                <w:p w14:paraId="2203CAA8">
                  <w:pPr>
                    <w:pStyle w:val="6"/>
                    <w:spacing w:before="56" w:line="220" w:lineRule="auto"/>
                    <w:ind w:left="203"/>
                    <w:rPr>
                      <w:sz w:val="22"/>
                      <w:szCs w:val="22"/>
                    </w:rPr>
                  </w:pPr>
                  <w:r>
                    <w:rPr>
                      <w:spacing w:val="-4"/>
                      <w:sz w:val="22"/>
                      <w:szCs w:val="22"/>
                    </w:rPr>
                    <w:t>产生</w:t>
                  </w:r>
                </w:p>
                <w:p w14:paraId="0E2208D4">
                  <w:pPr>
                    <w:pStyle w:val="6"/>
                    <w:spacing w:before="37" w:line="222" w:lineRule="auto"/>
                    <w:ind w:left="206"/>
                    <w:rPr>
                      <w:sz w:val="22"/>
                      <w:szCs w:val="22"/>
                    </w:rPr>
                  </w:pPr>
                  <w:r>
                    <w:rPr>
                      <w:spacing w:val="-5"/>
                      <w:sz w:val="22"/>
                      <w:szCs w:val="22"/>
                    </w:rPr>
                    <w:t>工序</w:t>
                  </w:r>
                </w:p>
                <w:p w14:paraId="55E9C870">
                  <w:pPr>
                    <w:pStyle w:val="6"/>
                    <w:spacing w:before="35" w:line="228" w:lineRule="auto"/>
                    <w:ind w:left="311" w:right="189" w:hanging="109"/>
                    <w:rPr>
                      <w:sz w:val="22"/>
                      <w:szCs w:val="22"/>
                    </w:rPr>
                  </w:pPr>
                  <w:r>
                    <w:rPr>
                      <w:spacing w:val="-3"/>
                      <w:sz w:val="22"/>
                      <w:szCs w:val="22"/>
                    </w:rPr>
                    <w:t>及装</w:t>
                  </w:r>
                  <w:r>
                    <w:rPr>
                      <w:sz w:val="22"/>
                      <w:szCs w:val="22"/>
                    </w:rPr>
                    <w:t>置</w:t>
                  </w:r>
                </w:p>
              </w:tc>
              <w:tc>
                <w:tcPr>
                  <w:tcW w:w="518" w:type="dxa"/>
                  <w:textDirection w:val="tbRlV"/>
                  <w:vAlign w:val="top"/>
                </w:tcPr>
                <w:p w14:paraId="05D66F43">
                  <w:pPr>
                    <w:pStyle w:val="6"/>
                    <w:spacing w:before="142" w:line="211" w:lineRule="auto"/>
                    <w:ind w:left="356"/>
                    <w:rPr>
                      <w:sz w:val="22"/>
                      <w:szCs w:val="22"/>
                    </w:rPr>
                  </w:pPr>
                  <w:r>
                    <w:rPr>
                      <w:sz w:val="22"/>
                      <w:szCs w:val="22"/>
                    </w:rPr>
                    <w:t>形</w:t>
                  </w:r>
                  <w:r>
                    <w:rPr>
                      <w:spacing w:val="-31"/>
                      <w:sz w:val="22"/>
                      <w:szCs w:val="22"/>
                    </w:rPr>
                    <w:t xml:space="preserve"> </w:t>
                  </w:r>
                  <w:r>
                    <w:rPr>
                      <w:sz w:val="22"/>
                      <w:szCs w:val="22"/>
                    </w:rPr>
                    <w:t>态</w:t>
                  </w:r>
                </w:p>
              </w:tc>
              <w:tc>
                <w:tcPr>
                  <w:tcW w:w="532" w:type="dxa"/>
                  <w:textDirection w:val="tbRlV"/>
                  <w:vAlign w:val="top"/>
                </w:tcPr>
                <w:p w14:paraId="51265D6E">
                  <w:pPr>
                    <w:pStyle w:val="6"/>
                    <w:spacing w:before="149" w:line="209" w:lineRule="auto"/>
                    <w:ind w:left="56"/>
                    <w:rPr>
                      <w:sz w:val="22"/>
                      <w:szCs w:val="22"/>
                    </w:rPr>
                  </w:pPr>
                  <w:r>
                    <w:rPr>
                      <w:sz w:val="22"/>
                      <w:szCs w:val="22"/>
                    </w:rPr>
                    <w:t>主</w:t>
                  </w:r>
                  <w:r>
                    <w:rPr>
                      <w:spacing w:val="-29"/>
                      <w:sz w:val="22"/>
                      <w:szCs w:val="22"/>
                    </w:rPr>
                    <w:t xml:space="preserve"> </w:t>
                  </w:r>
                  <w:r>
                    <w:rPr>
                      <w:sz w:val="22"/>
                      <w:szCs w:val="22"/>
                    </w:rPr>
                    <w:t>要</w:t>
                  </w:r>
                  <w:r>
                    <w:rPr>
                      <w:spacing w:val="-31"/>
                      <w:sz w:val="22"/>
                      <w:szCs w:val="22"/>
                    </w:rPr>
                    <w:t xml:space="preserve"> </w:t>
                  </w:r>
                  <w:r>
                    <w:rPr>
                      <w:sz w:val="22"/>
                      <w:szCs w:val="22"/>
                    </w:rPr>
                    <w:t>成</w:t>
                  </w:r>
                  <w:r>
                    <w:rPr>
                      <w:spacing w:val="-31"/>
                      <w:sz w:val="22"/>
                      <w:szCs w:val="22"/>
                    </w:rPr>
                    <w:t xml:space="preserve"> </w:t>
                  </w:r>
                  <w:r>
                    <w:rPr>
                      <w:sz w:val="22"/>
                      <w:szCs w:val="22"/>
                    </w:rPr>
                    <w:t>分</w:t>
                  </w:r>
                </w:p>
              </w:tc>
              <w:tc>
                <w:tcPr>
                  <w:tcW w:w="518" w:type="dxa"/>
                  <w:textDirection w:val="tbRlV"/>
                  <w:vAlign w:val="top"/>
                </w:tcPr>
                <w:p w14:paraId="1CBB1BD1">
                  <w:pPr>
                    <w:pStyle w:val="6"/>
                    <w:spacing w:before="143" w:line="209" w:lineRule="auto"/>
                    <w:ind w:left="56"/>
                    <w:rPr>
                      <w:sz w:val="22"/>
                      <w:szCs w:val="22"/>
                    </w:rPr>
                  </w:pPr>
                  <w:r>
                    <w:rPr>
                      <w:sz w:val="22"/>
                      <w:szCs w:val="22"/>
                    </w:rPr>
                    <w:t>有</w:t>
                  </w:r>
                  <w:r>
                    <w:rPr>
                      <w:spacing w:val="-29"/>
                      <w:sz w:val="22"/>
                      <w:szCs w:val="22"/>
                    </w:rPr>
                    <w:t xml:space="preserve"> </w:t>
                  </w:r>
                  <w:r>
                    <w:rPr>
                      <w:sz w:val="22"/>
                      <w:szCs w:val="22"/>
                    </w:rPr>
                    <w:t>害</w:t>
                  </w:r>
                  <w:r>
                    <w:rPr>
                      <w:spacing w:val="-31"/>
                      <w:sz w:val="22"/>
                      <w:szCs w:val="22"/>
                    </w:rPr>
                    <w:t xml:space="preserve"> </w:t>
                  </w:r>
                  <w:r>
                    <w:rPr>
                      <w:sz w:val="22"/>
                      <w:szCs w:val="22"/>
                    </w:rPr>
                    <w:t>成</w:t>
                  </w:r>
                  <w:r>
                    <w:rPr>
                      <w:spacing w:val="-31"/>
                      <w:sz w:val="22"/>
                      <w:szCs w:val="22"/>
                    </w:rPr>
                    <w:t xml:space="preserve"> </w:t>
                  </w:r>
                  <w:r>
                    <w:rPr>
                      <w:sz w:val="22"/>
                      <w:szCs w:val="22"/>
                    </w:rPr>
                    <w:t>分</w:t>
                  </w:r>
                </w:p>
              </w:tc>
              <w:tc>
                <w:tcPr>
                  <w:tcW w:w="505" w:type="dxa"/>
                  <w:textDirection w:val="tbRlV"/>
                  <w:vAlign w:val="top"/>
                </w:tcPr>
                <w:p w14:paraId="563F5B23">
                  <w:pPr>
                    <w:pStyle w:val="6"/>
                    <w:spacing w:before="138" w:line="209" w:lineRule="auto"/>
                    <w:ind w:left="56"/>
                    <w:rPr>
                      <w:sz w:val="22"/>
                      <w:szCs w:val="22"/>
                    </w:rPr>
                  </w:pPr>
                  <w:r>
                    <w:rPr>
                      <w:sz w:val="22"/>
                      <w:szCs w:val="22"/>
                    </w:rPr>
                    <w:t>产</w:t>
                  </w:r>
                  <w:r>
                    <w:rPr>
                      <w:spacing w:val="-29"/>
                      <w:sz w:val="22"/>
                      <w:szCs w:val="22"/>
                    </w:rPr>
                    <w:t xml:space="preserve"> </w:t>
                  </w:r>
                  <w:r>
                    <w:rPr>
                      <w:sz w:val="22"/>
                      <w:szCs w:val="22"/>
                    </w:rPr>
                    <w:t>废</w:t>
                  </w:r>
                  <w:r>
                    <w:rPr>
                      <w:spacing w:val="-31"/>
                      <w:sz w:val="22"/>
                      <w:szCs w:val="22"/>
                    </w:rPr>
                    <w:t xml:space="preserve"> </w:t>
                  </w:r>
                  <w:r>
                    <w:rPr>
                      <w:sz w:val="22"/>
                      <w:szCs w:val="22"/>
                    </w:rPr>
                    <w:t>周</w:t>
                  </w:r>
                  <w:r>
                    <w:rPr>
                      <w:spacing w:val="-31"/>
                      <w:sz w:val="22"/>
                      <w:szCs w:val="22"/>
                    </w:rPr>
                    <w:t xml:space="preserve"> </w:t>
                  </w:r>
                  <w:r>
                    <w:rPr>
                      <w:sz w:val="22"/>
                      <w:szCs w:val="22"/>
                    </w:rPr>
                    <w:t>期</w:t>
                  </w:r>
                </w:p>
              </w:tc>
              <w:tc>
                <w:tcPr>
                  <w:tcW w:w="518" w:type="dxa"/>
                  <w:textDirection w:val="tbRlV"/>
                  <w:vAlign w:val="top"/>
                </w:tcPr>
                <w:p w14:paraId="59535B7B">
                  <w:pPr>
                    <w:pStyle w:val="6"/>
                    <w:spacing w:before="142" w:line="209" w:lineRule="auto"/>
                    <w:ind w:left="56"/>
                    <w:rPr>
                      <w:sz w:val="22"/>
                      <w:szCs w:val="22"/>
                    </w:rPr>
                  </w:pPr>
                  <w:r>
                    <w:rPr>
                      <w:sz w:val="22"/>
                      <w:szCs w:val="22"/>
                    </w:rPr>
                    <w:t>危</w:t>
                  </w:r>
                  <w:r>
                    <w:rPr>
                      <w:spacing w:val="-29"/>
                      <w:sz w:val="22"/>
                      <w:szCs w:val="22"/>
                    </w:rPr>
                    <w:t xml:space="preserve"> </w:t>
                  </w:r>
                  <w:r>
                    <w:rPr>
                      <w:sz w:val="22"/>
                      <w:szCs w:val="22"/>
                    </w:rPr>
                    <w:t>险</w:t>
                  </w:r>
                  <w:r>
                    <w:rPr>
                      <w:spacing w:val="-31"/>
                      <w:sz w:val="22"/>
                      <w:szCs w:val="22"/>
                    </w:rPr>
                    <w:t xml:space="preserve"> </w:t>
                  </w:r>
                  <w:r>
                    <w:rPr>
                      <w:sz w:val="22"/>
                      <w:szCs w:val="22"/>
                    </w:rPr>
                    <w:t>特</w:t>
                  </w:r>
                  <w:r>
                    <w:rPr>
                      <w:spacing w:val="-31"/>
                      <w:sz w:val="22"/>
                      <w:szCs w:val="22"/>
                    </w:rPr>
                    <w:t xml:space="preserve"> </w:t>
                  </w:r>
                  <w:r>
                    <w:rPr>
                      <w:sz w:val="22"/>
                      <w:szCs w:val="22"/>
                    </w:rPr>
                    <w:t>性</w:t>
                  </w:r>
                </w:p>
              </w:tc>
              <w:tc>
                <w:tcPr>
                  <w:tcW w:w="1139" w:type="dxa"/>
                  <w:vAlign w:val="top"/>
                </w:tcPr>
                <w:p w14:paraId="7A48106B">
                  <w:pPr>
                    <w:spacing w:line="283" w:lineRule="auto"/>
                    <w:rPr>
                      <w:rFonts w:ascii="Arial"/>
                      <w:sz w:val="21"/>
                    </w:rPr>
                  </w:pPr>
                </w:p>
                <w:p w14:paraId="178C68C5">
                  <w:pPr>
                    <w:pStyle w:val="6"/>
                    <w:spacing w:before="71" w:line="254" w:lineRule="auto"/>
                    <w:ind w:left="355" w:right="127" w:hanging="219"/>
                    <w:rPr>
                      <w:sz w:val="22"/>
                      <w:szCs w:val="22"/>
                    </w:rPr>
                  </w:pPr>
                  <w:r>
                    <w:rPr>
                      <w:spacing w:val="-3"/>
                      <w:sz w:val="22"/>
                      <w:szCs w:val="22"/>
                    </w:rPr>
                    <w:t>污染防治</w:t>
                  </w:r>
                  <w:r>
                    <w:rPr>
                      <w:spacing w:val="-4"/>
                      <w:sz w:val="22"/>
                      <w:szCs w:val="22"/>
                    </w:rPr>
                    <w:t>措施</w:t>
                  </w:r>
                </w:p>
              </w:tc>
            </w:tr>
            <w:tr w14:paraId="38C6F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439" w:type="dxa"/>
                  <w:vAlign w:val="top"/>
                </w:tcPr>
                <w:p w14:paraId="34EA065C">
                  <w:pPr>
                    <w:spacing w:line="267" w:lineRule="auto"/>
                    <w:rPr>
                      <w:rFonts w:ascii="Arial"/>
                      <w:sz w:val="21"/>
                    </w:rPr>
                  </w:pPr>
                </w:p>
                <w:p w14:paraId="220BF41A">
                  <w:pPr>
                    <w:spacing w:line="267" w:lineRule="auto"/>
                    <w:rPr>
                      <w:rFonts w:ascii="Arial"/>
                      <w:sz w:val="21"/>
                    </w:rPr>
                  </w:pPr>
                </w:p>
                <w:p w14:paraId="16AF4869">
                  <w:pPr>
                    <w:spacing w:line="267" w:lineRule="auto"/>
                    <w:rPr>
                      <w:rFonts w:ascii="Arial"/>
                      <w:sz w:val="21"/>
                    </w:rPr>
                  </w:pPr>
                </w:p>
                <w:p w14:paraId="24301539">
                  <w:pPr>
                    <w:spacing w:line="268" w:lineRule="auto"/>
                    <w:rPr>
                      <w:rFonts w:ascii="Arial"/>
                      <w:sz w:val="21"/>
                    </w:rPr>
                  </w:pPr>
                </w:p>
                <w:p w14:paraId="59750A4D">
                  <w:pPr>
                    <w:spacing w:before="63" w:line="189" w:lineRule="auto"/>
                    <w:ind w:left="188"/>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773" w:type="dxa"/>
                  <w:vAlign w:val="top"/>
                </w:tcPr>
                <w:p w14:paraId="27AE7F4A">
                  <w:pPr>
                    <w:spacing w:line="291" w:lineRule="auto"/>
                    <w:rPr>
                      <w:rFonts w:ascii="Arial"/>
                      <w:sz w:val="21"/>
                    </w:rPr>
                  </w:pPr>
                </w:p>
                <w:p w14:paraId="4EC56BD1">
                  <w:pPr>
                    <w:spacing w:line="292" w:lineRule="auto"/>
                    <w:rPr>
                      <w:rFonts w:ascii="Arial"/>
                      <w:sz w:val="21"/>
                    </w:rPr>
                  </w:pPr>
                </w:p>
                <w:p w14:paraId="487EB0E4">
                  <w:pPr>
                    <w:spacing w:line="292" w:lineRule="auto"/>
                    <w:rPr>
                      <w:rFonts w:ascii="Arial"/>
                      <w:sz w:val="21"/>
                    </w:rPr>
                  </w:pPr>
                </w:p>
                <w:p w14:paraId="053ED64C">
                  <w:pPr>
                    <w:pStyle w:val="6"/>
                    <w:spacing w:before="71" w:line="254" w:lineRule="auto"/>
                    <w:ind w:left="170" w:right="163"/>
                    <w:rPr>
                      <w:sz w:val="22"/>
                      <w:szCs w:val="22"/>
                    </w:rPr>
                  </w:pPr>
                  <w:r>
                    <w:rPr>
                      <w:spacing w:val="-4"/>
                      <w:sz w:val="22"/>
                      <w:szCs w:val="22"/>
                    </w:rPr>
                    <w:t>清罐</w:t>
                  </w:r>
                  <w:r>
                    <w:rPr>
                      <w:spacing w:val="-3"/>
                      <w:sz w:val="22"/>
                      <w:szCs w:val="22"/>
                    </w:rPr>
                    <w:t>废物</w:t>
                  </w:r>
                </w:p>
              </w:tc>
              <w:tc>
                <w:tcPr>
                  <w:tcW w:w="672" w:type="dxa"/>
                  <w:vAlign w:val="top"/>
                </w:tcPr>
                <w:p w14:paraId="4EEB3326">
                  <w:pPr>
                    <w:spacing w:line="308" w:lineRule="auto"/>
                    <w:rPr>
                      <w:rFonts w:ascii="Arial"/>
                      <w:sz w:val="21"/>
                    </w:rPr>
                  </w:pPr>
                </w:p>
                <w:p w14:paraId="12143D68">
                  <w:pPr>
                    <w:spacing w:line="308" w:lineRule="auto"/>
                    <w:rPr>
                      <w:rFonts w:ascii="Arial"/>
                      <w:sz w:val="21"/>
                    </w:rPr>
                  </w:pPr>
                </w:p>
                <w:p w14:paraId="0655BB3D">
                  <w:pPr>
                    <w:spacing w:line="308" w:lineRule="auto"/>
                    <w:rPr>
                      <w:rFonts w:ascii="Arial"/>
                      <w:sz w:val="21"/>
                    </w:rPr>
                  </w:pPr>
                </w:p>
                <w:p w14:paraId="4F382BC0">
                  <w:pPr>
                    <w:spacing w:before="63" w:line="186" w:lineRule="auto"/>
                    <w:ind w:left="15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HW</w:t>
                  </w:r>
                </w:p>
                <w:p w14:paraId="0048BE4A">
                  <w:pPr>
                    <w:spacing w:before="100"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08</w:t>
                  </w:r>
                </w:p>
              </w:tc>
              <w:tc>
                <w:tcPr>
                  <w:tcW w:w="695" w:type="dxa"/>
                  <w:vAlign w:val="top"/>
                </w:tcPr>
                <w:p w14:paraId="2B0F6F72">
                  <w:pPr>
                    <w:spacing w:line="256" w:lineRule="auto"/>
                    <w:rPr>
                      <w:rFonts w:ascii="Arial"/>
                      <w:sz w:val="21"/>
                    </w:rPr>
                  </w:pPr>
                </w:p>
                <w:p w14:paraId="4EA275E2">
                  <w:pPr>
                    <w:spacing w:line="257" w:lineRule="auto"/>
                    <w:rPr>
                      <w:rFonts w:ascii="Arial"/>
                      <w:sz w:val="21"/>
                    </w:rPr>
                  </w:pPr>
                </w:p>
                <w:p w14:paraId="5841A938">
                  <w:pPr>
                    <w:spacing w:line="257" w:lineRule="auto"/>
                    <w:rPr>
                      <w:rFonts w:ascii="Arial"/>
                      <w:sz w:val="21"/>
                    </w:rPr>
                  </w:pPr>
                </w:p>
                <w:p w14:paraId="0541E369">
                  <w:pPr>
                    <w:spacing w:before="64" w:line="189" w:lineRule="auto"/>
                    <w:ind w:left="15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900-</w:t>
                  </w:r>
                </w:p>
                <w:p w14:paraId="330B2C44">
                  <w:pPr>
                    <w:spacing w:before="100" w:line="189" w:lineRule="auto"/>
                    <w:ind w:left="14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221-</w:t>
                  </w:r>
                </w:p>
                <w:p w14:paraId="0DC50B77">
                  <w:pPr>
                    <w:spacing w:before="100" w:line="189" w:lineRule="auto"/>
                    <w:ind w:left="24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08</w:t>
                  </w:r>
                </w:p>
              </w:tc>
              <w:tc>
                <w:tcPr>
                  <w:tcW w:w="830" w:type="dxa"/>
                  <w:vAlign w:val="top"/>
                </w:tcPr>
                <w:p w14:paraId="12C28BB4">
                  <w:pPr>
                    <w:spacing w:line="291" w:lineRule="auto"/>
                    <w:rPr>
                      <w:rFonts w:ascii="Arial"/>
                      <w:sz w:val="21"/>
                    </w:rPr>
                  </w:pPr>
                </w:p>
                <w:p w14:paraId="39402DDB">
                  <w:pPr>
                    <w:spacing w:line="291" w:lineRule="auto"/>
                    <w:rPr>
                      <w:rFonts w:ascii="Arial"/>
                      <w:sz w:val="21"/>
                    </w:rPr>
                  </w:pPr>
                </w:p>
                <w:p w14:paraId="4728DB67">
                  <w:pPr>
                    <w:spacing w:line="292" w:lineRule="auto"/>
                    <w:rPr>
                      <w:rFonts w:ascii="Arial"/>
                      <w:sz w:val="21"/>
                    </w:rPr>
                  </w:pPr>
                </w:p>
                <w:p w14:paraId="32A3918D">
                  <w:pPr>
                    <w:pStyle w:val="6"/>
                    <w:spacing w:before="72" w:line="254" w:lineRule="auto"/>
                    <w:ind w:left="146" w:right="102" w:hanging="15"/>
                    <w:rPr>
                      <w:sz w:val="22"/>
                      <w:szCs w:val="22"/>
                    </w:rPr>
                  </w:pPr>
                  <w:r>
                    <w:rPr>
                      <w:rFonts w:ascii="Times New Roman" w:hAnsi="Times New Roman" w:eastAsia="Times New Roman" w:cs="Times New Roman"/>
                      <w:spacing w:val="-25"/>
                      <w:sz w:val="22"/>
                      <w:szCs w:val="22"/>
                    </w:rPr>
                    <w:t>1.5</w:t>
                  </w:r>
                  <w:r>
                    <w:rPr>
                      <w:spacing w:val="-25"/>
                      <w:sz w:val="22"/>
                      <w:szCs w:val="22"/>
                    </w:rPr>
                    <w:t>（每</w:t>
                  </w:r>
                  <w:r>
                    <w:rPr>
                      <w:rFonts w:ascii="Times New Roman" w:hAnsi="Times New Roman" w:eastAsia="Times New Roman" w:cs="Times New Roman"/>
                      <w:spacing w:val="-4"/>
                      <w:sz w:val="22"/>
                      <w:szCs w:val="22"/>
                    </w:rPr>
                    <w:t>5</w:t>
                  </w:r>
                  <w:r>
                    <w:rPr>
                      <w:spacing w:val="-4"/>
                      <w:sz w:val="22"/>
                      <w:szCs w:val="22"/>
                    </w:rPr>
                    <w:t>年）</w:t>
                  </w:r>
                </w:p>
              </w:tc>
              <w:tc>
                <w:tcPr>
                  <w:tcW w:w="831" w:type="dxa"/>
                  <w:vAlign w:val="top"/>
                </w:tcPr>
                <w:p w14:paraId="528786F0">
                  <w:pPr>
                    <w:spacing w:line="291" w:lineRule="auto"/>
                    <w:rPr>
                      <w:rFonts w:ascii="Arial"/>
                      <w:sz w:val="21"/>
                    </w:rPr>
                  </w:pPr>
                </w:p>
                <w:p w14:paraId="3806C5A9">
                  <w:pPr>
                    <w:spacing w:line="292" w:lineRule="auto"/>
                    <w:rPr>
                      <w:rFonts w:ascii="Arial"/>
                      <w:sz w:val="21"/>
                    </w:rPr>
                  </w:pPr>
                </w:p>
                <w:p w14:paraId="71F39C97">
                  <w:pPr>
                    <w:spacing w:line="292" w:lineRule="auto"/>
                    <w:rPr>
                      <w:rFonts w:ascii="Arial"/>
                      <w:sz w:val="21"/>
                    </w:rPr>
                  </w:pPr>
                </w:p>
                <w:p w14:paraId="6231F487">
                  <w:pPr>
                    <w:pStyle w:val="6"/>
                    <w:spacing w:before="71" w:line="254" w:lineRule="auto"/>
                    <w:ind w:left="203" w:right="189" w:firstLine="3"/>
                    <w:rPr>
                      <w:sz w:val="22"/>
                      <w:szCs w:val="22"/>
                    </w:rPr>
                  </w:pPr>
                  <w:r>
                    <w:rPr>
                      <w:spacing w:val="-6"/>
                      <w:sz w:val="22"/>
                      <w:szCs w:val="22"/>
                    </w:rPr>
                    <w:t>油罐</w:t>
                  </w:r>
                  <w:r>
                    <w:rPr>
                      <w:spacing w:val="-4"/>
                      <w:sz w:val="22"/>
                      <w:szCs w:val="22"/>
                    </w:rPr>
                    <w:t>清洗</w:t>
                  </w:r>
                </w:p>
              </w:tc>
              <w:tc>
                <w:tcPr>
                  <w:tcW w:w="518" w:type="dxa"/>
                  <w:textDirection w:val="tbRlV"/>
                  <w:vAlign w:val="top"/>
                </w:tcPr>
                <w:p w14:paraId="35BDF32D">
                  <w:pPr>
                    <w:pStyle w:val="6"/>
                    <w:spacing w:before="143" w:line="209" w:lineRule="auto"/>
                    <w:ind w:left="951"/>
                    <w:rPr>
                      <w:sz w:val="22"/>
                      <w:szCs w:val="22"/>
                    </w:rPr>
                  </w:pPr>
                  <w:r>
                    <w:rPr>
                      <w:sz w:val="22"/>
                      <w:szCs w:val="22"/>
                    </w:rPr>
                    <w:t>液</w:t>
                  </w:r>
                  <w:r>
                    <w:rPr>
                      <w:spacing w:val="-31"/>
                      <w:sz w:val="22"/>
                      <w:szCs w:val="22"/>
                    </w:rPr>
                    <w:t xml:space="preserve"> </w:t>
                  </w:r>
                  <w:r>
                    <w:rPr>
                      <w:sz w:val="22"/>
                      <w:szCs w:val="22"/>
                    </w:rPr>
                    <w:t>态</w:t>
                  </w:r>
                </w:p>
              </w:tc>
              <w:tc>
                <w:tcPr>
                  <w:tcW w:w="532" w:type="dxa"/>
                  <w:textDirection w:val="tbRlV"/>
                  <w:vAlign w:val="top"/>
                </w:tcPr>
                <w:p w14:paraId="5E60100B">
                  <w:pPr>
                    <w:pStyle w:val="6"/>
                    <w:spacing w:before="149" w:line="209" w:lineRule="auto"/>
                    <w:ind w:left="803"/>
                    <w:rPr>
                      <w:sz w:val="22"/>
                      <w:szCs w:val="22"/>
                    </w:rPr>
                  </w:pPr>
                  <w:r>
                    <w:rPr>
                      <w:sz w:val="22"/>
                      <w:szCs w:val="22"/>
                    </w:rPr>
                    <w:t>矿</w:t>
                  </w:r>
                  <w:r>
                    <w:rPr>
                      <w:spacing w:val="-30"/>
                      <w:sz w:val="22"/>
                      <w:szCs w:val="22"/>
                    </w:rPr>
                    <w:t xml:space="preserve"> </w:t>
                  </w:r>
                  <w:r>
                    <w:rPr>
                      <w:sz w:val="22"/>
                      <w:szCs w:val="22"/>
                    </w:rPr>
                    <w:t>物</w:t>
                  </w:r>
                  <w:r>
                    <w:rPr>
                      <w:spacing w:val="-31"/>
                      <w:sz w:val="22"/>
                      <w:szCs w:val="22"/>
                    </w:rPr>
                    <w:t xml:space="preserve"> </w:t>
                  </w:r>
                  <w:r>
                    <w:rPr>
                      <w:sz w:val="22"/>
                      <w:szCs w:val="22"/>
                    </w:rPr>
                    <w:t>油</w:t>
                  </w:r>
                </w:p>
              </w:tc>
              <w:tc>
                <w:tcPr>
                  <w:tcW w:w="518" w:type="dxa"/>
                  <w:textDirection w:val="tbRlV"/>
                  <w:vAlign w:val="top"/>
                </w:tcPr>
                <w:p w14:paraId="2AD4D323">
                  <w:pPr>
                    <w:pStyle w:val="6"/>
                    <w:spacing w:before="144" w:line="209" w:lineRule="auto"/>
                    <w:ind w:left="803"/>
                    <w:rPr>
                      <w:sz w:val="22"/>
                      <w:szCs w:val="22"/>
                    </w:rPr>
                  </w:pPr>
                  <w:r>
                    <w:rPr>
                      <w:sz w:val="22"/>
                      <w:szCs w:val="22"/>
                    </w:rPr>
                    <w:t>矿</w:t>
                  </w:r>
                  <w:r>
                    <w:rPr>
                      <w:spacing w:val="-30"/>
                      <w:sz w:val="22"/>
                      <w:szCs w:val="22"/>
                    </w:rPr>
                    <w:t xml:space="preserve"> </w:t>
                  </w:r>
                  <w:r>
                    <w:rPr>
                      <w:sz w:val="22"/>
                      <w:szCs w:val="22"/>
                    </w:rPr>
                    <w:t>物</w:t>
                  </w:r>
                  <w:r>
                    <w:rPr>
                      <w:spacing w:val="-31"/>
                      <w:sz w:val="22"/>
                      <w:szCs w:val="22"/>
                    </w:rPr>
                    <w:t xml:space="preserve"> </w:t>
                  </w:r>
                  <w:r>
                    <w:rPr>
                      <w:sz w:val="22"/>
                      <w:szCs w:val="22"/>
                    </w:rPr>
                    <w:t>油</w:t>
                  </w:r>
                </w:p>
              </w:tc>
              <w:tc>
                <w:tcPr>
                  <w:tcW w:w="505" w:type="dxa"/>
                  <w:vAlign w:val="top"/>
                </w:tcPr>
                <w:p w14:paraId="14ED4EC7">
                  <w:pPr>
                    <w:spacing w:line="242" w:lineRule="auto"/>
                    <w:rPr>
                      <w:rFonts w:ascii="Arial"/>
                      <w:sz w:val="21"/>
                    </w:rPr>
                  </w:pPr>
                </w:p>
                <w:p w14:paraId="0E9993B3">
                  <w:pPr>
                    <w:spacing w:line="242" w:lineRule="auto"/>
                    <w:rPr>
                      <w:rFonts w:ascii="Arial"/>
                      <w:sz w:val="21"/>
                    </w:rPr>
                  </w:pPr>
                </w:p>
                <w:p w14:paraId="7D18E8A9">
                  <w:pPr>
                    <w:spacing w:line="243" w:lineRule="auto"/>
                    <w:rPr>
                      <w:rFonts w:ascii="Arial"/>
                      <w:sz w:val="21"/>
                    </w:rPr>
                  </w:pPr>
                </w:p>
                <w:p w14:paraId="39318943">
                  <w:pPr>
                    <w:pStyle w:val="6"/>
                    <w:spacing w:before="71" w:line="280" w:lineRule="auto"/>
                    <w:ind w:left="149" w:right="138"/>
                    <w:jc w:val="both"/>
                    <w:rPr>
                      <w:sz w:val="22"/>
                      <w:szCs w:val="22"/>
                    </w:rPr>
                  </w:pPr>
                  <w:r>
                    <w:rPr>
                      <w:spacing w:val="-8"/>
                      <w:sz w:val="22"/>
                      <w:szCs w:val="22"/>
                    </w:rPr>
                    <w:t>每</w:t>
                  </w:r>
                  <w:r>
                    <w:rPr>
                      <w:rFonts w:ascii="Times New Roman" w:hAnsi="Times New Roman" w:eastAsia="Times New Roman" w:cs="Times New Roman"/>
                      <w:spacing w:val="21"/>
                      <w:w w:val="122"/>
                      <w:sz w:val="22"/>
                      <w:szCs w:val="22"/>
                    </w:rPr>
                    <w:t>5</w:t>
                  </w:r>
                  <w:r>
                    <w:rPr>
                      <w:spacing w:val="-9"/>
                      <w:sz w:val="22"/>
                      <w:szCs w:val="22"/>
                    </w:rPr>
                    <w:t>年</w:t>
                  </w:r>
                </w:p>
              </w:tc>
              <w:tc>
                <w:tcPr>
                  <w:tcW w:w="518" w:type="dxa"/>
                  <w:vAlign w:val="top"/>
                </w:tcPr>
                <w:p w14:paraId="06F4B6E8">
                  <w:pPr>
                    <w:spacing w:line="305" w:lineRule="auto"/>
                    <w:rPr>
                      <w:rFonts w:ascii="Arial"/>
                      <w:sz w:val="21"/>
                    </w:rPr>
                  </w:pPr>
                </w:p>
                <w:p w14:paraId="1BF775C8">
                  <w:pPr>
                    <w:spacing w:line="305" w:lineRule="auto"/>
                    <w:rPr>
                      <w:rFonts w:ascii="Arial"/>
                      <w:sz w:val="21"/>
                    </w:rPr>
                  </w:pPr>
                </w:p>
                <w:p w14:paraId="24168731">
                  <w:pPr>
                    <w:spacing w:line="306" w:lineRule="auto"/>
                    <w:rPr>
                      <w:rFonts w:ascii="Arial"/>
                      <w:sz w:val="21"/>
                    </w:rPr>
                  </w:pPr>
                </w:p>
                <w:p w14:paraId="5DCF448D">
                  <w:pPr>
                    <w:pStyle w:val="6"/>
                    <w:spacing w:before="71" w:line="178" w:lineRule="auto"/>
                    <w:ind w:left="115"/>
                    <w:rPr>
                      <w:sz w:val="22"/>
                      <w:szCs w:val="22"/>
                    </w:rPr>
                  </w:pPr>
                  <w:r>
                    <w:rPr>
                      <w:rFonts w:ascii="Times New Roman" w:hAnsi="Times New Roman" w:eastAsia="Times New Roman" w:cs="Times New Roman"/>
                      <w:spacing w:val="-4"/>
                      <w:sz w:val="22"/>
                      <w:szCs w:val="22"/>
                    </w:rPr>
                    <w:t>T</w:t>
                  </w:r>
                  <w:r>
                    <w:rPr>
                      <w:spacing w:val="-4"/>
                      <w:sz w:val="22"/>
                      <w:szCs w:val="22"/>
                    </w:rPr>
                    <w:t>，</w:t>
                  </w:r>
                </w:p>
                <w:p w14:paraId="4B9F0DBB">
                  <w:pPr>
                    <w:spacing w:before="87" w:line="186" w:lineRule="auto"/>
                    <w:ind w:left="226"/>
                    <w:rPr>
                      <w:rFonts w:ascii="Times New Roman" w:hAnsi="Times New Roman" w:eastAsia="Times New Roman" w:cs="Times New Roman"/>
                      <w:sz w:val="22"/>
                      <w:szCs w:val="22"/>
                    </w:rPr>
                  </w:pPr>
                  <w:r>
                    <w:rPr>
                      <w:rFonts w:ascii="Times New Roman" w:hAnsi="Times New Roman" w:eastAsia="Times New Roman" w:cs="Times New Roman"/>
                      <w:sz w:val="22"/>
                      <w:szCs w:val="22"/>
                    </w:rPr>
                    <w:t>I</w:t>
                  </w:r>
                </w:p>
              </w:tc>
              <w:tc>
                <w:tcPr>
                  <w:tcW w:w="1139" w:type="dxa"/>
                  <w:vAlign w:val="top"/>
                </w:tcPr>
                <w:p w14:paraId="36A9D473">
                  <w:pPr>
                    <w:pStyle w:val="6"/>
                    <w:spacing w:before="51" w:line="252" w:lineRule="auto"/>
                    <w:ind w:left="136" w:right="124" w:firstLine="113"/>
                    <w:rPr>
                      <w:sz w:val="22"/>
                      <w:szCs w:val="22"/>
                    </w:rPr>
                  </w:pPr>
                  <w:r>
                    <w:rPr>
                      <w:spacing w:val="-5"/>
                      <w:sz w:val="22"/>
                      <w:szCs w:val="22"/>
                    </w:rPr>
                    <w:t>定期清</w:t>
                  </w:r>
                  <w:r>
                    <w:rPr>
                      <w:spacing w:val="-2"/>
                      <w:sz w:val="22"/>
                      <w:szCs w:val="22"/>
                    </w:rPr>
                    <w:t>罐，当日</w:t>
                  </w:r>
                </w:p>
                <w:p w14:paraId="197BE9B9">
                  <w:pPr>
                    <w:pStyle w:val="6"/>
                    <w:spacing w:before="1" w:line="220" w:lineRule="auto"/>
                    <w:ind w:left="161"/>
                    <w:rPr>
                      <w:sz w:val="22"/>
                      <w:szCs w:val="22"/>
                    </w:rPr>
                  </w:pPr>
                  <w:r>
                    <w:rPr>
                      <w:spacing w:val="-9"/>
                      <w:sz w:val="22"/>
                      <w:szCs w:val="22"/>
                    </w:rPr>
                    <w:t>由危废资</w:t>
                  </w:r>
                </w:p>
                <w:p w14:paraId="1649F24D">
                  <w:pPr>
                    <w:pStyle w:val="6"/>
                    <w:spacing w:before="36" w:line="221" w:lineRule="auto"/>
                    <w:ind w:left="135"/>
                    <w:rPr>
                      <w:sz w:val="22"/>
                      <w:szCs w:val="22"/>
                    </w:rPr>
                  </w:pPr>
                  <w:r>
                    <w:rPr>
                      <w:spacing w:val="-3"/>
                      <w:sz w:val="22"/>
                      <w:szCs w:val="22"/>
                    </w:rPr>
                    <w:t>质单位统</w:t>
                  </w:r>
                </w:p>
                <w:p w14:paraId="0EB3798E">
                  <w:pPr>
                    <w:pStyle w:val="6"/>
                    <w:spacing w:before="36" w:line="221" w:lineRule="auto"/>
                    <w:ind w:left="137"/>
                    <w:rPr>
                      <w:sz w:val="22"/>
                      <w:szCs w:val="22"/>
                    </w:rPr>
                  </w:pPr>
                  <w:r>
                    <w:rPr>
                      <w:spacing w:val="-3"/>
                      <w:sz w:val="22"/>
                      <w:szCs w:val="22"/>
                    </w:rPr>
                    <w:t>一清运处</w:t>
                  </w:r>
                </w:p>
                <w:p w14:paraId="352FCFF8">
                  <w:pPr>
                    <w:pStyle w:val="6"/>
                    <w:spacing w:before="36" w:line="220" w:lineRule="auto"/>
                    <w:ind w:left="132"/>
                    <w:rPr>
                      <w:sz w:val="22"/>
                      <w:szCs w:val="22"/>
                    </w:rPr>
                  </w:pPr>
                  <w:r>
                    <w:rPr>
                      <w:spacing w:val="-2"/>
                      <w:sz w:val="22"/>
                      <w:szCs w:val="22"/>
                    </w:rPr>
                    <w:t>置，站内</w:t>
                  </w:r>
                </w:p>
                <w:p w14:paraId="1E3B025A">
                  <w:pPr>
                    <w:pStyle w:val="6"/>
                    <w:spacing w:before="38" w:line="221" w:lineRule="auto"/>
                    <w:ind w:left="137"/>
                    <w:rPr>
                      <w:sz w:val="22"/>
                      <w:szCs w:val="22"/>
                    </w:rPr>
                  </w:pPr>
                  <w:r>
                    <w:rPr>
                      <w:spacing w:val="-3"/>
                      <w:sz w:val="22"/>
                      <w:szCs w:val="22"/>
                    </w:rPr>
                    <w:t>不进行暂</w:t>
                  </w:r>
                </w:p>
                <w:p w14:paraId="63416DF5">
                  <w:pPr>
                    <w:pStyle w:val="6"/>
                    <w:spacing w:before="37" w:line="203" w:lineRule="auto"/>
                    <w:ind w:left="133"/>
                    <w:rPr>
                      <w:sz w:val="22"/>
                      <w:szCs w:val="22"/>
                    </w:rPr>
                  </w:pPr>
                  <w:r>
                    <w:rPr>
                      <w:spacing w:val="-2"/>
                      <w:sz w:val="22"/>
                      <w:szCs w:val="22"/>
                    </w:rPr>
                    <w:t>存和处置</w:t>
                  </w:r>
                </w:p>
              </w:tc>
            </w:tr>
            <w:tr w14:paraId="2107C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3" w:hRule="atLeast"/>
              </w:trPr>
              <w:tc>
                <w:tcPr>
                  <w:tcW w:w="439" w:type="dxa"/>
                  <w:vAlign w:val="top"/>
                </w:tcPr>
                <w:p w14:paraId="03040054">
                  <w:pPr>
                    <w:spacing w:line="273" w:lineRule="auto"/>
                    <w:rPr>
                      <w:rFonts w:ascii="Arial"/>
                      <w:sz w:val="21"/>
                    </w:rPr>
                  </w:pPr>
                </w:p>
                <w:p w14:paraId="044D8545">
                  <w:pPr>
                    <w:spacing w:line="273" w:lineRule="auto"/>
                    <w:rPr>
                      <w:rFonts w:ascii="Arial"/>
                      <w:sz w:val="21"/>
                    </w:rPr>
                  </w:pPr>
                </w:p>
                <w:p w14:paraId="47A48E7E">
                  <w:pPr>
                    <w:spacing w:line="273" w:lineRule="auto"/>
                    <w:rPr>
                      <w:rFonts w:ascii="Arial"/>
                      <w:sz w:val="21"/>
                    </w:rPr>
                  </w:pPr>
                </w:p>
                <w:p w14:paraId="17A848A4">
                  <w:pPr>
                    <w:spacing w:line="274" w:lineRule="auto"/>
                    <w:rPr>
                      <w:rFonts w:ascii="Arial"/>
                      <w:sz w:val="21"/>
                    </w:rPr>
                  </w:pPr>
                </w:p>
                <w:p w14:paraId="64BE6315">
                  <w:pPr>
                    <w:spacing w:line="274" w:lineRule="auto"/>
                    <w:rPr>
                      <w:rFonts w:ascii="Arial"/>
                      <w:sz w:val="21"/>
                    </w:rPr>
                  </w:pPr>
                </w:p>
                <w:p w14:paraId="45178044">
                  <w:pPr>
                    <w:spacing w:before="64" w:line="189" w:lineRule="auto"/>
                    <w:ind w:left="167"/>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773" w:type="dxa"/>
                  <w:vAlign w:val="top"/>
                </w:tcPr>
                <w:p w14:paraId="5E93069A">
                  <w:pPr>
                    <w:spacing w:line="256" w:lineRule="auto"/>
                    <w:rPr>
                      <w:rFonts w:ascii="Arial"/>
                      <w:sz w:val="21"/>
                    </w:rPr>
                  </w:pPr>
                </w:p>
                <w:p w14:paraId="31DF5D47">
                  <w:pPr>
                    <w:spacing w:line="257" w:lineRule="auto"/>
                    <w:rPr>
                      <w:rFonts w:ascii="Arial"/>
                      <w:sz w:val="21"/>
                    </w:rPr>
                  </w:pPr>
                </w:p>
                <w:p w14:paraId="19D3037F">
                  <w:pPr>
                    <w:spacing w:line="257" w:lineRule="auto"/>
                    <w:rPr>
                      <w:rFonts w:ascii="Arial"/>
                      <w:sz w:val="21"/>
                    </w:rPr>
                  </w:pPr>
                </w:p>
                <w:p w14:paraId="53C0ADC1">
                  <w:pPr>
                    <w:spacing w:line="257" w:lineRule="auto"/>
                    <w:rPr>
                      <w:rFonts w:ascii="Arial"/>
                      <w:sz w:val="21"/>
                    </w:rPr>
                  </w:pPr>
                </w:p>
                <w:p w14:paraId="3A92B09C">
                  <w:pPr>
                    <w:pStyle w:val="6"/>
                    <w:spacing w:before="71" w:line="253" w:lineRule="auto"/>
                    <w:ind w:left="170" w:right="163" w:firstLine="4"/>
                    <w:jc w:val="both"/>
                    <w:rPr>
                      <w:sz w:val="22"/>
                      <w:szCs w:val="22"/>
                    </w:rPr>
                  </w:pPr>
                  <w:r>
                    <w:rPr>
                      <w:spacing w:val="-6"/>
                      <w:sz w:val="22"/>
                      <w:szCs w:val="22"/>
                    </w:rPr>
                    <w:t>设备</w:t>
                  </w:r>
                  <w:r>
                    <w:rPr>
                      <w:spacing w:val="-3"/>
                      <w:sz w:val="22"/>
                      <w:szCs w:val="22"/>
                    </w:rPr>
                    <w:t>检修废物</w:t>
                  </w:r>
                </w:p>
              </w:tc>
              <w:tc>
                <w:tcPr>
                  <w:tcW w:w="672" w:type="dxa"/>
                  <w:vAlign w:val="top"/>
                </w:tcPr>
                <w:p w14:paraId="03926627">
                  <w:pPr>
                    <w:spacing w:line="244" w:lineRule="auto"/>
                    <w:rPr>
                      <w:rFonts w:ascii="Arial"/>
                      <w:sz w:val="21"/>
                    </w:rPr>
                  </w:pPr>
                </w:p>
                <w:p w14:paraId="36DD81E6">
                  <w:pPr>
                    <w:spacing w:line="244" w:lineRule="auto"/>
                    <w:rPr>
                      <w:rFonts w:ascii="Arial"/>
                      <w:sz w:val="21"/>
                    </w:rPr>
                  </w:pPr>
                </w:p>
                <w:p w14:paraId="6C701D21">
                  <w:pPr>
                    <w:spacing w:line="244" w:lineRule="auto"/>
                    <w:rPr>
                      <w:rFonts w:ascii="Arial"/>
                      <w:sz w:val="21"/>
                    </w:rPr>
                  </w:pPr>
                </w:p>
                <w:p w14:paraId="5CAF9DE1">
                  <w:pPr>
                    <w:spacing w:line="245" w:lineRule="auto"/>
                    <w:rPr>
                      <w:rFonts w:ascii="Arial"/>
                      <w:sz w:val="21"/>
                    </w:rPr>
                  </w:pPr>
                </w:p>
                <w:p w14:paraId="5768EB90">
                  <w:pPr>
                    <w:spacing w:line="245" w:lineRule="auto"/>
                    <w:rPr>
                      <w:rFonts w:ascii="Arial"/>
                      <w:sz w:val="21"/>
                    </w:rPr>
                  </w:pPr>
                </w:p>
                <w:p w14:paraId="26509060">
                  <w:pPr>
                    <w:spacing w:before="64" w:line="186" w:lineRule="auto"/>
                    <w:ind w:left="15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HW</w:t>
                  </w:r>
                </w:p>
                <w:p w14:paraId="48AB2BC3">
                  <w:pPr>
                    <w:spacing w:before="100"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08</w:t>
                  </w:r>
                </w:p>
              </w:tc>
              <w:tc>
                <w:tcPr>
                  <w:tcW w:w="695" w:type="dxa"/>
                  <w:vAlign w:val="top"/>
                </w:tcPr>
                <w:p w14:paraId="3A87B481">
                  <w:pPr>
                    <w:spacing w:line="267" w:lineRule="auto"/>
                    <w:rPr>
                      <w:rFonts w:ascii="Arial"/>
                      <w:sz w:val="21"/>
                    </w:rPr>
                  </w:pPr>
                </w:p>
                <w:p w14:paraId="39395B71">
                  <w:pPr>
                    <w:spacing w:line="267" w:lineRule="auto"/>
                    <w:rPr>
                      <w:rFonts w:ascii="Arial"/>
                      <w:sz w:val="21"/>
                    </w:rPr>
                  </w:pPr>
                </w:p>
                <w:p w14:paraId="4A15EF64">
                  <w:pPr>
                    <w:spacing w:line="267" w:lineRule="auto"/>
                    <w:rPr>
                      <w:rFonts w:ascii="Arial"/>
                      <w:sz w:val="21"/>
                    </w:rPr>
                  </w:pPr>
                </w:p>
                <w:p w14:paraId="18D821CF">
                  <w:pPr>
                    <w:spacing w:line="268" w:lineRule="auto"/>
                    <w:rPr>
                      <w:rFonts w:ascii="Arial"/>
                      <w:sz w:val="21"/>
                    </w:rPr>
                  </w:pPr>
                </w:p>
                <w:p w14:paraId="1389B669">
                  <w:pPr>
                    <w:spacing w:before="63" w:line="189" w:lineRule="auto"/>
                    <w:ind w:left="15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900-</w:t>
                  </w:r>
                </w:p>
                <w:p w14:paraId="40D7637F">
                  <w:pPr>
                    <w:spacing w:before="100" w:line="189" w:lineRule="auto"/>
                    <w:ind w:left="14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249-</w:t>
                  </w:r>
                </w:p>
                <w:p w14:paraId="720AF260">
                  <w:pPr>
                    <w:spacing w:before="100" w:line="189" w:lineRule="auto"/>
                    <w:ind w:left="24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08</w:t>
                  </w:r>
                </w:p>
              </w:tc>
              <w:tc>
                <w:tcPr>
                  <w:tcW w:w="830" w:type="dxa"/>
                  <w:vAlign w:val="top"/>
                </w:tcPr>
                <w:p w14:paraId="4D2B09FF">
                  <w:pPr>
                    <w:spacing w:line="273" w:lineRule="auto"/>
                    <w:rPr>
                      <w:rFonts w:ascii="Arial"/>
                      <w:sz w:val="21"/>
                    </w:rPr>
                  </w:pPr>
                </w:p>
                <w:p w14:paraId="4C68B076">
                  <w:pPr>
                    <w:spacing w:line="273" w:lineRule="auto"/>
                    <w:rPr>
                      <w:rFonts w:ascii="Arial"/>
                      <w:sz w:val="21"/>
                    </w:rPr>
                  </w:pPr>
                </w:p>
                <w:p w14:paraId="18E0E481">
                  <w:pPr>
                    <w:spacing w:line="273" w:lineRule="auto"/>
                    <w:rPr>
                      <w:rFonts w:ascii="Arial"/>
                      <w:sz w:val="21"/>
                    </w:rPr>
                  </w:pPr>
                </w:p>
                <w:p w14:paraId="22CE4FE7">
                  <w:pPr>
                    <w:spacing w:line="274" w:lineRule="auto"/>
                    <w:rPr>
                      <w:rFonts w:ascii="Arial"/>
                      <w:sz w:val="21"/>
                    </w:rPr>
                  </w:pPr>
                </w:p>
                <w:p w14:paraId="2B67B67E">
                  <w:pPr>
                    <w:spacing w:line="274" w:lineRule="auto"/>
                    <w:rPr>
                      <w:rFonts w:ascii="Arial"/>
                      <w:sz w:val="21"/>
                    </w:rPr>
                  </w:pPr>
                </w:p>
                <w:p w14:paraId="2C7F8876">
                  <w:pPr>
                    <w:spacing w:before="63" w:line="189" w:lineRule="auto"/>
                    <w:ind w:left="28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0.4</w:t>
                  </w:r>
                </w:p>
              </w:tc>
              <w:tc>
                <w:tcPr>
                  <w:tcW w:w="831" w:type="dxa"/>
                  <w:vAlign w:val="top"/>
                </w:tcPr>
                <w:p w14:paraId="5433B877">
                  <w:pPr>
                    <w:spacing w:line="287" w:lineRule="auto"/>
                    <w:rPr>
                      <w:rFonts w:ascii="Arial"/>
                      <w:sz w:val="21"/>
                    </w:rPr>
                  </w:pPr>
                </w:p>
                <w:p w14:paraId="240C0621">
                  <w:pPr>
                    <w:spacing w:line="287" w:lineRule="auto"/>
                    <w:rPr>
                      <w:rFonts w:ascii="Arial"/>
                      <w:sz w:val="21"/>
                    </w:rPr>
                  </w:pPr>
                </w:p>
                <w:p w14:paraId="37F96C95">
                  <w:pPr>
                    <w:pStyle w:val="6"/>
                    <w:spacing w:before="71" w:line="253" w:lineRule="auto"/>
                    <w:ind w:left="113" w:right="102" w:firstLine="89"/>
                    <w:jc w:val="both"/>
                    <w:rPr>
                      <w:sz w:val="22"/>
                      <w:szCs w:val="22"/>
                    </w:rPr>
                  </w:pPr>
                  <w:r>
                    <w:rPr>
                      <w:spacing w:val="-4"/>
                      <w:sz w:val="22"/>
                      <w:szCs w:val="22"/>
                    </w:rPr>
                    <w:t>加油</w:t>
                  </w:r>
                  <w:r>
                    <w:rPr>
                      <w:spacing w:val="-17"/>
                      <w:sz w:val="22"/>
                      <w:szCs w:val="22"/>
                    </w:rPr>
                    <w:t>机、管</w:t>
                  </w:r>
                  <w:r>
                    <w:rPr>
                      <w:spacing w:val="41"/>
                      <w:sz w:val="22"/>
                      <w:szCs w:val="22"/>
                    </w:rPr>
                    <w:t>线等设备检修维护</w:t>
                  </w:r>
                </w:p>
              </w:tc>
              <w:tc>
                <w:tcPr>
                  <w:tcW w:w="518" w:type="dxa"/>
                  <w:vAlign w:val="top"/>
                </w:tcPr>
                <w:p w14:paraId="6573D45F">
                  <w:pPr>
                    <w:spacing w:line="291" w:lineRule="auto"/>
                    <w:rPr>
                      <w:rFonts w:ascii="Arial"/>
                      <w:sz w:val="21"/>
                    </w:rPr>
                  </w:pPr>
                </w:p>
                <w:p w14:paraId="26B4EE66">
                  <w:pPr>
                    <w:spacing w:line="292" w:lineRule="auto"/>
                    <w:rPr>
                      <w:rFonts w:ascii="Arial"/>
                      <w:sz w:val="21"/>
                    </w:rPr>
                  </w:pPr>
                </w:p>
                <w:p w14:paraId="58883D6E">
                  <w:pPr>
                    <w:spacing w:line="292" w:lineRule="auto"/>
                    <w:rPr>
                      <w:rFonts w:ascii="Arial"/>
                      <w:sz w:val="21"/>
                    </w:rPr>
                  </w:pPr>
                </w:p>
                <w:p w14:paraId="390E129B">
                  <w:pPr>
                    <w:pStyle w:val="6"/>
                    <w:spacing w:before="72" w:line="254" w:lineRule="auto"/>
                    <w:ind w:left="126" w:right="112" w:firstLine="50"/>
                    <w:jc w:val="both"/>
                    <w:rPr>
                      <w:sz w:val="22"/>
                      <w:szCs w:val="22"/>
                    </w:rPr>
                  </w:pPr>
                  <w:r>
                    <w:rPr>
                      <w:spacing w:val="-27"/>
                      <w:sz w:val="22"/>
                      <w:szCs w:val="22"/>
                    </w:rPr>
                    <w:t>固</w:t>
                  </w:r>
                  <w:r>
                    <w:rPr>
                      <w:spacing w:val="-4"/>
                      <w:sz w:val="22"/>
                      <w:szCs w:val="22"/>
                    </w:rPr>
                    <w:t>体</w:t>
                  </w:r>
                  <w:r>
                    <w:rPr>
                      <w:rFonts w:ascii="Times New Roman" w:hAnsi="Times New Roman" w:eastAsia="Times New Roman" w:cs="Times New Roman"/>
                      <w:spacing w:val="-4"/>
                      <w:sz w:val="22"/>
                      <w:szCs w:val="22"/>
                    </w:rPr>
                    <w:t>/</w:t>
                  </w:r>
                  <w:r>
                    <w:rPr>
                      <w:spacing w:val="23"/>
                      <w:sz w:val="22"/>
                      <w:szCs w:val="22"/>
                    </w:rPr>
                    <w:t>液态</w:t>
                  </w:r>
                </w:p>
              </w:tc>
              <w:tc>
                <w:tcPr>
                  <w:tcW w:w="532" w:type="dxa"/>
                  <w:textDirection w:val="tbRlV"/>
                  <w:vAlign w:val="top"/>
                </w:tcPr>
                <w:p w14:paraId="2D26B3F1">
                  <w:pPr>
                    <w:pStyle w:val="6"/>
                    <w:spacing w:before="149" w:line="209" w:lineRule="auto"/>
                    <w:ind w:left="1103"/>
                    <w:rPr>
                      <w:sz w:val="22"/>
                      <w:szCs w:val="22"/>
                    </w:rPr>
                  </w:pPr>
                  <w:r>
                    <w:rPr>
                      <w:sz w:val="22"/>
                      <w:szCs w:val="22"/>
                    </w:rPr>
                    <w:t>矿</w:t>
                  </w:r>
                  <w:r>
                    <w:rPr>
                      <w:spacing w:val="-30"/>
                      <w:sz w:val="22"/>
                      <w:szCs w:val="22"/>
                    </w:rPr>
                    <w:t xml:space="preserve"> </w:t>
                  </w:r>
                  <w:r>
                    <w:rPr>
                      <w:sz w:val="22"/>
                      <w:szCs w:val="22"/>
                    </w:rPr>
                    <w:t>物</w:t>
                  </w:r>
                  <w:r>
                    <w:rPr>
                      <w:spacing w:val="-31"/>
                      <w:sz w:val="22"/>
                      <w:szCs w:val="22"/>
                    </w:rPr>
                    <w:t xml:space="preserve"> </w:t>
                  </w:r>
                  <w:r>
                    <w:rPr>
                      <w:sz w:val="22"/>
                      <w:szCs w:val="22"/>
                    </w:rPr>
                    <w:t>油</w:t>
                  </w:r>
                </w:p>
              </w:tc>
              <w:tc>
                <w:tcPr>
                  <w:tcW w:w="518" w:type="dxa"/>
                  <w:textDirection w:val="tbRlV"/>
                  <w:vAlign w:val="top"/>
                </w:tcPr>
                <w:p w14:paraId="5563B684">
                  <w:pPr>
                    <w:pStyle w:val="6"/>
                    <w:spacing w:before="144" w:line="209" w:lineRule="auto"/>
                    <w:ind w:left="1103"/>
                    <w:rPr>
                      <w:sz w:val="22"/>
                      <w:szCs w:val="22"/>
                    </w:rPr>
                  </w:pPr>
                  <w:r>
                    <w:rPr>
                      <w:sz w:val="22"/>
                      <w:szCs w:val="22"/>
                    </w:rPr>
                    <w:t>矿</w:t>
                  </w:r>
                  <w:r>
                    <w:rPr>
                      <w:spacing w:val="-30"/>
                      <w:sz w:val="22"/>
                      <w:szCs w:val="22"/>
                    </w:rPr>
                    <w:t xml:space="preserve"> </w:t>
                  </w:r>
                  <w:r>
                    <w:rPr>
                      <w:sz w:val="22"/>
                      <w:szCs w:val="22"/>
                    </w:rPr>
                    <w:t>物</w:t>
                  </w:r>
                  <w:r>
                    <w:rPr>
                      <w:spacing w:val="-31"/>
                      <w:sz w:val="22"/>
                      <w:szCs w:val="22"/>
                    </w:rPr>
                    <w:t xml:space="preserve"> </w:t>
                  </w:r>
                  <w:r>
                    <w:rPr>
                      <w:sz w:val="22"/>
                      <w:szCs w:val="22"/>
                    </w:rPr>
                    <w:t>油</w:t>
                  </w:r>
                </w:p>
              </w:tc>
              <w:tc>
                <w:tcPr>
                  <w:tcW w:w="505" w:type="dxa"/>
                  <w:vAlign w:val="top"/>
                </w:tcPr>
                <w:p w14:paraId="2A02178D">
                  <w:pPr>
                    <w:spacing w:line="292" w:lineRule="auto"/>
                    <w:rPr>
                      <w:rFonts w:ascii="Arial"/>
                      <w:sz w:val="21"/>
                    </w:rPr>
                  </w:pPr>
                </w:p>
                <w:p w14:paraId="0D8D9518">
                  <w:pPr>
                    <w:spacing w:line="292" w:lineRule="auto"/>
                    <w:rPr>
                      <w:rFonts w:ascii="Arial"/>
                      <w:sz w:val="21"/>
                    </w:rPr>
                  </w:pPr>
                </w:p>
                <w:p w14:paraId="1BB4DE16">
                  <w:pPr>
                    <w:spacing w:line="292" w:lineRule="auto"/>
                    <w:rPr>
                      <w:rFonts w:ascii="Arial"/>
                      <w:sz w:val="21"/>
                    </w:rPr>
                  </w:pPr>
                </w:p>
                <w:p w14:paraId="6024D8A7">
                  <w:pPr>
                    <w:pStyle w:val="6"/>
                    <w:spacing w:before="71" w:line="268" w:lineRule="auto"/>
                    <w:ind w:left="149" w:right="138"/>
                    <w:jc w:val="both"/>
                    <w:rPr>
                      <w:sz w:val="22"/>
                      <w:szCs w:val="22"/>
                    </w:rPr>
                  </w:pPr>
                  <w:r>
                    <w:rPr>
                      <w:spacing w:val="-8"/>
                      <w:sz w:val="22"/>
                      <w:szCs w:val="22"/>
                    </w:rPr>
                    <w:t>每</w:t>
                  </w:r>
                  <w:r>
                    <w:rPr>
                      <w:rFonts w:ascii="Times New Roman" w:hAnsi="Times New Roman" w:eastAsia="Times New Roman" w:cs="Times New Roman"/>
                      <w:spacing w:val="19"/>
                      <w:w w:val="125"/>
                      <w:sz w:val="22"/>
                      <w:szCs w:val="22"/>
                    </w:rPr>
                    <w:t>3</w:t>
                  </w:r>
                  <w:r>
                    <w:rPr>
                      <w:spacing w:val="-8"/>
                      <w:sz w:val="22"/>
                      <w:szCs w:val="22"/>
                    </w:rPr>
                    <w:t>个月</w:t>
                  </w:r>
                </w:p>
              </w:tc>
              <w:tc>
                <w:tcPr>
                  <w:tcW w:w="518" w:type="dxa"/>
                  <w:vAlign w:val="top"/>
                </w:tcPr>
                <w:p w14:paraId="1E11E5D7">
                  <w:pPr>
                    <w:spacing w:line="243" w:lineRule="auto"/>
                    <w:rPr>
                      <w:rFonts w:ascii="Arial"/>
                      <w:sz w:val="21"/>
                    </w:rPr>
                  </w:pPr>
                </w:p>
                <w:p w14:paraId="6F5F6BC5">
                  <w:pPr>
                    <w:spacing w:line="243" w:lineRule="auto"/>
                    <w:rPr>
                      <w:rFonts w:ascii="Arial"/>
                      <w:sz w:val="21"/>
                    </w:rPr>
                  </w:pPr>
                </w:p>
                <w:p w14:paraId="3D6D94B3">
                  <w:pPr>
                    <w:spacing w:line="243" w:lineRule="auto"/>
                    <w:rPr>
                      <w:rFonts w:ascii="Arial"/>
                      <w:sz w:val="21"/>
                    </w:rPr>
                  </w:pPr>
                </w:p>
                <w:p w14:paraId="06CBEDBD">
                  <w:pPr>
                    <w:spacing w:line="243" w:lineRule="auto"/>
                    <w:rPr>
                      <w:rFonts w:ascii="Arial"/>
                      <w:sz w:val="21"/>
                    </w:rPr>
                  </w:pPr>
                </w:p>
                <w:p w14:paraId="6083903B">
                  <w:pPr>
                    <w:spacing w:line="243" w:lineRule="auto"/>
                    <w:rPr>
                      <w:rFonts w:ascii="Arial"/>
                      <w:sz w:val="21"/>
                    </w:rPr>
                  </w:pPr>
                </w:p>
                <w:p w14:paraId="402D356F">
                  <w:pPr>
                    <w:spacing w:before="63" w:line="193" w:lineRule="auto"/>
                    <w:ind w:left="1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T/I</w:t>
                  </w:r>
                </w:p>
                <w:p w14:paraId="0FE22E47">
                  <w:pPr>
                    <w:spacing w:before="149" w:line="151" w:lineRule="exact"/>
                    <w:ind w:left="205"/>
                    <w:rPr>
                      <w:rFonts w:ascii="Times New Roman" w:hAnsi="Times New Roman" w:eastAsia="Times New Roman" w:cs="Times New Roman"/>
                      <w:sz w:val="22"/>
                      <w:szCs w:val="22"/>
                    </w:rPr>
                  </w:pPr>
                  <w:r>
                    <w:rPr>
                      <w:rFonts w:ascii="Times New Roman" w:hAnsi="Times New Roman" w:eastAsia="Times New Roman" w:cs="Times New Roman"/>
                      <w:position w:val="-1"/>
                      <w:sz w:val="22"/>
                      <w:szCs w:val="22"/>
                    </w:rPr>
                    <w:t>n</w:t>
                  </w:r>
                </w:p>
              </w:tc>
              <w:tc>
                <w:tcPr>
                  <w:tcW w:w="1139" w:type="dxa"/>
                  <w:vAlign w:val="top"/>
                </w:tcPr>
                <w:p w14:paraId="38443693">
                  <w:pPr>
                    <w:pStyle w:val="6"/>
                    <w:spacing w:before="51" w:line="252" w:lineRule="auto"/>
                    <w:ind w:left="134" w:right="124" w:firstLine="115"/>
                    <w:rPr>
                      <w:sz w:val="22"/>
                      <w:szCs w:val="22"/>
                    </w:rPr>
                  </w:pPr>
                  <w:r>
                    <w:rPr>
                      <w:spacing w:val="-5"/>
                      <w:sz w:val="22"/>
                      <w:szCs w:val="22"/>
                    </w:rPr>
                    <w:t>定期检</w:t>
                  </w:r>
                  <w:r>
                    <w:rPr>
                      <w:spacing w:val="-2"/>
                      <w:sz w:val="22"/>
                      <w:szCs w:val="22"/>
                    </w:rPr>
                    <w:t>修，用金</w:t>
                  </w:r>
                </w:p>
                <w:p w14:paraId="7A25735B">
                  <w:pPr>
                    <w:pStyle w:val="6"/>
                    <w:spacing w:line="220" w:lineRule="auto"/>
                    <w:ind w:left="136"/>
                    <w:rPr>
                      <w:sz w:val="22"/>
                      <w:szCs w:val="22"/>
                    </w:rPr>
                  </w:pPr>
                  <w:r>
                    <w:rPr>
                      <w:spacing w:val="-3"/>
                      <w:sz w:val="22"/>
                      <w:szCs w:val="22"/>
                    </w:rPr>
                    <w:t>属桶密闭</w:t>
                  </w:r>
                </w:p>
                <w:p w14:paraId="5608030C">
                  <w:pPr>
                    <w:pStyle w:val="6"/>
                    <w:spacing w:before="37" w:line="220" w:lineRule="auto"/>
                    <w:ind w:left="136"/>
                    <w:rPr>
                      <w:sz w:val="22"/>
                      <w:szCs w:val="22"/>
                    </w:rPr>
                  </w:pPr>
                  <w:r>
                    <w:rPr>
                      <w:spacing w:val="1"/>
                      <w:sz w:val="22"/>
                      <w:szCs w:val="22"/>
                    </w:rPr>
                    <w:t>盛装，收</w:t>
                  </w:r>
                </w:p>
                <w:p w14:paraId="77C32477">
                  <w:pPr>
                    <w:pStyle w:val="6"/>
                    <w:spacing w:before="37" w:line="220" w:lineRule="auto"/>
                    <w:ind w:left="134"/>
                    <w:rPr>
                      <w:sz w:val="22"/>
                      <w:szCs w:val="22"/>
                    </w:rPr>
                  </w:pPr>
                  <w:r>
                    <w:rPr>
                      <w:spacing w:val="-2"/>
                      <w:sz w:val="22"/>
                      <w:szCs w:val="22"/>
                    </w:rPr>
                    <w:t>集暂存于</w:t>
                  </w:r>
                </w:p>
                <w:p w14:paraId="15BA5A15">
                  <w:pPr>
                    <w:pStyle w:val="6"/>
                    <w:spacing w:before="38" w:line="221" w:lineRule="auto"/>
                    <w:ind w:left="137"/>
                    <w:rPr>
                      <w:sz w:val="22"/>
                      <w:szCs w:val="22"/>
                    </w:rPr>
                  </w:pPr>
                  <w:r>
                    <w:rPr>
                      <w:spacing w:val="-3"/>
                      <w:sz w:val="22"/>
                      <w:szCs w:val="22"/>
                    </w:rPr>
                    <w:t>危险废物</w:t>
                  </w:r>
                </w:p>
                <w:p w14:paraId="694C1C1E">
                  <w:pPr>
                    <w:pStyle w:val="6"/>
                    <w:spacing w:before="37" w:line="220" w:lineRule="auto"/>
                    <w:ind w:left="135"/>
                    <w:rPr>
                      <w:sz w:val="22"/>
                      <w:szCs w:val="22"/>
                    </w:rPr>
                  </w:pPr>
                  <w:r>
                    <w:rPr>
                      <w:spacing w:val="-3"/>
                      <w:sz w:val="22"/>
                      <w:szCs w:val="22"/>
                    </w:rPr>
                    <w:t>贮存点后</w:t>
                  </w:r>
                </w:p>
                <w:p w14:paraId="5AF9732F">
                  <w:pPr>
                    <w:pStyle w:val="6"/>
                    <w:spacing w:before="37" w:line="221" w:lineRule="auto"/>
                    <w:ind w:left="139"/>
                    <w:rPr>
                      <w:sz w:val="22"/>
                      <w:szCs w:val="22"/>
                    </w:rPr>
                  </w:pPr>
                  <w:r>
                    <w:rPr>
                      <w:spacing w:val="-4"/>
                      <w:sz w:val="22"/>
                      <w:szCs w:val="22"/>
                    </w:rPr>
                    <w:t>定期交有</w:t>
                  </w:r>
                </w:p>
                <w:p w14:paraId="71BE984E">
                  <w:pPr>
                    <w:pStyle w:val="6"/>
                    <w:spacing w:before="37" w:line="221" w:lineRule="auto"/>
                    <w:ind w:left="143"/>
                    <w:rPr>
                      <w:sz w:val="22"/>
                      <w:szCs w:val="22"/>
                    </w:rPr>
                  </w:pPr>
                  <w:r>
                    <w:rPr>
                      <w:spacing w:val="-5"/>
                      <w:sz w:val="22"/>
                      <w:szCs w:val="22"/>
                    </w:rPr>
                    <w:t>资质单位</w:t>
                  </w:r>
                </w:p>
                <w:p w14:paraId="27D0564D">
                  <w:pPr>
                    <w:pStyle w:val="6"/>
                    <w:spacing w:before="36" w:line="202" w:lineRule="auto"/>
                    <w:ind w:left="134"/>
                    <w:rPr>
                      <w:sz w:val="22"/>
                      <w:szCs w:val="22"/>
                    </w:rPr>
                  </w:pPr>
                  <w:r>
                    <w:rPr>
                      <w:spacing w:val="-2"/>
                      <w:sz w:val="22"/>
                      <w:szCs w:val="22"/>
                    </w:rPr>
                    <w:t>清运处置</w:t>
                  </w:r>
                </w:p>
              </w:tc>
            </w:tr>
            <w:tr w14:paraId="3B742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4" w:hRule="atLeast"/>
              </w:trPr>
              <w:tc>
                <w:tcPr>
                  <w:tcW w:w="439" w:type="dxa"/>
                  <w:vAlign w:val="top"/>
                </w:tcPr>
                <w:p w14:paraId="6A095BDD">
                  <w:pPr>
                    <w:spacing w:line="244" w:lineRule="auto"/>
                    <w:rPr>
                      <w:rFonts w:ascii="Arial"/>
                      <w:sz w:val="21"/>
                    </w:rPr>
                  </w:pPr>
                </w:p>
                <w:p w14:paraId="550A9702">
                  <w:pPr>
                    <w:spacing w:line="244" w:lineRule="auto"/>
                    <w:rPr>
                      <w:rFonts w:ascii="Arial"/>
                      <w:sz w:val="21"/>
                    </w:rPr>
                  </w:pPr>
                </w:p>
                <w:p w14:paraId="306A13DD">
                  <w:pPr>
                    <w:spacing w:line="244" w:lineRule="auto"/>
                    <w:rPr>
                      <w:rFonts w:ascii="Arial"/>
                      <w:sz w:val="21"/>
                    </w:rPr>
                  </w:pPr>
                </w:p>
                <w:p w14:paraId="6637BFC1">
                  <w:pPr>
                    <w:spacing w:line="244" w:lineRule="auto"/>
                    <w:rPr>
                      <w:rFonts w:ascii="Arial"/>
                      <w:sz w:val="21"/>
                    </w:rPr>
                  </w:pPr>
                </w:p>
                <w:p w14:paraId="24381428">
                  <w:pPr>
                    <w:spacing w:line="245" w:lineRule="auto"/>
                    <w:rPr>
                      <w:rFonts w:ascii="Arial"/>
                      <w:sz w:val="21"/>
                    </w:rPr>
                  </w:pPr>
                </w:p>
                <w:p w14:paraId="66A50D47">
                  <w:pPr>
                    <w:spacing w:before="63" w:line="189" w:lineRule="auto"/>
                    <w:ind w:left="171"/>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773" w:type="dxa"/>
                  <w:vAlign w:val="top"/>
                </w:tcPr>
                <w:p w14:paraId="5598F410">
                  <w:pPr>
                    <w:spacing w:line="289" w:lineRule="auto"/>
                    <w:rPr>
                      <w:rFonts w:ascii="Arial"/>
                      <w:sz w:val="21"/>
                    </w:rPr>
                  </w:pPr>
                </w:p>
                <w:p w14:paraId="1FB27B17">
                  <w:pPr>
                    <w:spacing w:line="290" w:lineRule="auto"/>
                    <w:rPr>
                      <w:rFonts w:ascii="Arial"/>
                      <w:sz w:val="21"/>
                    </w:rPr>
                  </w:pPr>
                </w:p>
                <w:p w14:paraId="499FA4F3">
                  <w:pPr>
                    <w:pStyle w:val="6"/>
                    <w:spacing w:before="71" w:line="253" w:lineRule="auto"/>
                    <w:ind w:left="171" w:right="163" w:firstLine="13"/>
                    <w:jc w:val="both"/>
                    <w:rPr>
                      <w:sz w:val="22"/>
                      <w:szCs w:val="22"/>
                    </w:rPr>
                  </w:pPr>
                  <w:r>
                    <w:rPr>
                      <w:spacing w:val="-10"/>
                      <w:sz w:val="22"/>
                      <w:szCs w:val="22"/>
                    </w:rPr>
                    <w:t>隔油</w:t>
                  </w:r>
                  <w:r>
                    <w:rPr>
                      <w:spacing w:val="-4"/>
                      <w:sz w:val="22"/>
                      <w:szCs w:val="22"/>
                    </w:rPr>
                    <w:t>池浮油及含油污泥</w:t>
                  </w:r>
                </w:p>
              </w:tc>
              <w:tc>
                <w:tcPr>
                  <w:tcW w:w="672" w:type="dxa"/>
                  <w:vAlign w:val="top"/>
                </w:tcPr>
                <w:p w14:paraId="0EC56399">
                  <w:pPr>
                    <w:spacing w:line="268" w:lineRule="auto"/>
                    <w:rPr>
                      <w:rFonts w:ascii="Arial"/>
                      <w:sz w:val="21"/>
                    </w:rPr>
                  </w:pPr>
                </w:p>
                <w:p w14:paraId="1BD8456D">
                  <w:pPr>
                    <w:spacing w:line="268" w:lineRule="auto"/>
                    <w:rPr>
                      <w:rFonts w:ascii="Arial"/>
                      <w:sz w:val="21"/>
                    </w:rPr>
                  </w:pPr>
                </w:p>
                <w:p w14:paraId="41B94BE4">
                  <w:pPr>
                    <w:spacing w:line="269" w:lineRule="auto"/>
                    <w:rPr>
                      <w:rFonts w:ascii="Arial"/>
                      <w:sz w:val="21"/>
                    </w:rPr>
                  </w:pPr>
                </w:p>
                <w:p w14:paraId="15AE807B">
                  <w:pPr>
                    <w:spacing w:line="269" w:lineRule="auto"/>
                    <w:rPr>
                      <w:rFonts w:ascii="Arial"/>
                      <w:sz w:val="21"/>
                    </w:rPr>
                  </w:pPr>
                </w:p>
                <w:p w14:paraId="51C1BF9E">
                  <w:pPr>
                    <w:spacing w:before="63" w:line="186" w:lineRule="auto"/>
                    <w:ind w:left="15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HW</w:t>
                  </w:r>
                </w:p>
                <w:p w14:paraId="16CEFCEB">
                  <w:pPr>
                    <w:spacing w:before="100"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08</w:t>
                  </w:r>
                </w:p>
              </w:tc>
              <w:tc>
                <w:tcPr>
                  <w:tcW w:w="695" w:type="dxa"/>
                  <w:vAlign w:val="top"/>
                </w:tcPr>
                <w:p w14:paraId="3EE2FA13">
                  <w:pPr>
                    <w:spacing w:line="307" w:lineRule="auto"/>
                    <w:rPr>
                      <w:rFonts w:ascii="Arial"/>
                      <w:sz w:val="21"/>
                    </w:rPr>
                  </w:pPr>
                </w:p>
                <w:p w14:paraId="1658C92A">
                  <w:pPr>
                    <w:spacing w:line="308" w:lineRule="auto"/>
                    <w:rPr>
                      <w:rFonts w:ascii="Arial"/>
                      <w:sz w:val="21"/>
                    </w:rPr>
                  </w:pPr>
                </w:p>
                <w:p w14:paraId="7CAF576D">
                  <w:pPr>
                    <w:spacing w:line="308" w:lineRule="auto"/>
                    <w:rPr>
                      <w:rFonts w:ascii="Arial"/>
                      <w:sz w:val="21"/>
                    </w:rPr>
                  </w:pPr>
                </w:p>
                <w:p w14:paraId="049D395B">
                  <w:pPr>
                    <w:spacing w:before="63" w:line="189" w:lineRule="auto"/>
                    <w:ind w:left="15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900-</w:t>
                  </w:r>
                </w:p>
                <w:p w14:paraId="7567FDC2">
                  <w:pPr>
                    <w:spacing w:before="100" w:line="189" w:lineRule="auto"/>
                    <w:ind w:left="14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210-</w:t>
                  </w:r>
                </w:p>
                <w:p w14:paraId="08048E2E">
                  <w:pPr>
                    <w:spacing w:before="100" w:line="189" w:lineRule="auto"/>
                    <w:ind w:left="24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08</w:t>
                  </w:r>
                </w:p>
              </w:tc>
              <w:tc>
                <w:tcPr>
                  <w:tcW w:w="830" w:type="dxa"/>
                  <w:vAlign w:val="top"/>
                </w:tcPr>
                <w:p w14:paraId="346D8CD1">
                  <w:pPr>
                    <w:spacing w:line="244" w:lineRule="auto"/>
                    <w:rPr>
                      <w:rFonts w:ascii="Arial"/>
                      <w:sz w:val="21"/>
                    </w:rPr>
                  </w:pPr>
                </w:p>
                <w:p w14:paraId="32C6D806">
                  <w:pPr>
                    <w:spacing w:line="244" w:lineRule="auto"/>
                    <w:rPr>
                      <w:rFonts w:ascii="Arial"/>
                      <w:sz w:val="21"/>
                    </w:rPr>
                  </w:pPr>
                </w:p>
                <w:p w14:paraId="2F826033">
                  <w:pPr>
                    <w:spacing w:line="244" w:lineRule="auto"/>
                    <w:rPr>
                      <w:rFonts w:ascii="Arial"/>
                      <w:sz w:val="21"/>
                    </w:rPr>
                  </w:pPr>
                </w:p>
                <w:p w14:paraId="608B0DEE">
                  <w:pPr>
                    <w:spacing w:line="244" w:lineRule="auto"/>
                    <w:rPr>
                      <w:rFonts w:ascii="Arial"/>
                      <w:sz w:val="21"/>
                    </w:rPr>
                  </w:pPr>
                </w:p>
                <w:p w14:paraId="1AC148B3">
                  <w:pPr>
                    <w:spacing w:line="245" w:lineRule="auto"/>
                    <w:rPr>
                      <w:rFonts w:ascii="Arial"/>
                      <w:sz w:val="21"/>
                    </w:rPr>
                  </w:pPr>
                </w:p>
                <w:p w14:paraId="44F2B5F4">
                  <w:pPr>
                    <w:spacing w:before="63" w:line="189" w:lineRule="auto"/>
                    <w:ind w:left="28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w:t>
                  </w:r>
                </w:p>
              </w:tc>
              <w:tc>
                <w:tcPr>
                  <w:tcW w:w="831" w:type="dxa"/>
                  <w:vAlign w:val="top"/>
                </w:tcPr>
                <w:p w14:paraId="09A3D6C6">
                  <w:pPr>
                    <w:spacing w:line="291" w:lineRule="auto"/>
                    <w:rPr>
                      <w:rFonts w:ascii="Arial"/>
                      <w:sz w:val="21"/>
                    </w:rPr>
                  </w:pPr>
                </w:p>
                <w:p w14:paraId="609992F7">
                  <w:pPr>
                    <w:spacing w:line="292" w:lineRule="auto"/>
                    <w:rPr>
                      <w:rFonts w:ascii="Arial"/>
                      <w:sz w:val="21"/>
                    </w:rPr>
                  </w:pPr>
                </w:p>
                <w:p w14:paraId="55339F90">
                  <w:pPr>
                    <w:spacing w:line="292" w:lineRule="auto"/>
                    <w:rPr>
                      <w:rFonts w:ascii="Arial"/>
                      <w:sz w:val="21"/>
                    </w:rPr>
                  </w:pPr>
                </w:p>
                <w:p w14:paraId="2389B667">
                  <w:pPr>
                    <w:pStyle w:val="6"/>
                    <w:spacing w:before="72" w:line="255" w:lineRule="auto"/>
                    <w:ind w:left="203" w:right="189" w:firstLine="13"/>
                    <w:jc w:val="both"/>
                    <w:rPr>
                      <w:sz w:val="22"/>
                      <w:szCs w:val="22"/>
                    </w:rPr>
                  </w:pPr>
                  <w:r>
                    <w:rPr>
                      <w:spacing w:val="-10"/>
                      <w:sz w:val="22"/>
                      <w:szCs w:val="22"/>
                    </w:rPr>
                    <w:t>隔油</w:t>
                  </w:r>
                  <w:r>
                    <w:rPr>
                      <w:spacing w:val="-4"/>
                      <w:sz w:val="22"/>
                      <w:szCs w:val="22"/>
                    </w:rPr>
                    <w:t>池隔</w:t>
                  </w:r>
                  <w:r>
                    <w:rPr>
                      <w:spacing w:val="47"/>
                      <w:w w:val="125"/>
                      <w:sz w:val="22"/>
                      <w:szCs w:val="22"/>
                    </w:rPr>
                    <w:t>油</w:t>
                  </w:r>
                </w:p>
              </w:tc>
              <w:tc>
                <w:tcPr>
                  <w:tcW w:w="518" w:type="dxa"/>
                  <w:vAlign w:val="top"/>
                </w:tcPr>
                <w:p w14:paraId="660B00BA">
                  <w:pPr>
                    <w:spacing w:line="243" w:lineRule="auto"/>
                    <w:rPr>
                      <w:rFonts w:ascii="Arial"/>
                      <w:sz w:val="21"/>
                    </w:rPr>
                  </w:pPr>
                </w:p>
                <w:p w14:paraId="6244CB7A">
                  <w:pPr>
                    <w:spacing w:line="243" w:lineRule="auto"/>
                    <w:rPr>
                      <w:rFonts w:ascii="Arial"/>
                      <w:sz w:val="21"/>
                    </w:rPr>
                  </w:pPr>
                </w:p>
                <w:p w14:paraId="1ADA1242">
                  <w:pPr>
                    <w:spacing w:line="243" w:lineRule="auto"/>
                    <w:rPr>
                      <w:rFonts w:ascii="Arial"/>
                      <w:sz w:val="21"/>
                    </w:rPr>
                  </w:pPr>
                </w:p>
                <w:p w14:paraId="6E02EC0B">
                  <w:pPr>
                    <w:pStyle w:val="6"/>
                    <w:spacing w:before="71" w:line="254" w:lineRule="auto"/>
                    <w:ind w:left="126" w:right="112" w:firstLine="50"/>
                    <w:jc w:val="both"/>
                    <w:rPr>
                      <w:sz w:val="22"/>
                      <w:szCs w:val="22"/>
                    </w:rPr>
                  </w:pPr>
                  <w:r>
                    <w:rPr>
                      <w:spacing w:val="-27"/>
                      <w:sz w:val="22"/>
                      <w:szCs w:val="22"/>
                    </w:rPr>
                    <w:t>固</w:t>
                  </w:r>
                  <w:r>
                    <w:rPr>
                      <w:spacing w:val="-4"/>
                      <w:sz w:val="22"/>
                      <w:szCs w:val="22"/>
                    </w:rPr>
                    <w:t>态</w:t>
                  </w:r>
                  <w:r>
                    <w:rPr>
                      <w:rFonts w:ascii="Times New Roman" w:hAnsi="Times New Roman" w:eastAsia="Times New Roman" w:cs="Times New Roman"/>
                      <w:spacing w:val="-4"/>
                      <w:sz w:val="22"/>
                      <w:szCs w:val="22"/>
                    </w:rPr>
                    <w:t>/</w:t>
                  </w:r>
                  <w:r>
                    <w:rPr>
                      <w:spacing w:val="23"/>
                      <w:sz w:val="22"/>
                      <w:szCs w:val="22"/>
                    </w:rPr>
                    <w:t>液态</w:t>
                  </w:r>
                </w:p>
              </w:tc>
              <w:tc>
                <w:tcPr>
                  <w:tcW w:w="532" w:type="dxa"/>
                  <w:textDirection w:val="tbRlV"/>
                  <w:vAlign w:val="top"/>
                </w:tcPr>
                <w:p w14:paraId="19F88BD3">
                  <w:pPr>
                    <w:pStyle w:val="6"/>
                    <w:spacing w:before="149" w:line="209" w:lineRule="auto"/>
                    <w:ind w:left="954"/>
                    <w:rPr>
                      <w:sz w:val="22"/>
                      <w:szCs w:val="22"/>
                    </w:rPr>
                  </w:pPr>
                  <w:r>
                    <w:rPr>
                      <w:sz w:val="22"/>
                      <w:szCs w:val="22"/>
                    </w:rPr>
                    <w:t>矿</w:t>
                  </w:r>
                  <w:r>
                    <w:rPr>
                      <w:spacing w:val="-30"/>
                      <w:sz w:val="22"/>
                      <w:szCs w:val="22"/>
                    </w:rPr>
                    <w:t xml:space="preserve"> </w:t>
                  </w:r>
                  <w:r>
                    <w:rPr>
                      <w:sz w:val="22"/>
                      <w:szCs w:val="22"/>
                    </w:rPr>
                    <w:t>物</w:t>
                  </w:r>
                  <w:r>
                    <w:rPr>
                      <w:spacing w:val="-31"/>
                      <w:sz w:val="22"/>
                      <w:szCs w:val="22"/>
                    </w:rPr>
                    <w:t xml:space="preserve"> </w:t>
                  </w:r>
                  <w:r>
                    <w:rPr>
                      <w:sz w:val="22"/>
                      <w:szCs w:val="22"/>
                    </w:rPr>
                    <w:t>油</w:t>
                  </w:r>
                </w:p>
              </w:tc>
              <w:tc>
                <w:tcPr>
                  <w:tcW w:w="518" w:type="dxa"/>
                  <w:textDirection w:val="tbRlV"/>
                  <w:vAlign w:val="top"/>
                </w:tcPr>
                <w:p w14:paraId="7C7962F1">
                  <w:pPr>
                    <w:pStyle w:val="6"/>
                    <w:spacing w:before="143" w:line="209" w:lineRule="auto"/>
                    <w:ind w:left="954"/>
                    <w:rPr>
                      <w:sz w:val="22"/>
                      <w:szCs w:val="22"/>
                    </w:rPr>
                  </w:pPr>
                  <w:r>
                    <w:rPr>
                      <w:sz w:val="22"/>
                      <w:szCs w:val="22"/>
                    </w:rPr>
                    <w:t>有</w:t>
                  </w:r>
                  <w:r>
                    <w:rPr>
                      <w:spacing w:val="-30"/>
                      <w:sz w:val="22"/>
                      <w:szCs w:val="22"/>
                    </w:rPr>
                    <w:t xml:space="preserve"> </w:t>
                  </w:r>
                  <w:r>
                    <w:rPr>
                      <w:sz w:val="22"/>
                      <w:szCs w:val="22"/>
                    </w:rPr>
                    <w:t>机</w:t>
                  </w:r>
                  <w:r>
                    <w:rPr>
                      <w:spacing w:val="-31"/>
                      <w:sz w:val="22"/>
                      <w:szCs w:val="22"/>
                    </w:rPr>
                    <w:t xml:space="preserve"> </w:t>
                  </w:r>
                  <w:r>
                    <w:rPr>
                      <w:sz w:val="22"/>
                      <w:szCs w:val="22"/>
                    </w:rPr>
                    <w:t>物</w:t>
                  </w:r>
                </w:p>
              </w:tc>
              <w:tc>
                <w:tcPr>
                  <w:tcW w:w="505" w:type="dxa"/>
                  <w:textDirection w:val="tbRlV"/>
                  <w:vAlign w:val="top"/>
                </w:tcPr>
                <w:p w14:paraId="21E80E8A">
                  <w:pPr>
                    <w:pStyle w:val="6"/>
                    <w:spacing w:before="137" w:line="209" w:lineRule="auto"/>
                    <w:ind w:left="954"/>
                    <w:rPr>
                      <w:sz w:val="22"/>
                      <w:szCs w:val="22"/>
                    </w:rPr>
                  </w:pPr>
                  <w:r>
                    <w:rPr>
                      <w:sz w:val="22"/>
                      <w:szCs w:val="22"/>
                    </w:rPr>
                    <w:t>每</w:t>
                  </w:r>
                  <w:r>
                    <w:rPr>
                      <w:spacing w:val="-30"/>
                      <w:sz w:val="22"/>
                      <w:szCs w:val="22"/>
                    </w:rPr>
                    <w:t xml:space="preserve"> </w:t>
                  </w:r>
                  <w:r>
                    <w:rPr>
                      <w:sz w:val="22"/>
                      <w:szCs w:val="22"/>
                    </w:rPr>
                    <w:t>半</w:t>
                  </w:r>
                  <w:r>
                    <w:rPr>
                      <w:spacing w:val="-31"/>
                      <w:sz w:val="22"/>
                      <w:szCs w:val="22"/>
                    </w:rPr>
                    <w:t xml:space="preserve"> </w:t>
                  </w:r>
                  <w:r>
                    <w:rPr>
                      <w:sz w:val="22"/>
                      <w:szCs w:val="22"/>
                    </w:rPr>
                    <w:t>年</w:t>
                  </w:r>
                </w:p>
              </w:tc>
              <w:tc>
                <w:tcPr>
                  <w:tcW w:w="518" w:type="dxa"/>
                  <w:vAlign w:val="top"/>
                </w:tcPr>
                <w:p w14:paraId="16166959">
                  <w:pPr>
                    <w:spacing w:line="244" w:lineRule="auto"/>
                    <w:rPr>
                      <w:rFonts w:ascii="Arial"/>
                      <w:sz w:val="21"/>
                    </w:rPr>
                  </w:pPr>
                </w:p>
                <w:p w14:paraId="66F0D2BF">
                  <w:pPr>
                    <w:spacing w:line="245" w:lineRule="auto"/>
                    <w:rPr>
                      <w:rFonts w:ascii="Arial"/>
                      <w:sz w:val="21"/>
                    </w:rPr>
                  </w:pPr>
                </w:p>
                <w:p w14:paraId="3EDDA6F4">
                  <w:pPr>
                    <w:spacing w:line="245" w:lineRule="auto"/>
                    <w:rPr>
                      <w:rFonts w:ascii="Arial"/>
                      <w:sz w:val="21"/>
                    </w:rPr>
                  </w:pPr>
                </w:p>
                <w:p w14:paraId="1ED6F2B4">
                  <w:pPr>
                    <w:spacing w:line="245" w:lineRule="auto"/>
                    <w:rPr>
                      <w:rFonts w:ascii="Arial"/>
                      <w:sz w:val="21"/>
                    </w:rPr>
                  </w:pPr>
                </w:p>
                <w:p w14:paraId="399E5DED">
                  <w:pPr>
                    <w:spacing w:line="245" w:lineRule="auto"/>
                    <w:rPr>
                      <w:rFonts w:ascii="Arial"/>
                      <w:sz w:val="21"/>
                    </w:rPr>
                  </w:pPr>
                </w:p>
                <w:p w14:paraId="024DFD31">
                  <w:pPr>
                    <w:spacing w:before="63" w:line="186" w:lineRule="auto"/>
                    <w:ind w:left="199"/>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1139" w:type="dxa"/>
                  <w:vAlign w:val="top"/>
                </w:tcPr>
                <w:p w14:paraId="7BAE2211">
                  <w:pPr>
                    <w:pStyle w:val="6"/>
                    <w:spacing w:before="53" w:line="252" w:lineRule="auto"/>
                    <w:ind w:left="135" w:right="124" w:firstLine="114"/>
                    <w:rPr>
                      <w:sz w:val="22"/>
                      <w:szCs w:val="22"/>
                    </w:rPr>
                  </w:pPr>
                  <w:r>
                    <w:rPr>
                      <w:spacing w:val="-5"/>
                      <w:sz w:val="22"/>
                      <w:szCs w:val="22"/>
                    </w:rPr>
                    <w:t>定期清</w:t>
                  </w:r>
                  <w:r>
                    <w:rPr>
                      <w:spacing w:val="-2"/>
                      <w:sz w:val="22"/>
                      <w:szCs w:val="22"/>
                    </w:rPr>
                    <w:t>掏，定期</w:t>
                  </w:r>
                </w:p>
                <w:p w14:paraId="3DE81859">
                  <w:pPr>
                    <w:pStyle w:val="6"/>
                    <w:spacing w:before="1" w:line="220" w:lineRule="auto"/>
                    <w:ind w:left="133"/>
                    <w:rPr>
                      <w:sz w:val="22"/>
                      <w:szCs w:val="22"/>
                    </w:rPr>
                  </w:pPr>
                  <w:r>
                    <w:rPr>
                      <w:spacing w:val="-2"/>
                      <w:sz w:val="22"/>
                      <w:szCs w:val="22"/>
                    </w:rPr>
                    <w:t>委托有资</w:t>
                  </w:r>
                </w:p>
                <w:p w14:paraId="3D07C533">
                  <w:pPr>
                    <w:pStyle w:val="6"/>
                    <w:spacing w:before="36" w:line="221" w:lineRule="auto"/>
                    <w:ind w:left="135"/>
                    <w:rPr>
                      <w:sz w:val="22"/>
                      <w:szCs w:val="22"/>
                    </w:rPr>
                  </w:pPr>
                  <w:r>
                    <w:rPr>
                      <w:spacing w:val="-3"/>
                      <w:sz w:val="22"/>
                      <w:szCs w:val="22"/>
                    </w:rPr>
                    <w:t>质单位清</w:t>
                  </w:r>
                </w:p>
                <w:p w14:paraId="38741459">
                  <w:pPr>
                    <w:pStyle w:val="6"/>
                    <w:spacing w:before="36" w:line="221" w:lineRule="auto"/>
                    <w:ind w:left="135"/>
                    <w:rPr>
                      <w:sz w:val="22"/>
                      <w:szCs w:val="22"/>
                    </w:rPr>
                  </w:pPr>
                  <w:r>
                    <w:rPr>
                      <w:spacing w:val="-3"/>
                      <w:sz w:val="22"/>
                      <w:szCs w:val="22"/>
                    </w:rPr>
                    <w:t>掏后即时</w:t>
                  </w:r>
                </w:p>
                <w:p w14:paraId="6A52896B">
                  <w:pPr>
                    <w:pStyle w:val="6"/>
                    <w:spacing w:before="36" w:line="221" w:lineRule="auto"/>
                    <w:ind w:left="132"/>
                    <w:rPr>
                      <w:sz w:val="22"/>
                      <w:szCs w:val="22"/>
                    </w:rPr>
                  </w:pPr>
                  <w:r>
                    <w:rPr>
                      <w:spacing w:val="-2"/>
                      <w:sz w:val="22"/>
                      <w:szCs w:val="22"/>
                    </w:rPr>
                    <w:t>进行清运</w:t>
                  </w:r>
                </w:p>
                <w:p w14:paraId="0543E0E6">
                  <w:pPr>
                    <w:pStyle w:val="6"/>
                    <w:spacing w:before="37" w:line="223" w:lineRule="auto"/>
                    <w:ind w:left="138"/>
                    <w:rPr>
                      <w:sz w:val="22"/>
                      <w:szCs w:val="22"/>
                    </w:rPr>
                  </w:pPr>
                  <w:r>
                    <w:rPr>
                      <w:spacing w:val="-1"/>
                      <w:sz w:val="22"/>
                      <w:szCs w:val="22"/>
                    </w:rPr>
                    <w:t>处置，不</w:t>
                  </w:r>
                </w:p>
                <w:p w14:paraId="74E8AA6A">
                  <w:pPr>
                    <w:pStyle w:val="6"/>
                    <w:spacing w:before="34" w:line="220" w:lineRule="auto"/>
                    <w:ind w:left="133"/>
                    <w:rPr>
                      <w:sz w:val="22"/>
                      <w:szCs w:val="22"/>
                    </w:rPr>
                  </w:pPr>
                  <w:r>
                    <w:rPr>
                      <w:spacing w:val="-2"/>
                      <w:sz w:val="22"/>
                      <w:szCs w:val="22"/>
                    </w:rPr>
                    <w:t>在站内暂</w:t>
                  </w:r>
                </w:p>
                <w:p w14:paraId="33210F3F">
                  <w:pPr>
                    <w:pStyle w:val="6"/>
                    <w:spacing w:before="38" w:line="201" w:lineRule="auto"/>
                    <w:ind w:left="133"/>
                    <w:rPr>
                      <w:sz w:val="22"/>
                      <w:szCs w:val="22"/>
                    </w:rPr>
                  </w:pPr>
                  <w:r>
                    <w:rPr>
                      <w:spacing w:val="-2"/>
                      <w:sz w:val="22"/>
                      <w:szCs w:val="22"/>
                    </w:rPr>
                    <w:t>存和处置</w:t>
                  </w:r>
                </w:p>
              </w:tc>
            </w:tr>
            <w:tr w14:paraId="43200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9" w:hRule="atLeast"/>
              </w:trPr>
              <w:tc>
                <w:tcPr>
                  <w:tcW w:w="439" w:type="dxa"/>
                  <w:vAlign w:val="top"/>
                </w:tcPr>
                <w:p w14:paraId="5CCD7B77">
                  <w:pPr>
                    <w:spacing w:line="308" w:lineRule="auto"/>
                    <w:rPr>
                      <w:rFonts w:ascii="Arial"/>
                      <w:sz w:val="21"/>
                    </w:rPr>
                  </w:pPr>
                </w:p>
                <w:p w14:paraId="6BAD3192">
                  <w:pPr>
                    <w:spacing w:line="308" w:lineRule="auto"/>
                    <w:rPr>
                      <w:rFonts w:ascii="Arial"/>
                      <w:sz w:val="21"/>
                    </w:rPr>
                  </w:pPr>
                </w:p>
                <w:p w14:paraId="1A9160E1">
                  <w:pPr>
                    <w:spacing w:line="308" w:lineRule="auto"/>
                    <w:rPr>
                      <w:rFonts w:ascii="Arial"/>
                      <w:sz w:val="21"/>
                    </w:rPr>
                  </w:pPr>
                </w:p>
                <w:p w14:paraId="3ACCA1BA">
                  <w:pPr>
                    <w:spacing w:before="63" w:line="189" w:lineRule="auto"/>
                    <w:ind w:left="165"/>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773" w:type="dxa"/>
                  <w:vAlign w:val="top"/>
                </w:tcPr>
                <w:p w14:paraId="34C3EA74">
                  <w:pPr>
                    <w:spacing w:line="284" w:lineRule="auto"/>
                    <w:rPr>
                      <w:rFonts w:ascii="Arial"/>
                      <w:sz w:val="21"/>
                    </w:rPr>
                  </w:pPr>
                </w:p>
                <w:p w14:paraId="65251E13">
                  <w:pPr>
                    <w:pStyle w:val="6"/>
                    <w:spacing w:before="71" w:line="220" w:lineRule="auto"/>
                    <w:ind w:left="171"/>
                    <w:rPr>
                      <w:sz w:val="22"/>
                      <w:szCs w:val="22"/>
                    </w:rPr>
                  </w:pPr>
                  <w:r>
                    <w:rPr>
                      <w:spacing w:val="-4"/>
                      <w:sz w:val="22"/>
                      <w:szCs w:val="22"/>
                    </w:rPr>
                    <w:t>三次</w:t>
                  </w:r>
                </w:p>
                <w:p w14:paraId="1DC876BC">
                  <w:pPr>
                    <w:pStyle w:val="6"/>
                    <w:spacing w:before="37" w:line="222" w:lineRule="auto"/>
                    <w:ind w:left="174"/>
                    <w:rPr>
                      <w:sz w:val="22"/>
                      <w:szCs w:val="22"/>
                    </w:rPr>
                  </w:pPr>
                  <w:r>
                    <w:rPr>
                      <w:spacing w:val="-6"/>
                      <w:sz w:val="22"/>
                      <w:szCs w:val="22"/>
                    </w:rPr>
                    <w:t>油气</w:t>
                  </w:r>
                </w:p>
                <w:p w14:paraId="1355A184">
                  <w:pPr>
                    <w:pStyle w:val="6"/>
                    <w:spacing w:before="36" w:line="220" w:lineRule="auto"/>
                    <w:ind w:left="192"/>
                    <w:rPr>
                      <w:sz w:val="22"/>
                      <w:szCs w:val="22"/>
                    </w:rPr>
                  </w:pPr>
                  <w:r>
                    <w:rPr>
                      <w:spacing w:val="-15"/>
                      <w:sz w:val="22"/>
                      <w:szCs w:val="22"/>
                    </w:rPr>
                    <w:t>回收</w:t>
                  </w:r>
                </w:p>
                <w:p w14:paraId="25F9FA55">
                  <w:pPr>
                    <w:pStyle w:val="6"/>
                    <w:spacing w:before="37" w:line="221" w:lineRule="auto"/>
                    <w:ind w:left="170"/>
                    <w:rPr>
                      <w:sz w:val="22"/>
                      <w:szCs w:val="22"/>
                    </w:rPr>
                  </w:pPr>
                  <w:r>
                    <w:rPr>
                      <w:spacing w:val="-3"/>
                      <w:sz w:val="22"/>
                      <w:szCs w:val="22"/>
                    </w:rPr>
                    <w:t>废膜</w:t>
                  </w:r>
                </w:p>
                <w:p w14:paraId="2D026109">
                  <w:pPr>
                    <w:pStyle w:val="6"/>
                    <w:spacing w:before="36" w:line="220" w:lineRule="auto"/>
                    <w:ind w:left="173"/>
                    <w:rPr>
                      <w:sz w:val="22"/>
                      <w:szCs w:val="22"/>
                    </w:rPr>
                  </w:pPr>
                  <w:r>
                    <w:rPr>
                      <w:spacing w:val="-5"/>
                      <w:sz w:val="22"/>
                      <w:szCs w:val="22"/>
                    </w:rPr>
                    <w:t>组件</w:t>
                  </w:r>
                </w:p>
              </w:tc>
              <w:tc>
                <w:tcPr>
                  <w:tcW w:w="672" w:type="dxa"/>
                  <w:vAlign w:val="top"/>
                </w:tcPr>
                <w:p w14:paraId="4AA8FCFE">
                  <w:pPr>
                    <w:spacing w:line="259" w:lineRule="auto"/>
                    <w:rPr>
                      <w:rFonts w:ascii="Arial"/>
                      <w:sz w:val="21"/>
                    </w:rPr>
                  </w:pPr>
                </w:p>
                <w:p w14:paraId="25CDCC59">
                  <w:pPr>
                    <w:spacing w:line="260" w:lineRule="auto"/>
                    <w:rPr>
                      <w:rFonts w:ascii="Arial"/>
                      <w:sz w:val="21"/>
                    </w:rPr>
                  </w:pPr>
                </w:p>
                <w:p w14:paraId="707D6CDD">
                  <w:pPr>
                    <w:spacing w:line="260" w:lineRule="auto"/>
                    <w:rPr>
                      <w:rFonts w:ascii="Arial"/>
                      <w:sz w:val="21"/>
                    </w:rPr>
                  </w:pPr>
                </w:p>
                <w:p w14:paraId="4D8C0819">
                  <w:pPr>
                    <w:spacing w:before="63" w:line="186" w:lineRule="auto"/>
                    <w:ind w:left="15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HW</w:t>
                  </w:r>
                </w:p>
                <w:p w14:paraId="3B3FC53F">
                  <w:pPr>
                    <w:spacing w:before="100" w:line="189" w:lineRule="auto"/>
                    <w:ind w:left="22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49</w:t>
                  </w:r>
                </w:p>
              </w:tc>
              <w:tc>
                <w:tcPr>
                  <w:tcW w:w="695" w:type="dxa"/>
                  <w:vAlign w:val="top"/>
                </w:tcPr>
                <w:p w14:paraId="7CDAE13B">
                  <w:pPr>
                    <w:spacing w:line="312" w:lineRule="auto"/>
                    <w:rPr>
                      <w:rFonts w:ascii="Arial"/>
                      <w:sz w:val="21"/>
                    </w:rPr>
                  </w:pPr>
                </w:p>
                <w:p w14:paraId="39004199">
                  <w:pPr>
                    <w:spacing w:line="313" w:lineRule="auto"/>
                    <w:rPr>
                      <w:rFonts w:ascii="Arial"/>
                      <w:sz w:val="21"/>
                    </w:rPr>
                  </w:pPr>
                </w:p>
                <w:p w14:paraId="27EE6402">
                  <w:pPr>
                    <w:spacing w:before="63" w:line="189" w:lineRule="auto"/>
                    <w:ind w:left="15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900-</w:t>
                  </w:r>
                </w:p>
                <w:p w14:paraId="4AD6825F">
                  <w:pPr>
                    <w:spacing w:before="100" w:line="189" w:lineRule="auto"/>
                    <w:ind w:left="15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041-</w:t>
                  </w:r>
                </w:p>
                <w:p w14:paraId="2E4CD97A">
                  <w:pPr>
                    <w:spacing w:before="100" w:line="189" w:lineRule="auto"/>
                    <w:ind w:left="2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49</w:t>
                  </w:r>
                </w:p>
              </w:tc>
              <w:tc>
                <w:tcPr>
                  <w:tcW w:w="830" w:type="dxa"/>
                  <w:vAlign w:val="top"/>
                </w:tcPr>
                <w:p w14:paraId="15C4A79B">
                  <w:pPr>
                    <w:spacing w:line="307" w:lineRule="auto"/>
                    <w:rPr>
                      <w:rFonts w:ascii="Arial"/>
                      <w:sz w:val="21"/>
                    </w:rPr>
                  </w:pPr>
                </w:p>
                <w:p w14:paraId="0CB18E02">
                  <w:pPr>
                    <w:spacing w:line="308" w:lineRule="auto"/>
                    <w:rPr>
                      <w:rFonts w:ascii="Arial"/>
                      <w:sz w:val="21"/>
                    </w:rPr>
                  </w:pPr>
                </w:p>
                <w:p w14:paraId="19CE1980">
                  <w:pPr>
                    <w:spacing w:line="308" w:lineRule="auto"/>
                    <w:rPr>
                      <w:rFonts w:ascii="Arial"/>
                      <w:sz w:val="21"/>
                    </w:rPr>
                  </w:pPr>
                </w:p>
                <w:p w14:paraId="4962359E">
                  <w:pPr>
                    <w:spacing w:before="64" w:line="189" w:lineRule="auto"/>
                    <w:ind w:left="22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w:t>
                  </w:r>
                </w:p>
              </w:tc>
              <w:tc>
                <w:tcPr>
                  <w:tcW w:w="831" w:type="dxa"/>
                  <w:vAlign w:val="top"/>
                </w:tcPr>
                <w:p w14:paraId="29AAACD7">
                  <w:pPr>
                    <w:spacing w:line="291" w:lineRule="auto"/>
                    <w:rPr>
                      <w:rFonts w:ascii="Arial"/>
                      <w:sz w:val="21"/>
                    </w:rPr>
                  </w:pPr>
                </w:p>
                <w:p w14:paraId="7F02D572">
                  <w:pPr>
                    <w:spacing w:line="291" w:lineRule="auto"/>
                    <w:rPr>
                      <w:rFonts w:ascii="Arial"/>
                      <w:sz w:val="21"/>
                    </w:rPr>
                  </w:pPr>
                </w:p>
                <w:p w14:paraId="596DE25D">
                  <w:pPr>
                    <w:pStyle w:val="6"/>
                    <w:spacing w:before="71" w:line="253" w:lineRule="auto"/>
                    <w:ind w:left="206" w:right="189" w:hanging="3"/>
                    <w:jc w:val="both"/>
                    <w:rPr>
                      <w:sz w:val="22"/>
                      <w:szCs w:val="22"/>
                    </w:rPr>
                  </w:pPr>
                  <w:r>
                    <w:rPr>
                      <w:spacing w:val="-4"/>
                      <w:sz w:val="22"/>
                      <w:szCs w:val="22"/>
                    </w:rPr>
                    <w:t>三次</w:t>
                  </w:r>
                  <w:r>
                    <w:rPr>
                      <w:spacing w:val="-6"/>
                      <w:sz w:val="22"/>
                      <w:szCs w:val="22"/>
                    </w:rPr>
                    <w:t>油气回收</w:t>
                  </w:r>
                </w:p>
              </w:tc>
              <w:tc>
                <w:tcPr>
                  <w:tcW w:w="518" w:type="dxa"/>
                  <w:textDirection w:val="tbRlV"/>
                  <w:vAlign w:val="top"/>
                </w:tcPr>
                <w:p w14:paraId="7E042A58">
                  <w:pPr>
                    <w:pStyle w:val="6"/>
                    <w:spacing w:before="143" w:line="209" w:lineRule="auto"/>
                    <w:ind w:left="805"/>
                    <w:rPr>
                      <w:sz w:val="22"/>
                      <w:szCs w:val="22"/>
                    </w:rPr>
                  </w:pPr>
                  <w:r>
                    <w:rPr>
                      <w:sz w:val="22"/>
                      <w:szCs w:val="22"/>
                    </w:rPr>
                    <w:t>固</w:t>
                  </w:r>
                  <w:r>
                    <w:rPr>
                      <w:spacing w:val="-31"/>
                      <w:sz w:val="22"/>
                      <w:szCs w:val="22"/>
                    </w:rPr>
                    <w:t xml:space="preserve"> </w:t>
                  </w:r>
                  <w:r>
                    <w:rPr>
                      <w:sz w:val="22"/>
                      <w:szCs w:val="22"/>
                    </w:rPr>
                    <w:t>态</w:t>
                  </w:r>
                </w:p>
              </w:tc>
              <w:tc>
                <w:tcPr>
                  <w:tcW w:w="532" w:type="dxa"/>
                  <w:textDirection w:val="tbRlV"/>
                  <w:vAlign w:val="top"/>
                </w:tcPr>
                <w:p w14:paraId="508A72EB">
                  <w:pPr>
                    <w:pStyle w:val="6"/>
                    <w:spacing w:before="149" w:line="209" w:lineRule="auto"/>
                    <w:ind w:left="657"/>
                    <w:rPr>
                      <w:sz w:val="22"/>
                      <w:szCs w:val="22"/>
                    </w:rPr>
                  </w:pPr>
                  <w:r>
                    <w:rPr>
                      <w:sz w:val="22"/>
                      <w:szCs w:val="22"/>
                    </w:rPr>
                    <w:t>矿</w:t>
                  </w:r>
                  <w:r>
                    <w:rPr>
                      <w:spacing w:val="-30"/>
                      <w:sz w:val="22"/>
                      <w:szCs w:val="22"/>
                    </w:rPr>
                    <w:t xml:space="preserve"> </w:t>
                  </w:r>
                  <w:r>
                    <w:rPr>
                      <w:sz w:val="22"/>
                      <w:szCs w:val="22"/>
                    </w:rPr>
                    <w:t>物</w:t>
                  </w:r>
                  <w:r>
                    <w:rPr>
                      <w:spacing w:val="-31"/>
                      <w:sz w:val="22"/>
                      <w:szCs w:val="22"/>
                    </w:rPr>
                    <w:t xml:space="preserve"> </w:t>
                  </w:r>
                  <w:r>
                    <w:rPr>
                      <w:sz w:val="22"/>
                      <w:szCs w:val="22"/>
                    </w:rPr>
                    <w:t>油</w:t>
                  </w:r>
                </w:p>
              </w:tc>
              <w:tc>
                <w:tcPr>
                  <w:tcW w:w="518" w:type="dxa"/>
                  <w:textDirection w:val="tbRlV"/>
                  <w:vAlign w:val="top"/>
                </w:tcPr>
                <w:p w14:paraId="37DE43A6">
                  <w:pPr>
                    <w:pStyle w:val="6"/>
                    <w:spacing w:before="143" w:line="209" w:lineRule="auto"/>
                    <w:ind w:left="657"/>
                    <w:rPr>
                      <w:sz w:val="22"/>
                      <w:szCs w:val="22"/>
                    </w:rPr>
                  </w:pPr>
                  <w:r>
                    <w:rPr>
                      <w:sz w:val="22"/>
                      <w:szCs w:val="22"/>
                    </w:rPr>
                    <w:t>有</w:t>
                  </w:r>
                  <w:r>
                    <w:rPr>
                      <w:spacing w:val="-30"/>
                      <w:sz w:val="22"/>
                      <w:szCs w:val="22"/>
                    </w:rPr>
                    <w:t xml:space="preserve"> </w:t>
                  </w:r>
                  <w:r>
                    <w:rPr>
                      <w:sz w:val="22"/>
                      <w:szCs w:val="22"/>
                    </w:rPr>
                    <w:t>机</w:t>
                  </w:r>
                  <w:r>
                    <w:rPr>
                      <w:spacing w:val="-31"/>
                      <w:sz w:val="22"/>
                      <w:szCs w:val="22"/>
                    </w:rPr>
                    <w:t xml:space="preserve"> </w:t>
                  </w:r>
                  <w:r>
                    <w:rPr>
                      <w:sz w:val="22"/>
                      <w:szCs w:val="22"/>
                    </w:rPr>
                    <w:t>物</w:t>
                  </w:r>
                </w:p>
              </w:tc>
              <w:tc>
                <w:tcPr>
                  <w:tcW w:w="505" w:type="dxa"/>
                  <w:textDirection w:val="tbRlV"/>
                  <w:vAlign w:val="top"/>
                </w:tcPr>
                <w:p w14:paraId="41109B35">
                  <w:pPr>
                    <w:pStyle w:val="6"/>
                    <w:spacing w:before="137" w:line="209" w:lineRule="auto"/>
                    <w:ind w:left="657"/>
                    <w:rPr>
                      <w:sz w:val="22"/>
                      <w:szCs w:val="22"/>
                    </w:rPr>
                  </w:pPr>
                  <w:r>
                    <w:rPr>
                      <w:sz w:val="22"/>
                      <w:szCs w:val="22"/>
                    </w:rPr>
                    <w:t>每</w:t>
                  </w:r>
                  <w:r>
                    <w:rPr>
                      <w:spacing w:val="-30"/>
                      <w:sz w:val="22"/>
                      <w:szCs w:val="22"/>
                    </w:rPr>
                    <w:t xml:space="preserve"> </w:t>
                  </w:r>
                  <w:r>
                    <w:rPr>
                      <w:sz w:val="22"/>
                      <w:szCs w:val="22"/>
                    </w:rPr>
                    <w:t>半</w:t>
                  </w:r>
                  <w:r>
                    <w:rPr>
                      <w:spacing w:val="-31"/>
                      <w:sz w:val="22"/>
                      <w:szCs w:val="22"/>
                    </w:rPr>
                    <w:t xml:space="preserve"> </w:t>
                  </w:r>
                  <w:r>
                    <w:rPr>
                      <w:sz w:val="22"/>
                      <w:szCs w:val="22"/>
                    </w:rPr>
                    <w:t>年</w:t>
                  </w:r>
                </w:p>
              </w:tc>
              <w:tc>
                <w:tcPr>
                  <w:tcW w:w="518" w:type="dxa"/>
                  <w:vAlign w:val="top"/>
                </w:tcPr>
                <w:p w14:paraId="7B04007E">
                  <w:pPr>
                    <w:spacing w:line="309" w:lineRule="auto"/>
                    <w:rPr>
                      <w:rFonts w:ascii="Arial"/>
                      <w:sz w:val="21"/>
                    </w:rPr>
                  </w:pPr>
                </w:p>
                <w:p w14:paraId="642FF556">
                  <w:pPr>
                    <w:spacing w:line="309" w:lineRule="auto"/>
                    <w:rPr>
                      <w:rFonts w:ascii="Arial"/>
                      <w:sz w:val="21"/>
                    </w:rPr>
                  </w:pPr>
                </w:p>
                <w:p w14:paraId="49BA2FF8">
                  <w:pPr>
                    <w:spacing w:line="309" w:lineRule="auto"/>
                    <w:rPr>
                      <w:rFonts w:ascii="Arial"/>
                      <w:sz w:val="21"/>
                    </w:rPr>
                  </w:pPr>
                </w:p>
                <w:p w14:paraId="6101CC95">
                  <w:pPr>
                    <w:spacing w:before="63" w:line="186" w:lineRule="auto"/>
                    <w:ind w:left="199"/>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1139" w:type="dxa"/>
                  <w:vAlign w:val="top"/>
                </w:tcPr>
                <w:p w14:paraId="491DF847">
                  <w:pPr>
                    <w:pStyle w:val="6"/>
                    <w:spacing w:before="56" w:line="252" w:lineRule="auto"/>
                    <w:ind w:left="136" w:right="127" w:firstLine="113"/>
                    <w:rPr>
                      <w:sz w:val="22"/>
                      <w:szCs w:val="22"/>
                    </w:rPr>
                  </w:pPr>
                  <w:r>
                    <w:rPr>
                      <w:spacing w:val="-5"/>
                      <w:sz w:val="22"/>
                      <w:szCs w:val="22"/>
                    </w:rPr>
                    <w:t>定期更</w:t>
                  </w:r>
                  <w:r>
                    <w:rPr>
                      <w:spacing w:val="-3"/>
                      <w:sz w:val="22"/>
                      <w:szCs w:val="22"/>
                    </w:rPr>
                    <w:t>换，由厂</w:t>
                  </w:r>
                </w:p>
                <w:p w14:paraId="6DB3E0DE">
                  <w:pPr>
                    <w:pStyle w:val="6"/>
                    <w:spacing w:line="220" w:lineRule="auto"/>
                    <w:ind w:left="136"/>
                    <w:rPr>
                      <w:sz w:val="22"/>
                      <w:szCs w:val="22"/>
                    </w:rPr>
                  </w:pPr>
                  <w:r>
                    <w:rPr>
                      <w:spacing w:val="-3"/>
                      <w:sz w:val="22"/>
                      <w:szCs w:val="22"/>
                    </w:rPr>
                    <w:t>家负责更</w:t>
                  </w:r>
                </w:p>
                <w:p w14:paraId="2C1E88B4">
                  <w:pPr>
                    <w:pStyle w:val="6"/>
                    <w:spacing w:before="37" w:line="221" w:lineRule="auto"/>
                    <w:ind w:left="136"/>
                    <w:rPr>
                      <w:sz w:val="22"/>
                      <w:szCs w:val="22"/>
                    </w:rPr>
                  </w:pPr>
                  <w:r>
                    <w:rPr>
                      <w:spacing w:val="-3"/>
                      <w:sz w:val="22"/>
                      <w:szCs w:val="22"/>
                    </w:rPr>
                    <w:t>换后交有</w:t>
                  </w:r>
                </w:p>
                <w:p w14:paraId="10FFB44F">
                  <w:pPr>
                    <w:pStyle w:val="6"/>
                    <w:spacing w:before="36" w:line="221" w:lineRule="auto"/>
                    <w:ind w:left="143"/>
                    <w:rPr>
                      <w:sz w:val="22"/>
                      <w:szCs w:val="22"/>
                    </w:rPr>
                  </w:pPr>
                  <w:r>
                    <w:rPr>
                      <w:spacing w:val="-5"/>
                      <w:sz w:val="22"/>
                      <w:szCs w:val="22"/>
                    </w:rPr>
                    <w:t>资质单位</w:t>
                  </w:r>
                </w:p>
                <w:p w14:paraId="0B9E8F3A">
                  <w:pPr>
                    <w:pStyle w:val="6"/>
                    <w:spacing w:before="36" w:line="223" w:lineRule="auto"/>
                    <w:ind w:left="138"/>
                    <w:rPr>
                      <w:sz w:val="22"/>
                      <w:szCs w:val="22"/>
                    </w:rPr>
                  </w:pPr>
                  <w:r>
                    <w:rPr>
                      <w:spacing w:val="-1"/>
                      <w:sz w:val="22"/>
                      <w:szCs w:val="22"/>
                    </w:rPr>
                    <w:t>处置，站</w:t>
                  </w:r>
                </w:p>
                <w:p w14:paraId="33AACC22">
                  <w:pPr>
                    <w:pStyle w:val="6"/>
                    <w:spacing w:before="34" w:line="203" w:lineRule="auto"/>
                    <w:ind w:left="161"/>
                    <w:rPr>
                      <w:sz w:val="22"/>
                      <w:szCs w:val="22"/>
                    </w:rPr>
                  </w:pPr>
                  <w:r>
                    <w:rPr>
                      <w:spacing w:val="-9"/>
                      <w:sz w:val="22"/>
                      <w:szCs w:val="22"/>
                    </w:rPr>
                    <w:t>内不暂存</w:t>
                  </w:r>
                </w:p>
              </w:tc>
            </w:tr>
          </w:tbl>
          <w:p w14:paraId="214785E2">
            <w:pPr>
              <w:rPr>
                <w:rFonts w:ascii="Arial"/>
                <w:sz w:val="21"/>
              </w:rPr>
            </w:pPr>
          </w:p>
        </w:tc>
      </w:tr>
    </w:tbl>
    <w:p w14:paraId="3473F3B3">
      <w:pPr>
        <w:pStyle w:val="2"/>
        <w:rPr>
          <w:sz w:val="21"/>
        </w:rPr>
      </w:pPr>
    </w:p>
    <w:p w14:paraId="0821F585">
      <w:pPr>
        <w:rPr>
          <w:sz w:val="21"/>
          <w:szCs w:val="21"/>
        </w:rPr>
        <w:sectPr>
          <w:footerReference r:id="rId92" w:type="default"/>
          <w:pgSz w:w="11907" w:h="16840"/>
          <w:pgMar w:top="400" w:right="1490" w:bottom="1008" w:left="1489" w:header="0" w:footer="770" w:gutter="0"/>
          <w:cols w:space="720" w:num="1"/>
        </w:sectPr>
      </w:pPr>
    </w:p>
    <w:p w14:paraId="5CA938B5">
      <w:pPr>
        <w:spacing w:before="19"/>
      </w:pPr>
    </w:p>
    <w:p w14:paraId="3E3039E5">
      <w:pPr>
        <w:spacing w:before="19"/>
      </w:pPr>
    </w:p>
    <w:p w14:paraId="11643F3A">
      <w:pPr>
        <w:spacing w:before="19"/>
      </w:pPr>
    </w:p>
    <w:p w14:paraId="56D73F1E">
      <w:pPr>
        <w:spacing w:before="18"/>
      </w:pPr>
    </w:p>
    <w:p w14:paraId="773B3AF9">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4B3F9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47" w:hRule="atLeast"/>
        </w:trPr>
        <w:tc>
          <w:tcPr>
            <w:tcW w:w="754" w:type="dxa"/>
            <w:tcBorders>
              <w:right w:val="single" w:color="000000" w:sz="2" w:space="0"/>
            </w:tcBorders>
            <w:vAlign w:val="top"/>
          </w:tcPr>
          <w:p w14:paraId="4585A2A7">
            <w:pPr>
              <w:rPr>
                <w:rFonts w:ascii="Arial"/>
                <w:sz w:val="21"/>
              </w:rPr>
            </w:pPr>
          </w:p>
        </w:tc>
        <w:tc>
          <w:tcPr>
            <w:tcW w:w="8158" w:type="dxa"/>
            <w:tcBorders>
              <w:left w:val="single" w:color="000000" w:sz="2" w:space="0"/>
            </w:tcBorders>
            <w:vAlign w:val="top"/>
          </w:tcPr>
          <w:p w14:paraId="6C090F75">
            <w:pPr>
              <w:pStyle w:val="6"/>
              <w:spacing w:before="150" w:line="225" w:lineRule="auto"/>
              <w:ind w:left="592"/>
            </w:pPr>
            <w:r>
              <w:rPr>
                <w:spacing w:val="7"/>
              </w:rPr>
              <w:t>表</w:t>
            </w:r>
            <w:r>
              <w:rPr>
                <w:spacing w:val="-56"/>
              </w:rPr>
              <w:t xml:space="preserve"> </w:t>
            </w:r>
            <w:r>
              <w:rPr>
                <w:rFonts w:ascii="Times New Roman" w:hAnsi="Times New Roman" w:eastAsia="Times New Roman" w:cs="Times New Roman"/>
                <w:spacing w:val="7"/>
              </w:rPr>
              <w:t>4.2-</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 xml:space="preserve">17    </w:t>
            </w:r>
            <w:r>
              <w:rPr>
                <w:spacing w:val="7"/>
              </w:rPr>
              <w:t>本项目实施后全站固体废物</w:t>
            </w:r>
            <w:r>
              <w:rPr>
                <w:spacing w:val="6"/>
              </w:rPr>
              <w:t>产生及处理情况一览表</w:t>
            </w:r>
          </w:p>
          <w:p w14:paraId="63B1B45D">
            <w:pPr>
              <w:spacing w:line="98" w:lineRule="auto"/>
              <w:rPr>
                <w:rFonts w:ascii="Arial"/>
                <w:sz w:val="2"/>
              </w:rPr>
            </w:pPr>
          </w:p>
          <w:tbl>
            <w:tblPr>
              <w:tblStyle w:val="5"/>
              <w:tblW w:w="7934"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5"/>
              <w:gridCol w:w="1554"/>
              <w:gridCol w:w="885"/>
              <w:gridCol w:w="899"/>
              <w:gridCol w:w="1472"/>
              <w:gridCol w:w="2729"/>
            </w:tblGrid>
            <w:tr w14:paraId="21124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949" w:type="dxa"/>
                  <w:gridSpan w:val="2"/>
                  <w:vAlign w:val="top"/>
                </w:tcPr>
                <w:p w14:paraId="368106B5">
                  <w:pPr>
                    <w:pStyle w:val="6"/>
                    <w:spacing w:before="205" w:line="220" w:lineRule="auto"/>
                    <w:ind w:left="760"/>
                    <w:rPr>
                      <w:sz w:val="22"/>
                      <w:szCs w:val="22"/>
                    </w:rPr>
                  </w:pPr>
                  <w:r>
                    <w:rPr>
                      <w:spacing w:val="-4"/>
                      <w:sz w:val="22"/>
                      <w:szCs w:val="22"/>
                    </w:rPr>
                    <w:t>类别</w:t>
                  </w:r>
                </w:p>
              </w:tc>
              <w:tc>
                <w:tcPr>
                  <w:tcW w:w="885" w:type="dxa"/>
                  <w:vAlign w:val="top"/>
                </w:tcPr>
                <w:p w14:paraId="703619E4">
                  <w:pPr>
                    <w:pStyle w:val="6"/>
                    <w:spacing w:before="55" w:line="228" w:lineRule="auto"/>
                    <w:ind w:left="122" w:right="111" w:hanging="6"/>
                    <w:rPr>
                      <w:sz w:val="22"/>
                      <w:szCs w:val="22"/>
                    </w:rPr>
                  </w:pPr>
                  <w:r>
                    <w:rPr>
                      <w:spacing w:val="-3"/>
                      <w:sz w:val="22"/>
                      <w:szCs w:val="22"/>
                    </w:rPr>
                    <w:t>产生量</w:t>
                  </w:r>
                  <w:r>
                    <w:rPr>
                      <w:spacing w:val="-6"/>
                      <w:sz w:val="22"/>
                      <w:szCs w:val="22"/>
                    </w:rPr>
                    <w:t>（</w:t>
                  </w:r>
                  <w:r>
                    <w:rPr>
                      <w:rFonts w:ascii="Times New Roman" w:hAnsi="Times New Roman" w:eastAsia="Times New Roman" w:cs="Times New Roman"/>
                      <w:spacing w:val="-6"/>
                      <w:sz w:val="22"/>
                      <w:szCs w:val="22"/>
                    </w:rPr>
                    <w:t>t/a</w:t>
                  </w:r>
                  <w:r>
                    <w:rPr>
                      <w:spacing w:val="-6"/>
                      <w:sz w:val="22"/>
                      <w:szCs w:val="22"/>
                    </w:rPr>
                    <w:t>）</w:t>
                  </w:r>
                </w:p>
              </w:tc>
              <w:tc>
                <w:tcPr>
                  <w:tcW w:w="899" w:type="dxa"/>
                  <w:vAlign w:val="top"/>
                </w:tcPr>
                <w:p w14:paraId="33BBE221">
                  <w:pPr>
                    <w:pStyle w:val="6"/>
                    <w:spacing w:before="55" w:line="228" w:lineRule="auto"/>
                    <w:ind w:left="131" w:right="115" w:hanging="2"/>
                    <w:rPr>
                      <w:sz w:val="22"/>
                      <w:szCs w:val="22"/>
                    </w:rPr>
                  </w:pPr>
                  <w:r>
                    <w:rPr>
                      <w:spacing w:val="-4"/>
                      <w:sz w:val="22"/>
                      <w:szCs w:val="22"/>
                    </w:rPr>
                    <w:t>处置量</w:t>
                  </w:r>
                  <w:r>
                    <w:rPr>
                      <w:spacing w:val="-3"/>
                      <w:sz w:val="22"/>
                      <w:szCs w:val="22"/>
                    </w:rPr>
                    <w:t>（</w:t>
                  </w:r>
                  <w:r>
                    <w:rPr>
                      <w:rFonts w:ascii="Times New Roman" w:hAnsi="Times New Roman" w:eastAsia="Times New Roman" w:cs="Times New Roman"/>
                      <w:spacing w:val="-3"/>
                      <w:sz w:val="22"/>
                      <w:szCs w:val="22"/>
                    </w:rPr>
                    <w:t>t/a</w:t>
                  </w:r>
                  <w:r>
                    <w:rPr>
                      <w:spacing w:val="-3"/>
                      <w:sz w:val="22"/>
                      <w:szCs w:val="22"/>
                    </w:rPr>
                    <w:t>）</w:t>
                  </w:r>
                </w:p>
              </w:tc>
              <w:tc>
                <w:tcPr>
                  <w:tcW w:w="1472" w:type="dxa"/>
                  <w:vAlign w:val="top"/>
                </w:tcPr>
                <w:p w14:paraId="07F8BAB2">
                  <w:pPr>
                    <w:pStyle w:val="6"/>
                    <w:spacing w:before="55" w:line="228" w:lineRule="auto"/>
                    <w:ind w:left="204" w:right="152" w:hanging="39"/>
                    <w:rPr>
                      <w:sz w:val="22"/>
                      <w:szCs w:val="22"/>
                    </w:rPr>
                  </w:pPr>
                  <w:r>
                    <w:rPr>
                      <w:spacing w:val="-2"/>
                      <w:sz w:val="22"/>
                      <w:szCs w:val="22"/>
                    </w:rPr>
                    <w:t>一般固废</w:t>
                  </w:r>
                  <w:r>
                    <w:rPr>
                      <w:rFonts w:ascii="Times New Roman" w:hAnsi="Times New Roman" w:eastAsia="Times New Roman" w:cs="Times New Roman"/>
                      <w:spacing w:val="-2"/>
                      <w:sz w:val="22"/>
                      <w:szCs w:val="22"/>
                    </w:rPr>
                    <w:t>/</w:t>
                  </w:r>
                  <w:r>
                    <w:rPr>
                      <w:spacing w:val="-2"/>
                      <w:sz w:val="22"/>
                      <w:szCs w:val="22"/>
                    </w:rPr>
                    <w:t>危</w:t>
                  </w:r>
                  <w:r>
                    <w:rPr>
                      <w:spacing w:val="-4"/>
                      <w:sz w:val="22"/>
                      <w:szCs w:val="22"/>
                    </w:rPr>
                    <w:t>险废物代码</w:t>
                  </w:r>
                </w:p>
              </w:tc>
              <w:tc>
                <w:tcPr>
                  <w:tcW w:w="2729" w:type="dxa"/>
                  <w:vAlign w:val="top"/>
                </w:tcPr>
                <w:p w14:paraId="54A2D357">
                  <w:pPr>
                    <w:pStyle w:val="6"/>
                    <w:spacing w:before="205" w:line="221" w:lineRule="auto"/>
                    <w:ind w:left="935"/>
                    <w:rPr>
                      <w:sz w:val="22"/>
                      <w:szCs w:val="22"/>
                    </w:rPr>
                  </w:pPr>
                  <w:r>
                    <w:rPr>
                      <w:spacing w:val="-4"/>
                      <w:sz w:val="22"/>
                      <w:szCs w:val="22"/>
                    </w:rPr>
                    <w:t>处理措施</w:t>
                  </w:r>
                </w:p>
              </w:tc>
            </w:tr>
            <w:tr w14:paraId="62EA9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395" w:type="dxa"/>
                  <w:vMerge w:val="restart"/>
                  <w:tcBorders>
                    <w:bottom w:val="nil"/>
                  </w:tcBorders>
                  <w:textDirection w:val="tbRlV"/>
                  <w:vAlign w:val="top"/>
                </w:tcPr>
                <w:p w14:paraId="768A4BC5">
                  <w:pPr>
                    <w:pStyle w:val="6"/>
                    <w:spacing w:before="60" w:line="210" w:lineRule="auto"/>
                    <w:ind w:left="1566"/>
                    <w:rPr>
                      <w:sz w:val="22"/>
                      <w:szCs w:val="22"/>
                    </w:rPr>
                  </w:pPr>
                  <w:r>
                    <w:rPr>
                      <w:sz w:val="22"/>
                      <w:szCs w:val="22"/>
                    </w:rPr>
                    <w:t>危</w:t>
                  </w:r>
                  <w:r>
                    <w:rPr>
                      <w:spacing w:val="-29"/>
                      <w:sz w:val="22"/>
                      <w:szCs w:val="22"/>
                    </w:rPr>
                    <w:t xml:space="preserve"> </w:t>
                  </w:r>
                  <w:r>
                    <w:rPr>
                      <w:sz w:val="22"/>
                      <w:szCs w:val="22"/>
                    </w:rPr>
                    <w:t>险</w:t>
                  </w:r>
                  <w:r>
                    <w:rPr>
                      <w:spacing w:val="-31"/>
                      <w:sz w:val="22"/>
                      <w:szCs w:val="22"/>
                    </w:rPr>
                    <w:t xml:space="preserve"> </w:t>
                  </w:r>
                  <w:r>
                    <w:rPr>
                      <w:sz w:val="22"/>
                      <w:szCs w:val="22"/>
                    </w:rPr>
                    <w:t>废</w:t>
                  </w:r>
                  <w:r>
                    <w:rPr>
                      <w:spacing w:val="-31"/>
                      <w:sz w:val="22"/>
                      <w:szCs w:val="22"/>
                    </w:rPr>
                    <w:t xml:space="preserve"> </w:t>
                  </w:r>
                  <w:r>
                    <w:rPr>
                      <w:sz w:val="22"/>
                      <w:szCs w:val="22"/>
                    </w:rPr>
                    <w:t>物</w:t>
                  </w:r>
                </w:p>
              </w:tc>
              <w:tc>
                <w:tcPr>
                  <w:tcW w:w="1554" w:type="dxa"/>
                  <w:vAlign w:val="top"/>
                </w:tcPr>
                <w:p w14:paraId="014723E2">
                  <w:pPr>
                    <w:spacing w:line="278" w:lineRule="auto"/>
                    <w:rPr>
                      <w:rFonts w:ascii="Arial"/>
                      <w:sz w:val="21"/>
                    </w:rPr>
                  </w:pPr>
                </w:p>
                <w:p w14:paraId="21564479">
                  <w:pPr>
                    <w:pStyle w:val="6"/>
                    <w:spacing w:before="72" w:line="220" w:lineRule="auto"/>
                    <w:ind w:left="341"/>
                    <w:rPr>
                      <w:sz w:val="22"/>
                      <w:szCs w:val="22"/>
                    </w:rPr>
                  </w:pPr>
                  <w:r>
                    <w:rPr>
                      <w:spacing w:val="-2"/>
                      <w:sz w:val="22"/>
                      <w:szCs w:val="22"/>
                    </w:rPr>
                    <w:t>清罐废物</w:t>
                  </w:r>
                </w:p>
              </w:tc>
              <w:tc>
                <w:tcPr>
                  <w:tcW w:w="885" w:type="dxa"/>
                  <w:vAlign w:val="top"/>
                </w:tcPr>
                <w:p w14:paraId="632984E8">
                  <w:pPr>
                    <w:pStyle w:val="6"/>
                    <w:spacing w:before="202" w:line="254" w:lineRule="auto"/>
                    <w:ind w:left="173" w:right="104" w:hanging="44"/>
                    <w:rPr>
                      <w:sz w:val="22"/>
                      <w:szCs w:val="22"/>
                    </w:rPr>
                  </w:pPr>
                  <w:r>
                    <w:rPr>
                      <w:rFonts w:ascii="Times New Roman" w:hAnsi="Times New Roman" w:eastAsia="Times New Roman" w:cs="Times New Roman"/>
                      <w:spacing w:val="-14"/>
                      <w:sz w:val="22"/>
                      <w:szCs w:val="22"/>
                    </w:rPr>
                    <w:t>1.5</w:t>
                  </w:r>
                  <w:r>
                    <w:rPr>
                      <w:spacing w:val="-14"/>
                      <w:sz w:val="22"/>
                      <w:szCs w:val="22"/>
                    </w:rPr>
                    <w:t>（每</w:t>
                  </w:r>
                  <w:r>
                    <w:rPr>
                      <w:rFonts w:ascii="Times New Roman" w:hAnsi="Times New Roman" w:eastAsia="Times New Roman" w:cs="Times New Roman"/>
                      <w:spacing w:val="-4"/>
                      <w:sz w:val="22"/>
                      <w:szCs w:val="22"/>
                    </w:rPr>
                    <w:t>5</w:t>
                  </w:r>
                  <w:r>
                    <w:rPr>
                      <w:spacing w:val="-4"/>
                      <w:sz w:val="22"/>
                      <w:szCs w:val="22"/>
                    </w:rPr>
                    <w:t>年）</w:t>
                  </w:r>
                </w:p>
              </w:tc>
              <w:tc>
                <w:tcPr>
                  <w:tcW w:w="899" w:type="dxa"/>
                  <w:vAlign w:val="top"/>
                </w:tcPr>
                <w:p w14:paraId="269BD197">
                  <w:pPr>
                    <w:pStyle w:val="6"/>
                    <w:spacing w:before="202" w:line="254" w:lineRule="auto"/>
                    <w:ind w:left="180" w:right="103" w:hanging="51"/>
                    <w:rPr>
                      <w:sz w:val="22"/>
                      <w:szCs w:val="22"/>
                    </w:rPr>
                  </w:pPr>
                  <w:r>
                    <w:rPr>
                      <w:rFonts w:ascii="Times New Roman" w:hAnsi="Times New Roman" w:eastAsia="Times New Roman" w:cs="Times New Roman"/>
                      <w:spacing w:val="-11"/>
                      <w:sz w:val="22"/>
                      <w:szCs w:val="22"/>
                    </w:rPr>
                    <w:t>1.5</w:t>
                  </w:r>
                  <w:r>
                    <w:rPr>
                      <w:spacing w:val="-11"/>
                      <w:sz w:val="22"/>
                      <w:szCs w:val="22"/>
                    </w:rPr>
                    <w:t>（每</w:t>
                  </w:r>
                  <w:r>
                    <w:rPr>
                      <w:rFonts w:ascii="Times New Roman" w:hAnsi="Times New Roman" w:eastAsia="Times New Roman" w:cs="Times New Roman"/>
                      <w:spacing w:val="-4"/>
                      <w:sz w:val="22"/>
                      <w:szCs w:val="22"/>
                    </w:rPr>
                    <w:t>5</w:t>
                  </w:r>
                  <w:r>
                    <w:rPr>
                      <w:spacing w:val="-4"/>
                      <w:sz w:val="22"/>
                      <w:szCs w:val="22"/>
                    </w:rPr>
                    <w:t>年）</w:t>
                  </w:r>
                </w:p>
              </w:tc>
              <w:tc>
                <w:tcPr>
                  <w:tcW w:w="1472" w:type="dxa"/>
                  <w:vAlign w:val="top"/>
                </w:tcPr>
                <w:p w14:paraId="35F0D86F">
                  <w:pPr>
                    <w:spacing w:line="324" w:lineRule="auto"/>
                    <w:rPr>
                      <w:rFonts w:ascii="Arial"/>
                      <w:sz w:val="21"/>
                    </w:rPr>
                  </w:pPr>
                </w:p>
                <w:p w14:paraId="164D42F1">
                  <w:pPr>
                    <w:spacing w:before="64"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900-221-08</w:t>
                  </w:r>
                </w:p>
              </w:tc>
              <w:tc>
                <w:tcPr>
                  <w:tcW w:w="2729" w:type="dxa"/>
                  <w:vAlign w:val="top"/>
                </w:tcPr>
                <w:p w14:paraId="19C0CCCF">
                  <w:pPr>
                    <w:pStyle w:val="6"/>
                    <w:spacing w:before="52" w:line="220" w:lineRule="auto"/>
                    <w:ind w:left="166"/>
                    <w:rPr>
                      <w:sz w:val="22"/>
                      <w:szCs w:val="22"/>
                    </w:rPr>
                  </w:pPr>
                  <w:r>
                    <w:rPr>
                      <w:spacing w:val="-2"/>
                      <w:sz w:val="22"/>
                      <w:szCs w:val="22"/>
                    </w:rPr>
                    <w:t>定期清罐，当日由危废资</w:t>
                  </w:r>
                </w:p>
                <w:p w14:paraId="79CFFA95">
                  <w:pPr>
                    <w:pStyle w:val="6"/>
                    <w:spacing w:before="37" w:line="221" w:lineRule="auto"/>
                    <w:ind w:left="161"/>
                    <w:rPr>
                      <w:sz w:val="22"/>
                      <w:szCs w:val="22"/>
                    </w:rPr>
                  </w:pPr>
                  <w:r>
                    <w:rPr>
                      <w:sz w:val="22"/>
                      <w:szCs w:val="22"/>
                    </w:rPr>
                    <w:t>质单位统一清运处置，站</w:t>
                  </w:r>
                </w:p>
                <w:p w14:paraId="2B8151D4">
                  <w:pPr>
                    <w:pStyle w:val="6"/>
                    <w:spacing w:before="36" w:line="203" w:lineRule="auto"/>
                    <w:ind w:left="405"/>
                    <w:rPr>
                      <w:sz w:val="22"/>
                      <w:szCs w:val="22"/>
                    </w:rPr>
                  </w:pPr>
                  <w:r>
                    <w:rPr>
                      <w:spacing w:val="-4"/>
                      <w:sz w:val="22"/>
                      <w:szCs w:val="22"/>
                    </w:rPr>
                    <w:t>内不进行暂存和处置</w:t>
                  </w:r>
                </w:p>
              </w:tc>
            </w:tr>
            <w:tr w14:paraId="4732C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395" w:type="dxa"/>
                  <w:vMerge w:val="continue"/>
                  <w:tcBorders>
                    <w:top w:val="nil"/>
                    <w:bottom w:val="nil"/>
                  </w:tcBorders>
                  <w:textDirection w:val="tbRlV"/>
                  <w:vAlign w:val="top"/>
                </w:tcPr>
                <w:p w14:paraId="59157687">
                  <w:pPr>
                    <w:rPr>
                      <w:rFonts w:ascii="Arial"/>
                      <w:sz w:val="21"/>
                    </w:rPr>
                  </w:pPr>
                </w:p>
              </w:tc>
              <w:tc>
                <w:tcPr>
                  <w:tcW w:w="1554" w:type="dxa"/>
                  <w:vAlign w:val="top"/>
                </w:tcPr>
                <w:p w14:paraId="61B5A066">
                  <w:pPr>
                    <w:spacing w:line="429" w:lineRule="auto"/>
                    <w:rPr>
                      <w:rFonts w:ascii="Arial"/>
                      <w:sz w:val="21"/>
                    </w:rPr>
                  </w:pPr>
                </w:p>
                <w:p w14:paraId="0429067E">
                  <w:pPr>
                    <w:pStyle w:val="6"/>
                    <w:spacing w:before="72" w:line="220" w:lineRule="auto"/>
                    <w:ind w:left="123"/>
                    <w:rPr>
                      <w:sz w:val="22"/>
                      <w:szCs w:val="22"/>
                    </w:rPr>
                  </w:pPr>
                  <w:r>
                    <w:rPr>
                      <w:spacing w:val="-2"/>
                      <w:sz w:val="22"/>
                      <w:szCs w:val="22"/>
                    </w:rPr>
                    <w:t>设备检修废物</w:t>
                  </w:r>
                </w:p>
              </w:tc>
              <w:tc>
                <w:tcPr>
                  <w:tcW w:w="885" w:type="dxa"/>
                  <w:vAlign w:val="top"/>
                </w:tcPr>
                <w:p w14:paraId="629F4566">
                  <w:pPr>
                    <w:spacing w:line="473" w:lineRule="auto"/>
                    <w:rPr>
                      <w:rFonts w:ascii="Arial"/>
                      <w:sz w:val="21"/>
                    </w:rPr>
                  </w:pPr>
                </w:p>
                <w:p w14:paraId="7EA80D02">
                  <w:pPr>
                    <w:spacing w:before="63" w:line="189" w:lineRule="auto"/>
                    <w:ind w:left="30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0.4</w:t>
                  </w:r>
                </w:p>
              </w:tc>
              <w:tc>
                <w:tcPr>
                  <w:tcW w:w="899" w:type="dxa"/>
                  <w:vAlign w:val="top"/>
                </w:tcPr>
                <w:p w14:paraId="01F12A56">
                  <w:pPr>
                    <w:spacing w:line="473" w:lineRule="auto"/>
                    <w:rPr>
                      <w:rFonts w:ascii="Arial"/>
                      <w:sz w:val="21"/>
                    </w:rPr>
                  </w:pPr>
                </w:p>
                <w:p w14:paraId="1DC22E1A">
                  <w:pPr>
                    <w:spacing w:before="63" w:line="189" w:lineRule="auto"/>
                    <w:ind w:left="31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0.4</w:t>
                  </w:r>
                </w:p>
              </w:tc>
              <w:tc>
                <w:tcPr>
                  <w:tcW w:w="1472" w:type="dxa"/>
                  <w:vAlign w:val="top"/>
                </w:tcPr>
                <w:p w14:paraId="371A902F">
                  <w:pPr>
                    <w:spacing w:line="473" w:lineRule="auto"/>
                    <w:rPr>
                      <w:rFonts w:ascii="Arial"/>
                      <w:sz w:val="21"/>
                    </w:rPr>
                  </w:pPr>
                </w:p>
                <w:p w14:paraId="693EC2F3">
                  <w:pPr>
                    <w:spacing w:before="63"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900-249-08</w:t>
                  </w:r>
                </w:p>
              </w:tc>
              <w:tc>
                <w:tcPr>
                  <w:tcW w:w="2729" w:type="dxa"/>
                  <w:vAlign w:val="top"/>
                </w:tcPr>
                <w:p w14:paraId="5E2B7C24">
                  <w:pPr>
                    <w:pStyle w:val="6"/>
                    <w:spacing w:before="52" w:line="220" w:lineRule="auto"/>
                    <w:ind w:left="166"/>
                    <w:rPr>
                      <w:sz w:val="22"/>
                      <w:szCs w:val="22"/>
                    </w:rPr>
                  </w:pPr>
                  <w:r>
                    <w:rPr>
                      <w:spacing w:val="-2"/>
                      <w:sz w:val="22"/>
                      <w:szCs w:val="22"/>
                    </w:rPr>
                    <w:t>定期检修，用金属桶密闭</w:t>
                  </w:r>
                </w:p>
                <w:p w14:paraId="3365EB89">
                  <w:pPr>
                    <w:pStyle w:val="6"/>
                    <w:spacing w:before="37" w:line="220" w:lineRule="auto"/>
                    <w:ind w:left="162"/>
                    <w:rPr>
                      <w:sz w:val="22"/>
                      <w:szCs w:val="22"/>
                    </w:rPr>
                  </w:pPr>
                  <w:r>
                    <w:rPr>
                      <w:spacing w:val="-1"/>
                      <w:sz w:val="22"/>
                      <w:szCs w:val="22"/>
                    </w:rPr>
                    <w:t>盛装，收集暂存于危险废</w:t>
                  </w:r>
                </w:p>
                <w:p w14:paraId="5C115EC4">
                  <w:pPr>
                    <w:pStyle w:val="6"/>
                    <w:spacing w:before="37" w:line="220" w:lineRule="auto"/>
                    <w:ind w:left="160"/>
                    <w:rPr>
                      <w:sz w:val="22"/>
                      <w:szCs w:val="22"/>
                    </w:rPr>
                  </w:pPr>
                  <w:r>
                    <w:rPr>
                      <w:spacing w:val="-1"/>
                      <w:sz w:val="22"/>
                      <w:szCs w:val="22"/>
                    </w:rPr>
                    <w:t>物贮存点后定期交有资质</w:t>
                  </w:r>
                </w:p>
                <w:p w14:paraId="14918891">
                  <w:pPr>
                    <w:pStyle w:val="6"/>
                    <w:spacing w:before="37" w:line="203" w:lineRule="auto"/>
                    <w:ind w:left="712"/>
                    <w:rPr>
                      <w:sz w:val="22"/>
                      <w:szCs w:val="22"/>
                    </w:rPr>
                  </w:pPr>
                  <w:r>
                    <w:rPr>
                      <w:spacing w:val="-2"/>
                      <w:sz w:val="22"/>
                      <w:szCs w:val="22"/>
                    </w:rPr>
                    <w:t>单位清运处置</w:t>
                  </w:r>
                </w:p>
              </w:tc>
            </w:tr>
            <w:tr w14:paraId="73E01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395" w:type="dxa"/>
                  <w:vMerge w:val="continue"/>
                  <w:tcBorders>
                    <w:top w:val="nil"/>
                    <w:bottom w:val="nil"/>
                  </w:tcBorders>
                  <w:textDirection w:val="tbRlV"/>
                  <w:vAlign w:val="top"/>
                </w:tcPr>
                <w:p w14:paraId="4D90C679">
                  <w:pPr>
                    <w:rPr>
                      <w:rFonts w:ascii="Arial"/>
                      <w:sz w:val="21"/>
                    </w:rPr>
                  </w:pPr>
                </w:p>
              </w:tc>
              <w:tc>
                <w:tcPr>
                  <w:tcW w:w="1554" w:type="dxa"/>
                  <w:vAlign w:val="top"/>
                </w:tcPr>
                <w:p w14:paraId="3FEE8E06">
                  <w:pPr>
                    <w:spacing w:line="279" w:lineRule="auto"/>
                    <w:rPr>
                      <w:rFonts w:ascii="Arial"/>
                      <w:sz w:val="21"/>
                    </w:rPr>
                  </w:pPr>
                </w:p>
                <w:p w14:paraId="7CD2CF79">
                  <w:pPr>
                    <w:pStyle w:val="6"/>
                    <w:spacing w:before="71" w:line="254" w:lineRule="auto"/>
                    <w:ind w:left="340" w:right="117" w:hanging="207"/>
                    <w:rPr>
                      <w:sz w:val="22"/>
                      <w:szCs w:val="22"/>
                    </w:rPr>
                  </w:pPr>
                  <w:r>
                    <w:rPr>
                      <w:spacing w:val="-4"/>
                      <w:sz w:val="22"/>
                      <w:szCs w:val="22"/>
                    </w:rPr>
                    <w:t>隔油池浮油及</w:t>
                  </w:r>
                  <w:r>
                    <w:rPr>
                      <w:spacing w:val="-2"/>
                      <w:sz w:val="22"/>
                      <w:szCs w:val="22"/>
                    </w:rPr>
                    <w:t>含油污泥</w:t>
                  </w:r>
                </w:p>
              </w:tc>
              <w:tc>
                <w:tcPr>
                  <w:tcW w:w="885" w:type="dxa"/>
                  <w:vAlign w:val="top"/>
                </w:tcPr>
                <w:p w14:paraId="64736C40">
                  <w:pPr>
                    <w:spacing w:line="473" w:lineRule="auto"/>
                    <w:rPr>
                      <w:rFonts w:ascii="Arial"/>
                      <w:sz w:val="21"/>
                    </w:rPr>
                  </w:pPr>
                </w:p>
                <w:p w14:paraId="256CADF4">
                  <w:pPr>
                    <w:spacing w:before="64" w:line="189" w:lineRule="auto"/>
                    <w:ind w:left="30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w:t>
                  </w:r>
                </w:p>
              </w:tc>
              <w:tc>
                <w:tcPr>
                  <w:tcW w:w="899" w:type="dxa"/>
                  <w:vAlign w:val="top"/>
                </w:tcPr>
                <w:p w14:paraId="436BD623">
                  <w:pPr>
                    <w:spacing w:line="473" w:lineRule="auto"/>
                    <w:rPr>
                      <w:rFonts w:ascii="Arial"/>
                      <w:sz w:val="21"/>
                    </w:rPr>
                  </w:pPr>
                </w:p>
                <w:p w14:paraId="27D589F2">
                  <w:pPr>
                    <w:spacing w:before="64" w:line="189" w:lineRule="auto"/>
                    <w:ind w:left="31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w:t>
                  </w:r>
                </w:p>
              </w:tc>
              <w:tc>
                <w:tcPr>
                  <w:tcW w:w="1472" w:type="dxa"/>
                  <w:vAlign w:val="top"/>
                </w:tcPr>
                <w:p w14:paraId="73CC17F0">
                  <w:pPr>
                    <w:spacing w:line="473" w:lineRule="auto"/>
                    <w:rPr>
                      <w:rFonts w:ascii="Arial"/>
                      <w:sz w:val="21"/>
                    </w:rPr>
                  </w:pPr>
                </w:p>
                <w:p w14:paraId="59049399">
                  <w:pPr>
                    <w:spacing w:before="64"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900-210-08</w:t>
                  </w:r>
                </w:p>
              </w:tc>
              <w:tc>
                <w:tcPr>
                  <w:tcW w:w="2729" w:type="dxa"/>
                  <w:vAlign w:val="top"/>
                </w:tcPr>
                <w:p w14:paraId="2908E306">
                  <w:pPr>
                    <w:pStyle w:val="6"/>
                    <w:spacing w:before="53" w:line="221" w:lineRule="auto"/>
                    <w:ind w:left="166"/>
                    <w:rPr>
                      <w:sz w:val="22"/>
                      <w:szCs w:val="22"/>
                    </w:rPr>
                  </w:pPr>
                  <w:r>
                    <w:rPr>
                      <w:spacing w:val="-2"/>
                      <w:sz w:val="22"/>
                      <w:szCs w:val="22"/>
                    </w:rPr>
                    <w:t>定期清掏，定期委托有资</w:t>
                  </w:r>
                </w:p>
                <w:p w14:paraId="03ED9F99">
                  <w:pPr>
                    <w:pStyle w:val="6"/>
                    <w:spacing w:before="36" w:line="221" w:lineRule="auto"/>
                    <w:ind w:left="161"/>
                    <w:rPr>
                      <w:sz w:val="22"/>
                      <w:szCs w:val="22"/>
                    </w:rPr>
                  </w:pPr>
                  <w:r>
                    <w:rPr>
                      <w:spacing w:val="-1"/>
                      <w:sz w:val="22"/>
                      <w:szCs w:val="22"/>
                    </w:rPr>
                    <w:t>质单位清掏后即时进行清</w:t>
                  </w:r>
                </w:p>
                <w:p w14:paraId="3326F6C2">
                  <w:pPr>
                    <w:pStyle w:val="6"/>
                    <w:spacing w:before="36" w:line="220" w:lineRule="auto"/>
                    <w:ind w:left="160"/>
                    <w:rPr>
                      <w:sz w:val="22"/>
                      <w:szCs w:val="22"/>
                    </w:rPr>
                  </w:pPr>
                  <w:r>
                    <w:rPr>
                      <w:spacing w:val="-1"/>
                      <w:sz w:val="22"/>
                      <w:szCs w:val="22"/>
                    </w:rPr>
                    <w:t>运处置，不在站内暂存和</w:t>
                  </w:r>
                </w:p>
                <w:p w14:paraId="665DE410">
                  <w:pPr>
                    <w:pStyle w:val="6"/>
                    <w:spacing w:before="37" w:line="202" w:lineRule="auto"/>
                    <w:ind w:left="1154"/>
                    <w:rPr>
                      <w:sz w:val="22"/>
                      <w:szCs w:val="22"/>
                    </w:rPr>
                  </w:pPr>
                  <w:r>
                    <w:rPr>
                      <w:spacing w:val="-6"/>
                      <w:sz w:val="22"/>
                      <w:szCs w:val="22"/>
                    </w:rPr>
                    <w:t>处置</w:t>
                  </w:r>
                </w:p>
              </w:tc>
            </w:tr>
            <w:tr w14:paraId="00F72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395" w:type="dxa"/>
                  <w:vMerge w:val="continue"/>
                  <w:tcBorders>
                    <w:top w:val="nil"/>
                  </w:tcBorders>
                  <w:textDirection w:val="tbRlV"/>
                  <w:vAlign w:val="top"/>
                </w:tcPr>
                <w:p w14:paraId="6AB6D03E">
                  <w:pPr>
                    <w:rPr>
                      <w:rFonts w:ascii="Arial"/>
                      <w:sz w:val="21"/>
                    </w:rPr>
                  </w:pPr>
                </w:p>
              </w:tc>
              <w:tc>
                <w:tcPr>
                  <w:tcW w:w="1554" w:type="dxa"/>
                  <w:vAlign w:val="top"/>
                </w:tcPr>
                <w:p w14:paraId="03D019BF">
                  <w:pPr>
                    <w:pStyle w:val="6"/>
                    <w:spacing w:before="204" w:line="254" w:lineRule="auto"/>
                    <w:ind w:left="339" w:right="117" w:hanging="219"/>
                    <w:rPr>
                      <w:sz w:val="22"/>
                      <w:szCs w:val="22"/>
                    </w:rPr>
                  </w:pPr>
                  <w:r>
                    <w:rPr>
                      <w:spacing w:val="-2"/>
                      <w:sz w:val="22"/>
                      <w:szCs w:val="22"/>
                    </w:rPr>
                    <w:t>三次油气回收废膜组件</w:t>
                  </w:r>
                </w:p>
              </w:tc>
              <w:tc>
                <w:tcPr>
                  <w:tcW w:w="885" w:type="dxa"/>
                  <w:vAlign w:val="top"/>
                </w:tcPr>
                <w:p w14:paraId="66A8FCDD">
                  <w:pPr>
                    <w:spacing w:line="326" w:lineRule="auto"/>
                    <w:rPr>
                      <w:rFonts w:ascii="Arial"/>
                      <w:sz w:val="21"/>
                    </w:rPr>
                  </w:pPr>
                </w:p>
                <w:p w14:paraId="6028FC8E">
                  <w:pPr>
                    <w:spacing w:before="63" w:line="189" w:lineRule="auto"/>
                    <w:ind w:left="25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w:t>
                  </w:r>
                </w:p>
              </w:tc>
              <w:tc>
                <w:tcPr>
                  <w:tcW w:w="899" w:type="dxa"/>
                  <w:vAlign w:val="top"/>
                </w:tcPr>
                <w:p w14:paraId="3F667C3E">
                  <w:pPr>
                    <w:spacing w:line="326" w:lineRule="auto"/>
                    <w:rPr>
                      <w:rFonts w:ascii="Arial"/>
                      <w:sz w:val="21"/>
                    </w:rPr>
                  </w:pPr>
                </w:p>
                <w:p w14:paraId="22AB6A6A">
                  <w:pPr>
                    <w:spacing w:before="63" w:line="189" w:lineRule="auto"/>
                    <w:ind w:left="2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w:t>
                  </w:r>
                </w:p>
              </w:tc>
              <w:tc>
                <w:tcPr>
                  <w:tcW w:w="1472" w:type="dxa"/>
                  <w:vAlign w:val="top"/>
                </w:tcPr>
                <w:p w14:paraId="7592E4FB">
                  <w:pPr>
                    <w:spacing w:line="326" w:lineRule="auto"/>
                    <w:rPr>
                      <w:rFonts w:ascii="Arial"/>
                      <w:sz w:val="21"/>
                    </w:rPr>
                  </w:pPr>
                </w:p>
                <w:p w14:paraId="025A8FE1">
                  <w:pPr>
                    <w:spacing w:before="63"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900-041-49</w:t>
                  </w:r>
                </w:p>
              </w:tc>
              <w:tc>
                <w:tcPr>
                  <w:tcW w:w="2729" w:type="dxa"/>
                  <w:vAlign w:val="top"/>
                </w:tcPr>
                <w:p w14:paraId="1E1FC85B">
                  <w:pPr>
                    <w:pStyle w:val="6"/>
                    <w:spacing w:before="56" w:line="220" w:lineRule="auto"/>
                    <w:ind w:left="166"/>
                    <w:rPr>
                      <w:sz w:val="22"/>
                      <w:szCs w:val="22"/>
                    </w:rPr>
                  </w:pPr>
                  <w:r>
                    <w:rPr>
                      <w:spacing w:val="-2"/>
                      <w:sz w:val="22"/>
                      <w:szCs w:val="22"/>
                    </w:rPr>
                    <w:t>定期更换，由厂家负责更</w:t>
                  </w:r>
                </w:p>
                <w:p w14:paraId="3358D817">
                  <w:pPr>
                    <w:pStyle w:val="6"/>
                    <w:spacing w:before="37" w:line="221" w:lineRule="auto"/>
                    <w:ind w:left="162"/>
                    <w:rPr>
                      <w:sz w:val="22"/>
                      <w:szCs w:val="22"/>
                    </w:rPr>
                  </w:pPr>
                  <w:r>
                    <w:rPr>
                      <w:spacing w:val="-1"/>
                      <w:sz w:val="22"/>
                      <w:szCs w:val="22"/>
                    </w:rPr>
                    <w:t>换后交有资质单位处置，</w:t>
                  </w:r>
                </w:p>
                <w:p w14:paraId="248F721A">
                  <w:pPr>
                    <w:pStyle w:val="6"/>
                    <w:spacing w:before="36" w:line="200" w:lineRule="auto"/>
                    <w:ind w:left="821"/>
                    <w:rPr>
                      <w:sz w:val="22"/>
                      <w:szCs w:val="22"/>
                    </w:rPr>
                  </w:pPr>
                  <w:r>
                    <w:rPr>
                      <w:spacing w:val="-2"/>
                      <w:sz w:val="22"/>
                      <w:szCs w:val="22"/>
                    </w:rPr>
                    <w:t>站内不暂存</w:t>
                  </w:r>
                </w:p>
              </w:tc>
            </w:tr>
            <w:tr w14:paraId="49294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95" w:type="dxa"/>
                  <w:vMerge w:val="restart"/>
                  <w:tcBorders>
                    <w:bottom w:val="nil"/>
                  </w:tcBorders>
                  <w:textDirection w:val="tbRlV"/>
                  <w:vAlign w:val="top"/>
                </w:tcPr>
                <w:p w14:paraId="2D3D0F95">
                  <w:pPr>
                    <w:pStyle w:val="6"/>
                    <w:spacing w:before="60" w:line="209" w:lineRule="auto"/>
                    <w:ind w:left="61"/>
                    <w:rPr>
                      <w:sz w:val="22"/>
                      <w:szCs w:val="22"/>
                    </w:rPr>
                  </w:pPr>
                  <w:r>
                    <w:rPr>
                      <w:sz w:val="22"/>
                      <w:szCs w:val="22"/>
                    </w:rPr>
                    <w:t>生</w:t>
                  </w:r>
                  <w:r>
                    <w:rPr>
                      <w:spacing w:val="-29"/>
                      <w:sz w:val="22"/>
                      <w:szCs w:val="22"/>
                    </w:rPr>
                    <w:t xml:space="preserve"> </w:t>
                  </w:r>
                  <w:r>
                    <w:rPr>
                      <w:sz w:val="22"/>
                      <w:szCs w:val="22"/>
                    </w:rPr>
                    <w:t>活</w:t>
                  </w:r>
                  <w:r>
                    <w:rPr>
                      <w:spacing w:val="-31"/>
                      <w:sz w:val="22"/>
                      <w:szCs w:val="22"/>
                    </w:rPr>
                    <w:t xml:space="preserve"> </w:t>
                  </w:r>
                  <w:r>
                    <w:rPr>
                      <w:sz w:val="22"/>
                      <w:szCs w:val="22"/>
                    </w:rPr>
                    <w:t>垃</w:t>
                  </w:r>
                  <w:r>
                    <w:rPr>
                      <w:spacing w:val="-31"/>
                      <w:sz w:val="22"/>
                      <w:szCs w:val="22"/>
                    </w:rPr>
                    <w:t xml:space="preserve"> </w:t>
                  </w:r>
                  <w:r>
                    <w:rPr>
                      <w:sz w:val="22"/>
                      <w:szCs w:val="22"/>
                    </w:rPr>
                    <w:t>圾</w:t>
                  </w:r>
                </w:p>
              </w:tc>
              <w:tc>
                <w:tcPr>
                  <w:tcW w:w="1554" w:type="dxa"/>
                  <w:vAlign w:val="top"/>
                </w:tcPr>
                <w:p w14:paraId="26C40144">
                  <w:pPr>
                    <w:pStyle w:val="6"/>
                    <w:spacing w:before="205" w:line="221" w:lineRule="auto"/>
                    <w:ind w:left="342"/>
                    <w:rPr>
                      <w:sz w:val="22"/>
                      <w:szCs w:val="22"/>
                    </w:rPr>
                  </w:pPr>
                  <w:r>
                    <w:rPr>
                      <w:spacing w:val="-3"/>
                      <w:sz w:val="22"/>
                      <w:szCs w:val="22"/>
                    </w:rPr>
                    <w:t>生活垃圾</w:t>
                  </w:r>
                </w:p>
              </w:tc>
              <w:tc>
                <w:tcPr>
                  <w:tcW w:w="885" w:type="dxa"/>
                  <w:vAlign w:val="top"/>
                </w:tcPr>
                <w:p w14:paraId="130B2B85">
                  <w:pPr>
                    <w:spacing w:before="243"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4.563</w:t>
                  </w:r>
                </w:p>
              </w:tc>
              <w:tc>
                <w:tcPr>
                  <w:tcW w:w="899" w:type="dxa"/>
                  <w:vAlign w:val="top"/>
                </w:tcPr>
                <w:p w14:paraId="53D5FD47">
                  <w:pPr>
                    <w:spacing w:before="243"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4.563</w:t>
                  </w:r>
                </w:p>
              </w:tc>
              <w:tc>
                <w:tcPr>
                  <w:tcW w:w="1472" w:type="dxa"/>
                  <w:vAlign w:val="top"/>
                </w:tcPr>
                <w:p w14:paraId="3EA083B2">
                  <w:pPr>
                    <w:spacing w:before="243" w:line="189" w:lineRule="auto"/>
                    <w:ind w:left="16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900-099-S64</w:t>
                  </w:r>
                </w:p>
              </w:tc>
              <w:tc>
                <w:tcPr>
                  <w:tcW w:w="2729" w:type="dxa"/>
                  <w:vAlign w:val="top"/>
                </w:tcPr>
                <w:p w14:paraId="636D5ACD">
                  <w:pPr>
                    <w:pStyle w:val="6"/>
                    <w:spacing w:before="56" w:line="220" w:lineRule="auto"/>
                    <w:ind w:left="165"/>
                    <w:rPr>
                      <w:sz w:val="22"/>
                      <w:szCs w:val="22"/>
                    </w:rPr>
                  </w:pPr>
                  <w:r>
                    <w:rPr>
                      <w:spacing w:val="-2"/>
                      <w:sz w:val="22"/>
                      <w:szCs w:val="22"/>
                    </w:rPr>
                    <w:t>交由当地环卫部门统一清</w:t>
                  </w:r>
                </w:p>
                <w:p w14:paraId="68AED5D7">
                  <w:pPr>
                    <w:pStyle w:val="6"/>
                    <w:spacing w:before="37" w:line="200" w:lineRule="auto"/>
                    <w:ind w:left="1039"/>
                    <w:rPr>
                      <w:sz w:val="22"/>
                      <w:szCs w:val="22"/>
                    </w:rPr>
                  </w:pPr>
                  <w:r>
                    <w:rPr>
                      <w:spacing w:val="-3"/>
                      <w:sz w:val="22"/>
                      <w:szCs w:val="22"/>
                    </w:rPr>
                    <w:t>运处置</w:t>
                  </w:r>
                </w:p>
              </w:tc>
            </w:tr>
            <w:tr w14:paraId="4BE63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395" w:type="dxa"/>
                  <w:vMerge w:val="continue"/>
                  <w:tcBorders>
                    <w:top w:val="nil"/>
                  </w:tcBorders>
                  <w:textDirection w:val="tbRlV"/>
                  <w:vAlign w:val="top"/>
                </w:tcPr>
                <w:p w14:paraId="2E2C1CA8">
                  <w:pPr>
                    <w:rPr>
                      <w:rFonts w:ascii="Arial"/>
                      <w:sz w:val="21"/>
                    </w:rPr>
                  </w:pPr>
                </w:p>
              </w:tc>
              <w:tc>
                <w:tcPr>
                  <w:tcW w:w="1554" w:type="dxa"/>
                  <w:vAlign w:val="top"/>
                </w:tcPr>
                <w:p w14:paraId="7A431269">
                  <w:pPr>
                    <w:pStyle w:val="6"/>
                    <w:spacing w:before="204" w:line="222" w:lineRule="auto"/>
                    <w:ind w:left="232"/>
                    <w:rPr>
                      <w:sz w:val="22"/>
                      <w:szCs w:val="22"/>
                    </w:rPr>
                  </w:pPr>
                  <w:r>
                    <w:rPr>
                      <w:spacing w:val="-2"/>
                      <w:sz w:val="22"/>
                      <w:szCs w:val="22"/>
                    </w:rPr>
                    <w:t>生化池污泥</w:t>
                  </w:r>
                </w:p>
              </w:tc>
              <w:tc>
                <w:tcPr>
                  <w:tcW w:w="885" w:type="dxa"/>
                  <w:vAlign w:val="top"/>
                </w:tcPr>
                <w:p w14:paraId="322D71A8">
                  <w:pPr>
                    <w:spacing w:before="243" w:line="189" w:lineRule="auto"/>
                    <w:ind w:left="19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0.074</w:t>
                  </w:r>
                </w:p>
              </w:tc>
              <w:tc>
                <w:tcPr>
                  <w:tcW w:w="899" w:type="dxa"/>
                  <w:vAlign w:val="top"/>
                </w:tcPr>
                <w:p w14:paraId="275459DE">
                  <w:pPr>
                    <w:spacing w:before="243" w:line="189" w:lineRule="auto"/>
                    <w:ind w:left="2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0.074</w:t>
                  </w:r>
                </w:p>
              </w:tc>
              <w:tc>
                <w:tcPr>
                  <w:tcW w:w="1472" w:type="dxa"/>
                  <w:vAlign w:val="top"/>
                </w:tcPr>
                <w:p w14:paraId="7969A88A">
                  <w:pPr>
                    <w:spacing w:before="243" w:line="189" w:lineRule="auto"/>
                    <w:ind w:left="16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462-001-S90</w:t>
                  </w:r>
                </w:p>
              </w:tc>
              <w:tc>
                <w:tcPr>
                  <w:tcW w:w="2729" w:type="dxa"/>
                  <w:vAlign w:val="top"/>
                </w:tcPr>
                <w:p w14:paraId="7D3B3CF7">
                  <w:pPr>
                    <w:pStyle w:val="6"/>
                    <w:spacing w:before="55" w:line="228" w:lineRule="auto"/>
                    <w:ind w:left="715" w:right="150" w:hanging="549"/>
                    <w:rPr>
                      <w:sz w:val="22"/>
                      <w:szCs w:val="22"/>
                    </w:rPr>
                  </w:pPr>
                  <w:r>
                    <w:rPr>
                      <w:spacing w:val="-2"/>
                      <w:sz w:val="22"/>
                      <w:szCs w:val="22"/>
                    </w:rPr>
                    <w:t>定期清掏，交由环卫部门</w:t>
                  </w:r>
                  <w:r>
                    <w:rPr>
                      <w:spacing w:val="-3"/>
                      <w:sz w:val="22"/>
                      <w:szCs w:val="22"/>
                    </w:rPr>
                    <w:t>统一清运处置</w:t>
                  </w:r>
                </w:p>
              </w:tc>
            </w:tr>
          </w:tbl>
          <w:p w14:paraId="2D774F21">
            <w:pPr>
              <w:spacing w:line="261" w:lineRule="auto"/>
              <w:rPr>
                <w:rFonts w:ascii="Arial"/>
                <w:sz w:val="21"/>
              </w:rPr>
            </w:pPr>
          </w:p>
          <w:p w14:paraId="7180CBFC">
            <w:pPr>
              <w:spacing w:line="261" w:lineRule="auto"/>
              <w:rPr>
                <w:rFonts w:ascii="Arial"/>
                <w:sz w:val="21"/>
              </w:rPr>
            </w:pPr>
          </w:p>
          <w:p w14:paraId="426504B3">
            <w:pPr>
              <w:pStyle w:val="6"/>
              <w:spacing w:before="81" w:line="226" w:lineRule="auto"/>
              <w:ind w:left="623"/>
            </w:pPr>
            <w:r>
              <w:rPr>
                <w:rFonts w:ascii="Times New Roman" w:hAnsi="Times New Roman" w:eastAsia="Times New Roman" w:cs="Times New Roman"/>
                <w:spacing w:val="5"/>
              </w:rPr>
              <w:t>4.2.4.2</w:t>
            </w:r>
            <w:r>
              <w:rPr>
                <w:rFonts w:ascii="Times New Roman" w:hAnsi="Times New Roman" w:eastAsia="Times New Roman" w:cs="Times New Roman"/>
                <w:spacing w:val="38"/>
                <w:w w:val="101"/>
              </w:rPr>
              <w:t xml:space="preserve"> </w:t>
            </w:r>
            <w:r>
              <w:rPr>
                <w:spacing w:val="5"/>
              </w:rPr>
              <w:t>固体废物暂存措施要求</w:t>
            </w:r>
          </w:p>
          <w:p w14:paraId="1273E000">
            <w:pPr>
              <w:pStyle w:val="6"/>
              <w:spacing w:before="151" w:line="340" w:lineRule="auto"/>
              <w:ind w:left="107" w:right="32" w:firstLine="525"/>
            </w:pPr>
            <w:r>
              <w:rPr>
                <w:spacing w:val="5"/>
              </w:rPr>
              <w:t>项目改扩建后危险废物包括清罐废物、设备检修废物、隔油池浮油</w:t>
            </w:r>
            <w:r>
              <w:rPr>
                <w:spacing w:val="8"/>
              </w:rPr>
              <w:t>及含油污泥、三次油气回收废膜组件，其中设备检修废物包含废油桶、</w:t>
            </w:r>
            <w:r>
              <w:rPr>
                <w:spacing w:val="6"/>
              </w:rPr>
              <w:t>废矿物油以及含油棉纱抹布等，分类暂存于项目已设置的危险废物贮存</w:t>
            </w:r>
            <w:r>
              <w:rPr>
                <w:spacing w:val="8"/>
              </w:rPr>
              <w:t>点，定期交由有资质的单位转运处置。</w:t>
            </w:r>
          </w:p>
          <w:p w14:paraId="61DEA331">
            <w:pPr>
              <w:pStyle w:val="6"/>
              <w:spacing w:before="3" w:line="339" w:lineRule="auto"/>
              <w:ind w:left="108" w:right="103" w:firstLine="521"/>
              <w:jc w:val="both"/>
            </w:pPr>
            <w:r>
              <w:rPr>
                <w:spacing w:val="2"/>
              </w:rPr>
              <w:t>站区东南侧设置</w:t>
            </w:r>
            <w:r>
              <w:rPr>
                <w:spacing w:val="-24"/>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0"/>
              </w:rPr>
              <w:t xml:space="preserve"> </w:t>
            </w:r>
            <w:r>
              <w:rPr>
                <w:spacing w:val="2"/>
              </w:rPr>
              <w:t>处占地面积约</w:t>
            </w:r>
            <w:r>
              <w:rPr>
                <w:spacing w:val="-55"/>
              </w:rPr>
              <w:t xml:space="preserve"> </w:t>
            </w:r>
            <w:r>
              <w:rPr>
                <w:rFonts w:ascii="Times New Roman" w:hAnsi="Times New Roman" w:eastAsia="Times New Roman" w:cs="Times New Roman"/>
                <w:spacing w:val="2"/>
              </w:rPr>
              <w:t>2m</w:t>
            </w:r>
            <w:r>
              <w:rPr>
                <w:rFonts w:ascii="Times New Roman" w:hAnsi="Times New Roman" w:eastAsia="Times New Roman" w:cs="Times New Roman"/>
                <w:spacing w:val="2"/>
                <w:position w:val="8"/>
                <w:sz w:val="16"/>
                <w:szCs w:val="16"/>
              </w:rPr>
              <w:t>2</w:t>
            </w:r>
            <w:r>
              <w:rPr>
                <w:rFonts w:ascii="Times New Roman" w:hAnsi="Times New Roman" w:eastAsia="Times New Roman" w:cs="Times New Roman"/>
                <w:spacing w:val="35"/>
                <w:position w:val="8"/>
                <w:sz w:val="16"/>
                <w:szCs w:val="16"/>
              </w:rPr>
              <w:t xml:space="preserve"> </w:t>
            </w:r>
            <w:r>
              <w:rPr>
                <w:spacing w:val="2"/>
              </w:rPr>
              <w:t>的危险废物贮存点，贮存点区</w:t>
            </w:r>
            <w:r>
              <w:rPr>
                <w:spacing w:val="6"/>
              </w:rPr>
              <w:t>域底部已硬化，并已做好防腐防渗处理，并设有危险废物标识牌，设备检修废物采用金属桶盛装，不与地面直接接触，满足《危险废物贮存污</w:t>
            </w:r>
            <w:r>
              <w:rPr>
                <w:spacing w:val="8"/>
              </w:rPr>
              <w:t>染控制标准》（</w:t>
            </w:r>
            <w:r>
              <w:rPr>
                <w:rFonts w:ascii="Times New Roman" w:hAnsi="Times New Roman" w:eastAsia="Times New Roman" w:cs="Times New Roman"/>
              </w:rPr>
              <w:t>GB</w:t>
            </w:r>
            <w:r>
              <w:rPr>
                <w:rFonts w:ascii="Times New Roman" w:hAnsi="Times New Roman" w:eastAsia="Times New Roman" w:cs="Times New Roman"/>
                <w:spacing w:val="42"/>
              </w:rPr>
              <w:t xml:space="preserve"> </w:t>
            </w:r>
            <w:r>
              <w:rPr>
                <w:rFonts w:ascii="Times New Roman" w:hAnsi="Times New Roman" w:eastAsia="Times New Roman" w:cs="Times New Roman"/>
                <w:spacing w:val="8"/>
              </w:rPr>
              <w:t>18597-2023</w:t>
            </w:r>
            <w:r>
              <w:rPr>
                <w:spacing w:val="8"/>
              </w:rPr>
              <w:t>）要求。后续管理中，各种危险废物分类存放，并完善相应转运记录。</w:t>
            </w:r>
          </w:p>
          <w:p w14:paraId="273E67AF">
            <w:pPr>
              <w:pStyle w:val="6"/>
              <w:spacing w:before="1" w:line="225" w:lineRule="auto"/>
              <w:ind w:left="633"/>
            </w:pPr>
            <w:r>
              <w:rPr>
                <w:spacing w:val="6"/>
              </w:rPr>
              <w:t>项目危险废物贮存场所（设施）基本情况表见表</w:t>
            </w:r>
            <w:r>
              <w:rPr>
                <w:spacing w:val="-38"/>
              </w:rPr>
              <w:t xml:space="preserve"> </w:t>
            </w:r>
            <w:r>
              <w:rPr>
                <w:rFonts w:ascii="Times New Roman" w:hAnsi="Times New Roman" w:eastAsia="Times New Roman" w:cs="Times New Roman"/>
                <w:spacing w:val="6"/>
              </w:rPr>
              <w:t>4.2-</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18</w:t>
            </w:r>
            <w:r>
              <w:rPr>
                <w:spacing w:val="6"/>
              </w:rPr>
              <w:t>。</w:t>
            </w:r>
          </w:p>
        </w:tc>
      </w:tr>
    </w:tbl>
    <w:p w14:paraId="1684F5F4">
      <w:pPr>
        <w:pStyle w:val="2"/>
        <w:rPr>
          <w:sz w:val="21"/>
        </w:rPr>
      </w:pPr>
    </w:p>
    <w:p w14:paraId="7B50ABCD">
      <w:pPr>
        <w:rPr>
          <w:sz w:val="21"/>
          <w:szCs w:val="21"/>
        </w:rPr>
        <w:sectPr>
          <w:footerReference r:id="rId93" w:type="default"/>
          <w:pgSz w:w="11907" w:h="16840"/>
          <w:pgMar w:top="400" w:right="1490" w:bottom="1008" w:left="1489" w:header="0" w:footer="770" w:gutter="0"/>
          <w:cols w:space="720" w:num="1"/>
        </w:sectPr>
      </w:pPr>
    </w:p>
    <w:p w14:paraId="2DAAC9ED">
      <w:pPr>
        <w:spacing w:before="19"/>
      </w:pPr>
    </w:p>
    <w:p w14:paraId="34B01AC0">
      <w:pPr>
        <w:spacing w:before="19"/>
      </w:pPr>
    </w:p>
    <w:p w14:paraId="2BDF48A7">
      <w:pPr>
        <w:spacing w:before="19"/>
      </w:pPr>
    </w:p>
    <w:p w14:paraId="448996E1">
      <w:pPr>
        <w:spacing w:before="18"/>
      </w:pPr>
    </w:p>
    <w:p w14:paraId="52E5AB9A">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06662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45" w:hRule="atLeast"/>
        </w:trPr>
        <w:tc>
          <w:tcPr>
            <w:tcW w:w="754" w:type="dxa"/>
            <w:tcBorders>
              <w:right w:val="single" w:color="000000" w:sz="2" w:space="0"/>
            </w:tcBorders>
            <w:vAlign w:val="top"/>
          </w:tcPr>
          <w:p w14:paraId="6EC97701">
            <w:pPr>
              <w:rPr>
                <w:rFonts w:ascii="Arial"/>
                <w:sz w:val="21"/>
              </w:rPr>
            </w:pPr>
          </w:p>
        </w:tc>
        <w:tc>
          <w:tcPr>
            <w:tcW w:w="8158" w:type="dxa"/>
            <w:tcBorders>
              <w:left w:val="single" w:color="000000" w:sz="2" w:space="0"/>
            </w:tcBorders>
            <w:vAlign w:val="top"/>
          </w:tcPr>
          <w:p w14:paraId="0C4CC1D7">
            <w:pPr>
              <w:pStyle w:val="6"/>
              <w:spacing w:before="150" w:line="225" w:lineRule="auto"/>
              <w:ind w:left="722"/>
            </w:pPr>
            <w:r>
              <w:rPr>
                <w:spacing w:val="6"/>
              </w:rPr>
              <w:t>表</w:t>
            </w:r>
            <w:r>
              <w:rPr>
                <w:spacing w:val="-37"/>
              </w:rPr>
              <w:t xml:space="preserve"> </w:t>
            </w:r>
            <w:r>
              <w:rPr>
                <w:rFonts w:ascii="Times New Roman" w:hAnsi="Times New Roman" w:eastAsia="Times New Roman" w:cs="Times New Roman"/>
                <w:spacing w:val="6"/>
              </w:rPr>
              <w:t>4.2-</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 xml:space="preserve">18    </w:t>
            </w:r>
            <w:r>
              <w:rPr>
                <w:spacing w:val="6"/>
              </w:rPr>
              <w:t>建设项目危险废物贮存场所（设施）基本情况表</w:t>
            </w:r>
          </w:p>
          <w:p w14:paraId="47C33EBB">
            <w:pPr>
              <w:spacing w:line="98" w:lineRule="auto"/>
              <w:rPr>
                <w:rFonts w:ascii="Arial"/>
                <w:sz w:val="2"/>
              </w:rPr>
            </w:pPr>
          </w:p>
          <w:tbl>
            <w:tblPr>
              <w:tblStyle w:val="5"/>
              <w:tblW w:w="7930"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1"/>
              <w:gridCol w:w="918"/>
              <w:gridCol w:w="1049"/>
              <w:gridCol w:w="976"/>
              <w:gridCol w:w="1033"/>
              <w:gridCol w:w="684"/>
              <w:gridCol w:w="665"/>
              <w:gridCol w:w="890"/>
              <w:gridCol w:w="661"/>
              <w:gridCol w:w="643"/>
            </w:tblGrid>
            <w:tr w14:paraId="1BDE6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8" w:hRule="atLeast"/>
              </w:trPr>
              <w:tc>
                <w:tcPr>
                  <w:tcW w:w="411" w:type="dxa"/>
                  <w:textDirection w:val="tbRlV"/>
                  <w:vAlign w:val="top"/>
                </w:tcPr>
                <w:p w14:paraId="26481942">
                  <w:pPr>
                    <w:pStyle w:val="6"/>
                    <w:spacing w:before="78" w:line="211" w:lineRule="auto"/>
                    <w:ind w:left="322"/>
                    <w:rPr>
                      <w:sz w:val="22"/>
                      <w:szCs w:val="22"/>
                    </w:rPr>
                  </w:pPr>
                  <w:r>
                    <w:rPr>
                      <w:spacing w:val="31"/>
                      <w:sz w:val="22"/>
                      <w:szCs w:val="22"/>
                    </w:rPr>
                    <w:t>序号</w:t>
                  </w:r>
                </w:p>
              </w:tc>
              <w:tc>
                <w:tcPr>
                  <w:tcW w:w="918" w:type="dxa"/>
                  <w:vAlign w:val="top"/>
                </w:tcPr>
                <w:p w14:paraId="772F6F61">
                  <w:pPr>
                    <w:pStyle w:val="6"/>
                    <w:spacing w:before="37" w:line="220" w:lineRule="auto"/>
                    <w:ind w:left="132"/>
                    <w:rPr>
                      <w:sz w:val="22"/>
                      <w:szCs w:val="22"/>
                    </w:rPr>
                  </w:pPr>
                  <w:r>
                    <w:rPr>
                      <w:spacing w:val="-3"/>
                      <w:sz w:val="22"/>
                      <w:szCs w:val="22"/>
                    </w:rPr>
                    <w:t>贮存场</w:t>
                  </w:r>
                </w:p>
                <w:p w14:paraId="6CD306B5">
                  <w:pPr>
                    <w:pStyle w:val="6"/>
                    <w:spacing w:before="23" w:line="221" w:lineRule="auto"/>
                    <w:ind w:left="131"/>
                    <w:rPr>
                      <w:sz w:val="22"/>
                      <w:szCs w:val="22"/>
                    </w:rPr>
                  </w:pPr>
                  <w:r>
                    <w:rPr>
                      <w:spacing w:val="-3"/>
                      <w:sz w:val="22"/>
                      <w:szCs w:val="22"/>
                    </w:rPr>
                    <w:t>所（设</w:t>
                  </w:r>
                </w:p>
                <w:p w14:paraId="2F2BFDB4">
                  <w:pPr>
                    <w:pStyle w:val="6"/>
                    <w:spacing w:before="20" w:line="223" w:lineRule="auto"/>
                    <w:ind w:left="350" w:right="130" w:hanging="220"/>
                    <w:rPr>
                      <w:sz w:val="22"/>
                      <w:szCs w:val="22"/>
                    </w:rPr>
                  </w:pPr>
                  <w:r>
                    <w:rPr>
                      <w:spacing w:val="-3"/>
                      <w:sz w:val="22"/>
                      <w:szCs w:val="22"/>
                    </w:rPr>
                    <w:t>施）名</w:t>
                  </w:r>
                  <w:r>
                    <w:rPr>
                      <w:sz w:val="22"/>
                      <w:szCs w:val="22"/>
                    </w:rPr>
                    <w:t>称</w:t>
                  </w:r>
                </w:p>
              </w:tc>
              <w:tc>
                <w:tcPr>
                  <w:tcW w:w="1049" w:type="dxa"/>
                  <w:vAlign w:val="top"/>
                </w:tcPr>
                <w:p w14:paraId="21DD3CB1">
                  <w:pPr>
                    <w:spacing w:line="250" w:lineRule="auto"/>
                    <w:rPr>
                      <w:rFonts w:ascii="Arial"/>
                      <w:sz w:val="21"/>
                    </w:rPr>
                  </w:pPr>
                </w:p>
                <w:p w14:paraId="2A2E0A9E">
                  <w:pPr>
                    <w:pStyle w:val="6"/>
                    <w:spacing w:before="72"/>
                    <w:ind w:left="199" w:right="192" w:firstLine="2"/>
                    <w:rPr>
                      <w:sz w:val="22"/>
                      <w:szCs w:val="22"/>
                    </w:rPr>
                  </w:pPr>
                  <w:r>
                    <w:rPr>
                      <w:spacing w:val="-4"/>
                      <w:sz w:val="22"/>
                      <w:szCs w:val="22"/>
                    </w:rPr>
                    <w:t>危险废</w:t>
                  </w:r>
                  <w:r>
                    <w:rPr>
                      <w:spacing w:val="-3"/>
                      <w:sz w:val="22"/>
                      <w:szCs w:val="22"/>
                    </w:rPr>
                    <w:t>物名称</w:t>
                  </w:r>
                </w:p>
              </w:tc>
              <w:tc>
                <w:tcPr>
                  <w:tcW w:w="976" w:type="dxa"/>
                  <w:vAlign w:val="top"/>
                </w:tcPr>
                <w:p w14:paraId="47232AD4">
                  <w:pPr>
                    <w:spacing w:line="248" w:lineRule="auto"/>
                    <w:rPr>
                      <w:rFonts w:ascii="Arial"/>
                      <w:sz w:val="21"/>
                    </w:rPr>
                  </w:pPr>
                </w:p>
                <w:p w14:paraId="0AC8CD31">
                  <w:pPr>
                    <w:pStyle w:val="6"/>
                    <w:spacing w:before="72"/>
                    <w:ind w:left="163" w:right="155" w:firstLine="2"/>
                    <w:rPr>
                      <w:sz w:val="22"/>
                      <w:szCs w:val="22"/>
                    </w:rPr>
                  </w:pPr>
                  <w:r>
                    <w:rPr>
                      <w:spacing w:val="-4"/>
                      <w:sz w:val="22"/>
                      <w:szCs w:val="22"/>
                    </w:rPr>
                    <w:t>危险废</w:t>
                  </w:r>
                  <w:r>
                    <w:rPr>
                      <w:spacing w:val="-3"/>
                      <w:sz w:val="22"/>
                      <w:szCs w:val="22"/>
                    </w:rPr>
                    <w:t>物类别</w:t>
                  </w:r>
                </w:p>
              </w:tc>
              <w:tc>
                <w:tcPr>
                  <w:tcW w:w="1033" w:type="dxa"/>
                  <w:vAlign w:val="top"/>
                </w:tcPr>
                <w:p w14:paraId="0442B6CF">
                  <w:pPr>
                    <w:spacing w:line="248" w:lineRule="auto"/>
                    <w:rPr>
                      <w:rFonts w:ascii="Arial"/>
                      <w:sz w:val="21"/>
                    </w:rPr>
                  </w:pPr>
                </w:p>
                <w:p w14:paraId="4F24BAFC">
                  <w:pPr>
                    <w:pStyle w:val="6"/>
                    <w:spacing w:before="72"/>
                    <w:ind w:left="193" w:right="183" w:firstLine="2"/>
                    <w:rPr>
                      <w:sz w:val="22"/>
                      <w:szCs w:val="22"/>
                    </w:rPr>
                  </w:pPr>
                  <w:r>
                    <w:rPr>
                      <w:spacing w:val="-4"/>
                      <w:sz w:val="22"/>
                      <w:szCs w:val="22"/>
                    </w:rPr>
                    <w:t>危险废</w:t>
                  </w:r>
                  <w:r>
                    <w:rPr>
                      <w:spacing w:val="-3"/>
                      <w:sz w:val="22"/>
                      <w:szCs w:val="22"/>
                    </w:rPr>
                    <w:t>物代码</w:t>
                  </w:r>
                </w:p>
              </w:tc>
              <w:tc>
                <w:tcPr>
                  <w:tcW w:w="684" w:type="dxa"/>
                  <w:vAlign w:val="top"/>
                </w:tcPr>
                <w:p w14:paraId="303B80BB">
                  <w:pPr>
                    <w:spacing w:line="389" w:lineRule="auto"/>
                    <w:rPr>
                      <w:rFonts w:ascii="Arial"/>
                      <w:sz w:val="21"/>
                    </w:rPr>
                  </w:pPr>
                </w:p>
                <w:p w14:paraId="3932C67C">
                  <w:pPr>
                    <w:pStyle w:val="6"/>
                    <w:spacing w:before="72" w:line="222" w:lineRule="auto"/>
                    <w:ind w:left="129"/>
                    <w:rPr>
                      <w:sz w:val="22"/>
                      <w:szCs w:val="22"/>
                    </w:rPr>
                  </w:pPr>
                  <w:r>
                    <w:rPr>
                      <w:spacing w:val="-4"/>
                      <w:sz w:val="22"/>
                      <w:szCs w:val="22"/>
                    </w:rPr>
                    <w:t>位置</w:t>
                  </w:r>
                </w:p>
              </w:tc>
              <w:tc>
                <w:tcPr>
                  <w:tcW w:w="665" w:type="dxa"/>
                  <w:vAlign w:val="top"/>
                </w:tcPr>
                <w:p w14:paraId="663B33A6">
                  <w:pPr>
                    <w:spacing w:line="249" w:lineRule="auto"/>
                    <w:rPr>
                      <w:rFonts w:ascii="Arial"/>
                      <w:sz w:val="21"/>
                    </w:rPr>
                  </w:pPr>
                </w:p>
                <w:p w14:paraId="572831C3">
                  <w:pPr>
                    <w:pStyle w:val="6"/>
                    <w:spacing w:before="72"/>
                    <w:ind w:left="121" w:right="106" w:firstLine="35"/>
                    <w:rPr>
                      <w:sz w:val="22"/>
                      <w:szCs w:val="22"/>
                    </w:rPr>
                  </w:pPr>
                  <w:r>
                    <w:rPr>
                      <w:spacing w:val="-22"/>
                      <w:sz w:val="22"/>
                      <w:szCs w:val="22"/>
                    </w:rPr>
                    <w:t>占地</w:t>
                  </w:r>
                  <w:r>
                    <w:rPr>
                      <w:spacing w:val="-4"/>
                      <w:sz w:val="22"/>
                      <w:szCs w:val="22"/>
                    </w:rPr>
                    <w:t>面积</w:t>
                  </w:r>
                </w:p>
              </w:tc>
              <w:tc>
                <w:tcPr>
                  <w:tcW w:w="890" w:type="dxa"/>
                  <w:vAlign w:val="top"/>
                </w:tcPr>
                <w:p w14:paraId="0BFF0265">
                  <w:pPr>
                    <w:spacing w:line="250" w:lineRule="auto"/>
                    <w:rPr>
                      <w:rFonts w:ascii="Arial"/>
                      <w:sz w:val="21"/>
                    </w:rPr>
                  </w:pPr>
                </w:p>
                <w:p w14:paraId="3DC1CEB6">
                  <w:pPr>
                    <w:pStyle w:val="6"/>
                    <w:spacing w:before="72"/>
                    <w:ind w:left="347" w:right="111" w:hanging="224"/>
                    <w:rPr>
                      <w:sz w:val="22"/>
                      <w:szCs w:val="22"/>
                    </w:rPr>
                  </w:pPr>
                  <w:r>
                    <w:rPr>
                      <w:spacing w:val="-4"/>
                      <w:sz w:val="22"/>
                      <w:szCs w:val="22"/>
                    </w:rPr>
                    <w:t>贮存方</w:t>
                  </w:r>
                  <w:r>
                    <w:rPr>
                      <w:sz w:val="22"/>
                      <w:szCs w:val="22"/>
                    </w:rPr>
                    <w:t>式</w:t>
                  </w:r>
                </w:p>
              </w:tc>
              <w:tc>
                <w:tcPr>
                  <w:tcW w:w="661" w:type="dxa"/>
                  <w:vAlign w:val="top"/>
                </w:tcPr>
                <w:p w14:paraId="17FB1FA4">
                  <w:pPr>
                    <w:spacing w:line="248" w:lineRule="auto"/>
                    <w:rPr>
                      <w:rFonts w:ascii="Arial"/>
                      <w:sz w:val="21"/>
                    </w:rPr>
                  </w:pPr>
                </w:p>
                <w:p w14:paraId="7FE3B3A8">
                  <w:pPr>
                    <w:pStyle w:val="6"/>
                    <w:spacing w:before="72"/>
                    <w:ind w:left="125" w:right="104" w:hanging="7"/>
                    <w:rPr>
                      <w:sz w:val="22"/>
                      <w:szCs w:val="22"/>
                    </w:rPr>
                  </w:pPr>
                  <w:r>
                    <w:rPr>
                      <w:spacing w:val="-4"/>
                      <w:sz w:val="22"/>
                      <w:szCs w:val="22"/>
                    </w:rPr>
                    <w:t>贮存</w:t>
                  </w:r>
                  <w:r>
                    <w:rPr>
                      <w:spacing w:val="-8"/>
                      <w:sz w:val="22"/>
                      <w:szCs w:val="22"/>
                    </w:rPr>
                    <w:t>能力</w:t>
                  </w:r>
                </w:p>
              </w:tc>
              <w:tc>
                <w:tcPr>
                  <w:tcW w:w="643" w:type="dxa"/>
                  <w:textDirection w:val="tbRlV"/>
                  <w:vAlign w:val="top"/>
                </w:tcPr>
                <w:p w14:paraId="392CAA46">
                  <w:pPr>
                    <w:pStyle w:val="6"/>
                    <w:spacing w:before="208" w:line="209" w:lineRule="auto"/>
                    <w:ind w:left="37"/>
                    <w:rPr>
                      <w:sz w:val="22"/>
                      <w:szCs w:val="22"/>
                    </w:rPr>
                  </w:pPr>
                  <w:r>
                    <w:rPr>
                      <w:spacing w:val="48"/>
                      <w:sz w:val="22"/>
                      <w:szCs w:val="22"/>
                    </w:rPr>
                    <w:t>贮存周期</w:t>
                  </w:r>
                </w:p>
              </w:tc>
            </w:tr>
            <w:tr w14:paraId="01AED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4" w:hRule="atLeast"/>
              </w:trPr>
              <w:tc>
                <w:tcPr>
                  <w:tcW w:w="411" w:type="dxa"/>
                  <w:vAlign w:val="top"/>
                </w:tcPr>
                <w:p w14:paraId="663A36E3">
                  <w:pPr>
                    <w:spacing w:line="288" w:lineRule="auto"/>
                    <w:rPr>
                      <w:rFonts w:ascii="Arial"/>
                      <w:sz w:val="21"/>
                    </w:rPr>
                  </w:pPr>
                </w:p>
                <w:p w14:paraId="658BFC4D">
                  <w:pPr>
                    <w:spacing w:line="288" w:lineRule="auto"/>
                    <w:rPr>
                      <w:rFonts w:ascii="Arial"/>
                      <w:sz w:val="21"/>
                    </w:rPr>
                  </w:pPr>
                </w:p>
                <w:p w14:paraId="00C9DEB0">
                  <w:pPr>
                    <w:spacing w:before="63" w:line="189" w:lineRule="auto"/>
                    <w:ind w:left="173"/>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18" w:type="dxa"/>
                  <w:vAlign w:val="top"/>
                </w:tcPr>
                <w:p w14:paraId="469B17BF">
                  <w:pPr>
                    <w:spacing w:line="386" w:lineRule="auto"/>
                    <w:rPr>
                      <w:rFonts w:ascii="Arial"/>
                      <w:sz w:val="21"/>
                    </w:rPr>
                  </w:pPr>
                </w:p>
                <w:p w14:paraId="74FA211C">
                  <w:pPr>
                    <w:pStyle w:val="6"/>
                    <w:spacing w:before="71" w:line="242" w:lineRule="auto"/>
                    <w:ind w:left="240" w:right="127" w:hanging="106"/>
                    <w:rPr>
                      <w:sz w:val="22"/>
                      <w:szCs w:val="22"/>
                    </w:rPr>
                  </w:pPr>
                  <w:r>
                    <w:rPr>
                      <w:spacing w:val="-3"/>
                      <w:sz w:val="22"/>
                      <w:szCs w:val="22"/>
                    </w:rPr>
                    <w:t>危废贮存点</w:t>
                  </w:r>
                </w:p>
              </w:tc>
              <w:tc>
                <w:tcPr>
                  <w:tcW w:w="1049" w:type="dxa"/>
                  <w:vAlign w:val="top"/>
                </w:tcPr>
                <w:p w14:paraId="2A9E2997">
                  <w:pPr>
                    <w:spacing w:line="386" w:lineRule="auto"/>
                    <w:rPr>
                      <w:rFonts w:ascii="Arial"/>
                      <w:sz w:val="21"/>
                    </w:rPr>
                  </w:pPr>
                </w:p>
                <w:p w14:paraId="24A1F698">
                  <w:pPr>
                    <w:pStyle w:val="6"/>
                    <w:spacing w:before="71" w:line="242" w:lineRule="auto"/>
                    <w:ind w:left="199" w:right="192" w:firstLine="3"/>
                    <w:rPr>
                      <w:sz w:val="22"/>
                      <w:szCs w:val="22"/>
                    </w:rPr>
                  </w:pPr>
                  <w:r>
                    <w:rPr>
                      <w:spacing w:val="-4"/>
                      <w:sz w:val="22"/>
                      <w:szCs w:val="22"/>
                    </w:rPr>
                    <w:t>设备检</w:t>
                  </w:r>
                  <w:r>
                    <w:rPr>
                      <w:spacing w:val="-3"/>
                      <w:sz w:val="22"/>
                      <w:szCs w:val="22"/>
                    </w:rPr>
                    <w:t>修废物</w:t>
                  </w:r>
                </w:p>
              </w:tc>
              <w:tc>
                <w:tcPr>
                  <w:tcW w:w="976" w:type="dxa"/>
                  <w:vAlign w:val="top"/>
                </w:tcPr>
                <w:p w14:paraId="770A1C05">
                  <w:pPr>
                    <w:spacing w:line="288" w:lineRule="auto"/>
                    <w:rPr>
                      <w:rFonts w:ascii="Arial"/>
                      <w:sz w:val="21"/>
                    </w:rPr>
                  </w:pPr>
                </w:p>
                <w:p w14:paraId="19198652">
                  <w:pPr>
                    <w:spacing w:line="288" w:lineRule="auto"/>
                    <w:rPr>
                      <w:rFonts w:ascii="Arial"/>
                      <w:sz w:val="21"/>
                    </w:rPr>
                  </w:pPr>
                </w:p>
                <w:p w14:paraId="00CC82C1">
                  <w:pPr>
                    <w:spacing w:before="63" w:line="189" w:lineRule="auto"/>
                    <w:ind w:left="19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HW08</w:t>
                  </w:r>
                </w:p>
              </w:tc>
              <w:tc>
                <w:tcPr>
                  <w:tcW w:w="1033" w:type="dxa"/>
                  <w:vAlign w:val="top"/>
                </w:tcPr>
                <w:p w14:paraId="55B70BD4">
                  <w:pPr>
                    <w:spacing w:line="449" w:lineRule="auto"/>
                    <w:rPr>
                      <w:rFonts w:ascii="Arial"/>
                      <w:sz w:val="21"/>
                    </w:rPr>
                  </w:pPr>
                </w:p>
                <w:p w14:paraId="23DBF080">
                  <w:pPr>
                    <w:spacing w:before="64" w:line="189" w:lineRule="auto"/>
                    <w:ind w:left="11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900-249-</w:t>
                  </w:r>
                </w:p>
                <w:p w14:paraId="0CCB8AE7">
                  <w:pPr>
                    <w:spacing w:before="52" w:line="189" w:lineRule="auto"/>
                    <w:ind w:left="413"/>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08</w:t>
                  </w:r>
                </w:p>
              </w:tc>
              <w:tc>
                <w:tcPr>
                  <w:tcW w:w="684" w:type="dxa"/>
                  <w:vAlign w:val="top"/>
                </w:tcPr>
                <w:p w14:paraId="540F9C5A">
                  <w:pPr>
                    <w:spacing w:line="246" w:lineRule="auto"/>
                    <w:rPr>
                      <w:rFonts w:ascii="Arial"/>
                      <w:sz w:val="21"/>
                    </w:rPr>
                  </w:pPr>
                </w:p>
                <w:p w14:paraId="70166BEA">
                  <w:pPr>
                    <w:pStyle w:val="6"/>
                    <w:spacing w:before="71" w:line="241" w:lineRule="auto"/>
                    <w:ind w:left="136" w:right="116" w:hanging="6"/>
                    <w:jc w:val="both"/>
                    <w:rPr>
                      <w:sz w:val="22"/>
                      <w:szCs w:val="22"/>
                    </w:rPr>
                  </w:pPr>
                  <w:r>
                    <w:rPr>
                      <w:spacing w:val="-6"/>
                      <w:sz w:val="22"/>
                      <w:szCs w:val="22"/>
                    </w:rPr>
                    <w:t>站区</w:t>
                  </w:r>
                  <w:r>
                    <w:rPr>
                      <w:spacing w:val="-8"/>
                      <w:sz w:val="22"/>
                      <w:szCs w:val="22"/>
                    </w:rPr>
                    <w:t>东南</w:t>
                  </w:r>
                  <w:r>
                    <w:rPr>
                      <w:spacing w:val="26"/>
                      <w:w w:val="131"/>
                      <w:sz w:val="22"/>
                      <w:szCs w:val="22"/>
                    </w:rPr>
                    <w:t>侧</w:t>
                  </w:r>
                </w:p>
              </w:tc>
              <w:tc>
                <w:tcPr>
                  <w:tcW w:w="665" w:type="dxa"/>
                  <w:vAlign w:val="top"/>
                </w:tcPr>
                <w:p w14:paraId="6340BF97">
                  <w:pPr>
                    <w:spacing w:line="278" w:lineRule="auto"/>
                    <w:rPr>
                      <w:rFonts w:ascii="Arial"/>
                      <w:sz w:val="21"/>
                    </w:rPr>
                  </w:pPr>
                </w:p>
                <w:p w14:paraId="2B5D2817">
                  <w:pPr>
                    <w:spacing w:line="278" w:lineRule="auto"/>
                    <w:rPr>
                      <w:rFonts w:ascii="Arial"/>
                      <w:sz w:val="21"/>
                    </w:rPr>
                  </w:pPr>
                </w:p>
                <w:p w14:paraId="4DB5C4D6">
                  <w:pPr>
                    <w:spacing w:before="63" w:line="208" w:lineRule="auto"/>
                    <w:ind w:left="159"/>
                    <w:rPr>
                      <w:rFonts w:ascii="Times New Roman" w:hAnsi="Times New Roman" w:eastAsia="Times New Roman" w:cs="Times New Roman"/>
                      <w:sz w:val="14"/>
                      <w:szCs w:val="14"/>
                    </w:rPr>
                  </w:pPr>
                  <w:r>
                    <w:rPr>
                      <w:rFonts w:ascii="Times New Roman" w:hAnsi="Times New Roman" w:eastAsia="Times New Roman" w:cs="Times New Roman"/>
                      <w:spacing w:val="-2"/>
                      <w:position w:val="-1"/>
                      <w:sz w:val="22"/>
                      <w:szCs w:val="22"/>
                    </w:rPr>
                    <w:t>2m</w:t>
                  </w:r>
                  <w:r>
                    <w:rPr>
                      <w:rFonts w:ascii="Times New Roman" w:hAnsi="Times New Roman" w:eastAsia="Times New Roman" w:cs="Times New Roman"/>
                      <w:spacing w:val="-2"/>
                      <w:position w:val="5"/>
                      <w:sz w:val="14"/>
                      <w:szCs w:val="14"/>
                    </w:rPr>
                    <w:t>2</w:t>
                  </w:r>
                </w:p>
              </w:tc>
              <w:tc>
                <w:tcPr>
                  <w:tcW w:w="890" w:type="dxa"/>
                  <w:vAlign w:val="top"/>
                </w:tcPr>
                <w:p w14:paraId="35A5663A">
                  <w:pPr>
                    <w:pStyle w:val="6"/>
                    <w:spacing w:before="36" w:line="219" w:lineRule="auto"/>
                    <w:ind w:left="121"/>
                    <w:rPr>
                      <w:sz w:val="22"/>
                      <w:szCs w:val="22"/>
                    </w:rPr>
                  </w:pPr>
                  <w:r>
                    <w:rPr>
                      <w:spacing w:val="-2"/>
                      <w:sz w:val="22"/>
                      <w:szCs w:val="22"/>
                    </w:rPr>
                    <w:t>采用防</w:t>
                  </w:r>
                </w:p>
                <w:p w14:paraId="2958FBE6">
                  <w:pPr>
                    <w:pStyle w:val="6"/>
                    <w:spacing w:before="21" w:line="221" w:lineRule="auto"/>
                    <w:ind w:left="123"/>
                    <w:rPr>
                      <w:sz w:val="22"/>
                      <w:szCs w:val="22"/>
                    </w:rPr>
                  </w:pPr>
                  <w:r>
                    <w:rPr>
                      <w:spacing w:val="4"/>
                      <w:sz w:val="22"/>
                      <w:szCs w:val="22"/>
                    </w:rPr>
                    <w:t>渗、防</w:t>
                  </w:r>
                </w:p>
                <w:p w14:paraId="596CF24A">
                  <w:pPr>
                    <w:pStyle w:val="6"/>
                    <w:spacing w:before="22" w:line="221" w:lineRule="auto"/>
                    <w:ind w:left="122"/>
                    <w:rPr>
                      <w:sz w:val="22"/>
                      <w:szCs w:val="22"/>
                    </w:rPr>
                  </w:pPr>
                  <w:r>
                    <w:rPr>
                      <w:spacing w:val="-3"/>
                      <w:sz w:val="22"/>
                      <w:szCs w:val="22"/>
                    </w:rPr>
                    <w:t>漏的容</w:t>
                  </w:r>
                </w:p>
                <w:p w14:paraId="2B9FD735">
                  <w:pPr>
                    <w:pStyle w:val="6"/>
                    <w:spacing w:before="21" w:line="224" w:lineRule="auto"/>
                    <w:ind w:left="234" w:right="111" w:hanging="112"/>
                    <w:rPr>
                      <w:sz w:val="22"/>
                      <w:szCs w:val="22"/>
                    </w:rPr>
                  </w:pPr>
                  <w:r>
                    <w:rPr>
                      <w:spacing w:val="-3"/>
                      <w:sz w:val="22"/>
                      <w:szCs w:val="22"/>
                    </w:rPr>
                    <w:t>器单独</w:t>
                  </w:r>
                  <w:r>
                    <w:rPr>
                      <w:spacing w:val="-5"/>
                      <w:sz w:val="22"/>
                      <w:szCs w:val="22"/>
                    </w:rPr>
                    <w:t>盛装</w:t>
                  </w:r>
                </w:p>
              </w:tc>
              <w:tc>
                <w:tcPr>
                  <w:tcW w:w="661" w:type="dxa"/>
                  <w:vAlign w:val="top"/>
                </w:tcPr>
                <w:p w14:paraId="0FCB0CF3">
                  <w:pPr>
                    <w:spacing w:line="288" w:lineRule="auto"/>
                    <w:rPr>
                      <w:rFonts w:ascii="Arial"/>
                      <w:sz w:val="21"/>
                    </w:rPr>
                  </w:pPr>
                </w:p>
                <w:p w14:paraId="1BCB523F">
                  <w:pPr>
                    <w:spacing w:line="288" w:lineRule="auto"/>
                    <w:rPr>
                      <w:rFonts w:ascii="Arial"/>
                      <w:sz w:val="21"/>
                    </w:rPr>
                  </w:pPr>
                </w:p>
                <w:p w14:paraId="3A44B09D">
                  <w:pPr>
                    <w:spacing w:before="63" w:line="189" w:lineRule="auto"/>
                    <w:ind w:left="269"/>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1t</w:t>
                  </w:r>
                </w:p>
              </w:tc>
              <w:tc>
                <w:tcPr>
                  <w:tcW w:w="643" w:type="dxa"/>
                  <w:vAlign w:val="top"/>
                </w:tcPr>
                <w:p w14:paraId="3A4B6976">
                  <w:pPr>
                    <w:spacing w:line="246" w:lineRule="auto"/>
                    <w:rPr>
                      <w:rFonts w:ascii="Arial"/>
                      <w:sz w:val="21"/>
                    </w:rPr>
                  </w:pPr>
                </w:p>
                <w:p w14:paraId="2F6DFE52">
                  <w:pPr>
                    <w:pStyle w:val="6"/>
                    <w:spacing w:before="71" w:line="241" w:lineRule="auto"/>
                    <w:ind w:left="217" w:right="145" w:hanging="100"/>
                    <w:jc w:val="both"/>
                    <w:rPr>
                      <w:sz w:val="22"/>
                      <w:szCs w:val="22"/>
                    </w:rPr>
                  </w:pPr>
                  <w:r>
                    <w:rPr>
                      <w:spacing w:val="-9"/>
                      <w:sz w:val="22"/>
                      <w:szCs w:val="22"/>
                    </w:rPr>
                    <w:t>每</w:t>
                  </w:r>
                  <w:r>
                    <w:rPr>
                      <w:spacing w:val="-48"/>
                      <w:sz w:val="22"/>
                      <w:szCs w:val="22"/>
                    </w:rPr>
                    <w:t xml:space="preserve"> </w:t>
                  </w:r>
                  <w:r>
                    <w:rPr>
                      <w:rFonts w:ascii="Times New Roman" w:hAnsi="Times New Roman" w:eastAsia="Times New Roman" w:cs="Times New Roman"/>
                      <w:spacing w:val="-9"/>
                      <w:sz w:val="22"/>
                      <w:szCs w:val="22"/>
                    </w:rPr>
                    <w:t>3</w:t>
                  </w:r>
                  <w:r>
                    <w:rPr>
                      <w:spacing w:val="-8"/>
                      <w:sz w:val="22"/>
                      <w:szCs w:val="22"/>
                    </w:rPr>
                    <w:t>个</w:t>
                  </w:r>
                  <w:r>
                    <w:rPr>
                      <w:sz w:val="22"/>
                      <w:szCs w:val="22"/>
                    </w:rPr>
                    <w:t>月</w:t>
                  </w:r>
                </w:p>
              </w:tc>
            </w:tr>
          </w:tbl>
          <w:p w14:paraId="240E7A3E">
            <w:pPr>
              <w:spacing w:line="259" w:lineRule="auto"/>
              <w:rPr>
                <w:rFonts w:ascii="Arial"/>
                <w:sz w:val="21"/>
              </w:rPr>
            </w:pPr>
          </w:p>
          <w:p w14:paraId="27687DEC">
            <w:pPr>
              <w:spacing w:line="260" w:lineRule="auto"/>
              <w:rPr>
                <w:rFonts w:ascii="Arial"/>
                <w:sz w:val="21"/>
              </w:rPr>
            </w:pPr>
          </w:p>
          <w:p w14:paraId="25DE1129">
            <w:pPr>
              <w:pStyle w:val="6"/>
              <w:spacing w:before="81" w:line="226" w:lineRule="auto"/>
              <w:ind w:left="623"/>
            </w:pPr>
            <w:r>
              <w:rPr>
                <w:rFonts w:ascii="Times New Roman" w:hAnsi="Times New Roman" w:eastAsia="Times New Roman" w:cs="Times New Roman"/>
                <w:spacing w:val="6"/>
              </w:rPr>
              <w:t xml:space="preserve">4.2.4.3 </w:t>
            </w:r>
            <w:r>
              <w:rPr>
                <w:spacing w:val="6"/>
              </w:rPr>
              <w:t>环境管理要求</w:t>
            </w:r>
          </w:p>
          <w:p w14:paraId="79DA1F24">
            <w:pPr>
              <w:pStyle w:val="6"/>
              <w:spacing w:before="154" w:line="226" w:lineRule="auto"/>
              <w:ind w:left="640"/>
            </w:pPr>
            <w:r>
              <w:rPr>
                <w:spacing w:val="9"/>
              </w:rPr>
              <w:t>（</w:t>
            </w:r>
            <w:r>
              <w:rPr>
                <w:rFonts w:ascii="Times New Roman" w:hAnsi="Times New Roman" w:eastAsia="Times New Roman" w:cs="Times New Roman"/>
                <w:spacing w:val="9"/>
              </w:rPr>
              <w:t>1</w:t>
            </w:r>
            <w:r>
              <w:rPr>
                <w:spacing w:val="9"/>
              </w:rPr>
              <w:t>）站内生化池污泥已定期清掏，交由环</w:t>
            </w:r>
            <w:r>
              <w:rPr>
                <w:spacing w:val="8"/>
              </w:rPr>
              <w:t>卫部门统一清运处置。</w:t>
            </w:r>
          </w:p>
          <w:p w14:paraId="7F6C22D9">
            <w:pPr>
              <w:pStyle w:val="6"/>
              <w:spacing w:before="156" w:line="339" w:lineRule="auto"/>
              <w:ind w:left="128" w:right="105" w:firstLine="512"/>
            </w:pPr>
            <w:r>
              <w:rPr>
                <w:spacing w:val="-2"/>
              </w:rPr>
              <w:t>（</w:t>
            </w:r>
            <w:r>
              <w:rPr>
                <w:rFonts w:ascii="Times New Roman" w:hAnsi="Times New Roman" w:eastAsia="Times New Roman" w:cs="Times New Roman"/>
                <w:spacing w:val="-2"/>
              </w:rPr>
              <w:t>2</w:t>
            </w:r>
            <w:r>
              <w:rPr>
                <w:spacing w:val="-2"/>
              </w:rPr>
              <w:t>）站内危废贮存设施已根据《危险废物贮</w:t>
            </w:r>
            <w:r>
              <w:rPr>
                <w:spacing w:val="-3"/>
              </w:rPr>
              <w:t>存污染控制标准》（</w:t>
            </w:r>
            <w:r>
              <w:rPr>
                <w:rFonts w:ascii="Times New Roman" w:hAnsi="Times New Roman" w:eastAsia="Times New Roman" w:cs="Times New Roman"/>
                <w:spacing w:val="-3"/>
              </w:rPr>
              <w:t>GB</w:t>
            </w:r>
            <w:r>
              <w:rPr>
                <w:rFonts w:ascii="Times New Roman" w:hAnsi="Times New Roman" w:eastAsia="Times New Roman" w:cs="Times New Roman"/>
              </w:rPr>
              <w:t xml:space="preserve"> </w:t>
            </w:r>
            <w:r>
              <w:rPr>
                <w:rFonts w:ascii="Times New Roman" w:hAnsi="Times New Roman" w:eastAsia="Times New Roman" w:cs="Times New Roman"/>
                <w:spacing w:val="4"/>
              </w:rPr>
              <w:t>18597-2023</w:t>
            </w:r>
            <w:r>
              <w:rPr>
                <w:spacing w:val="32"/>
              </w:rPr>
              <w:t>），</w:t>
            </w:r>
            <w:r>
              <w:rPr>
                <w:spacing w:val="4"/>
              </w:rPr>
              <w:t>已实施以下管理和防渗要求：</w:t>
            </w:r>
          </w:p>
          <w:p w14:paraId="76CAABBF">
            <w:pPr>
              <w:pStyle w:val="6"/>
              <w:spacing w:before="1" w:line="339" w:lineRule="auto"/>
              <w:ind w:left="129" w:right="103" w:firstLine="519"/>
            </w:pPr>
            <w:r>
              <w:rPr>
                <w:rFonts w:ascii="Times New Roman" w:hAnsi="Times New Roman" w:eastAsia="Times New Roman" w:cs="Times New Roman"/>
                <w:spacing w:val="9"/>
              </w:rPr>
              <w:t>1</w:t>
            </w:r>
            <w:r>
              <w:rPr>
                <w:spacing w:val="9"/>
              </w:rPr>
              <w:t>）贮存点已具有固定的区域边界，并应采取与其他区域进行隔离</w:t>
            </w:r>
            <w:r>
              <w:rPr>
                <w:spacing w:val="-1"/>
              </w:rPr>
              <w:t>的措施。</w:t>
            </w:r>
          </w:p>
          <w:p w14:paraId="5D4EE065">
            <w:pPr>
              <w:pStyle w:val="6"/>
              <w:spacing w:before="1" w:line="340" w:lineRule="auto"/>
              <w:ind w:left="108" w:right="105" w:firstLine="516"/>
            </w:pPr>
            <w:r>
              <w:rPr>
                <w:rFonts w:ascii="Times New Roman" w:hAnsi="Times New Roman" w:eastAsia="Times New Roman" w:cs="Times New Roman"/>
                <w:spacing w:val="10"/>
              </w:rPr>
              <w:t>2</w:t>
            </w:r>
            <w:r>
              <w:rPr>
                <w:spacing w:val="10"/>
              </w:rPr>
              <w:t>）贮存点已采取防风、防雨、防晒和防止危险废物流失、扬散等</w:t>
            </w:r>
            <w:r>
              <w:rPr>
                <w:spacing w:val="2"/>
              </w:rPr>
              <w:t>措施。</w:t>
            </w:r>
          </w:p>
          <w:p w14:paraId="0374EC79">
            <w:pPr>
              <w:pStyle w:val="6"/>
              <w:spacing w:before="1" w:line="225" w:lineRule="auto"/>
              <w:jc w:val="right"/>
            </w:pPr>
            <w:r>
              <w:rPr>
                <w:rFonts w:ascii="Times New Roman" w:hAnsi="Times New Roman" w:eastAsia="Times New Roman" w:cs="Times New Roman"/>
                <w:spacing w:val="4"/>
              </w:rPr>
              <w:t>3</w:t>
            </w:r>
            <w:r>
              <w:rPr>
                <w:spacing w:val="4"/>
              </w:rPr>
              <w:t>）贮存点贮存的危险废物已置于容器或包装物中，不应直接散堆。</w:t>
            </w:r>
          </w:p>
          <w:p w14:paraId="38D76E1B">
            <w:pPr>
              <w:pStyle w:val="6"/>
              <w:spacing w:before="153" w:line="340" w:lineRule="auto"/>
              <w:ind w:left="107" w:right="168" w:firstLine="515"/>
            </w:pPr>
            <w:r>
              <w:rPr>
                <w:rFonts w:ascii="Times New Roman" w:hAnsi="Times New Roman" w:eastAsia="Times New Roman" w:cs="Times New Roman"/>
                <w:spacing w:val="8"/>
              </w:rPr>
              <w:t>4</w:t>
            </w:r>
            <w:r>
              <w:rPr>
                <w:spacing w:val="8"/>
              </w:rPr>
              <w:t>）贮存点已根据危险废物的形态、物理化学性质、包装形式</w:t>
            </w:r>
            <w:r>
              <w:rPr>
                <w:spacing w:val="7"/>
              </w:rPr>
              <w:t>等，</w:t>
            </w:r>
            <w:r>
              <w:rPr>
                <w:spacing w:val="9"/>
              </w:rPr>
              <w:t>采取防渗、防漏等污染防治措施或采用具有相应功能的装置。</w:t>
            </w:r>
          </w:p>
          <w:p w14:paraId="5442F8C7">
            <w:pPr>
              <w:pStyle w:val="6"/>
              <w:spacing w:before="1" w:line="225" w:lineRule="auto"/>
              <w:jc w:val="right"/>
            </w:pPr>
            <w:r>
              <w:rPr>
                <w:rFonts w:ascii="Times New Roman" w:hAnsi="Times New Roman" w:eastAsia="Times New Roman" w:cs="Times New Roman"/>
                <w:spacing w:val="3"/>
              </w:rPr>
              <w:t>5</w:t>
            </w:r>
            <w:r>
              <w:rPr>
                <w:spacing w:val="3"/>
              </w:rPr>
              <w:t>）贮存点已及时清运贮存的危险废物，实时贮存量不</w:t>
            </w:r>
            <w:r>
              <w:rPr>
                <w:spacing w:val="2"/>
              </w:rPr>
              <w:t>应超过</w:t>
            </w:r>
            <w:r>
              <w:rPr>
                <w:spacing w:val="-50"/>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28"/>
              </w:rPr>
              <w:t xml:space="preserve"> </w:t>
            </w:r>
            <w:r>
              <w:rPr>
                <w:spacing w:val="2"/>
              </w:rPr>
              <w:t>吨。</w:t>
            </w:r>
          </w:p>
          <w:p w14:paraId="0946773A">
            <w:pPr>
              <w:pStyle w:val="6"/>
              <w:spacing w:before="152" w:line="340" w:lineRule="auto"/>
              <w:ind w:left="107" w:right="103" w:firstLine="522"/>
            </w:pPr>
            <w:r>
              <w:rPr>
                <w:rFonts w:ascii="Times New Roman" w:hAnsi="Times New Roman" w:eastAsia="Times New Roman" w:cs="Times New Roman"/>
                <w:spacing w:val="9"/>
              </w:rPr>
              <w:t>6</w:t>
            </w:r>
            <w:r>
              <w:rPr>
                <w:spacing w:val="9"/>
              </w:rPr>
              <w:t>）贮存设施或场所、容器和包装物已按</w:t>
            </w:r>
            <w:r>
              <w:rPr>
                <w:spacing w:val="-48"/>
              </w:rPr>
              <w:t xml:space="preserve"> </w:t>
            </w:r>
            <w:r>
              <w:rPr>
                <w:rFonts w:ascii="Times New Roman" w:hAnsi="Times New Roman" w:eastAsia="Times New Roman" w:cs="Times New Roman"/>
              </w:rPr>
              <w:t>HJ</w:t>
            </w:r>
            <w:r>
              <w:rPr>
                <w:rFonts w:ascii="Times New Roman" w:hAnsi="Times New Roman" w:eastAsia="Times New Roman" w:cs="Times New Roman"/>
                <w:spacing w:val="36"/>
              </w:rPr>
              <w:t xml:space="preserve"> </w:t>
            </w:r>
            <w:r>
              <w:rPr>
                <w:rFonts w:ascii="Times New Roman" w:hAnsi="Times New Roman" w:eastAsia="Times New Roman" w:cs="Times New Roman"/>
                <w:spacing w:val="9"/>
              </w:rPr>
              <w:t xml:space="preserve">1276 </w:t>
            </w:r>
            <w:r>
              <w:rPr>
                <w:spacing w:val="9"/>
              </w:rPr>
              <w:t>要求设置危险废</w:t>
            </w:r>
            <w:r>
              <w:rPr>
                <w:spacing w:val="6"/>
              </w:rPr>
              <w:t>物贮存设施或场所标志、危险废物贮存分区标志和危险废物标签等危险</w:t>
            </w:r>
            <w:r>
              <w:rPr>
                <w:spacing w:val="7"/>
              </w:rPr>
              <w:t>废物识别标志。</w:t>
            </w:r>
          </w:p>
          <w:p w14:paraId="19CBEDE6">
            <w:pPr>
              <w:pStyle w:val="6"/>
              <w:spacing w:before="1" w:line="225" w:lineRule="auto"/>
              <w:ind w:left="640"/>
            </w:pPr>
            <w:r>
              <w:rPr>
                <w:spacing w:val="8"/>
              </w:rPr>
              <w:t>（</w:t>
            </w:r>
            <w:r>
              <w:rPr>
                <w:rFonts w:ascii="Times New Roman" w:hAnsi="Times New Roman" w:eastAsia="Times New Roman" w:cs="Times New Roman"/>
                <w:spacing w:val="8"/>
              </w:rPr>
              <w:t>3</w:t>
            </w:r>
            <w:r>
              <w:rPr>
                <w:spacing w:val="8"/>
              </w:rPr>
              <w:t>）生活垃圾已在站内集中收集，妥善贮存。</w:t>
            </w:r>
          </w:p>
          <w:p w14:paraId="52B7C04B">
            <w:pPr>
              <w:pStyle w:val="6"/>
              <w:spacing w:before="156" w:line="339" w:lineRule="auto"/>
              <w:ind w:left="115" w:right="103" w:firstLine="516"/>
            </w:pPr>
            <w:r>
              <w:rPr>
                <w:spacing w:val="5"/>
              </w:rPr>
              <w:t>综合上述，项目经过合理分类和委托处置后，各项固体废物均能得</w:t>
            </w:r>
            <w:r>
              <w:rPr>
                <w:spacing w:val="8"/>
              </w:rPr>
              <w:t>到妥善处理，对周边环境影响较小。</w:t>
            </w:r>
          </w:p>
          <w:p w14:paraId="6F1FC2BB">
            <w:pPr>
              <w:pStyle w:val="6"/>
              <w:spacing w:before="1" w:line="225" w:lineRule="auto"/>
              <w:ind w:left="105"/>
            </w:pPr>
            <w:r>
              <w:rPr>
                <w:rFonts w:ascii="Times New Roman" w:hAnsi="Times New Roman" w:eastAsia="Times New Roman" w:cs="Times New Roman"/>
                <w:b/>
                <w:bCs/>
                <w:spacing w:val="6"/>
              </w:rPr>
              <w:t xml:space="preserve">4.2.5 </w:t>
            </w:r>
            <w:r>
              <w:rPr>
                <w:b/>
                <w:bCs/>
                <w:spacing w:val="6"/>
              </w:rPr>
              <w:t>地下水及土壤影响及其防治措施</w:t>
            </w:r>
          </w:p>
          <w:p w14:paraId="445F770B">
            <w:pPr>
              <w:pStyle w:val="6"/>
              <w:spacing w:before="155" w:line="226" w:lineRule="auto"/>
              <w:ind w:left="640"/>
            </w:pPr>
            <w:r>
              <w:rPr>
                <w:spacing w:val="8"/>
              </w:rPr>
              <w:t>（</w:t>
            </w:r>
            <w:r>
              <w:rPr>
                <w:rFonts w:ascii="Times New Roman" w:hAnsi="Times New Roman" w:eastAsia="Times New Roman" w:cs="Times New Roman"/>
                <w:spacing w:val="8"/>
              </w:rPr>
              <w:t>1</w:t>
            </w:r>
            <w:r>
              <w:rPr>
                <w:spacing w:val="8"/>
              </w:rPr>
              <w:t>）地下水、土壤环境影响分析</w:t>
            </w:r>
          </w:p>
        </w:tc>
      </w:tr>
    </w:tbl>
    <w:p w14:paraId="3116E014">
      <w:pPr>
        <w:pStyle w:val="2"/>
        <w:rPr>
          <w:sz w:val="21"/>
        </w:rPr>
      </w:pPr>
    </w:p>
    <w:p w14:paraId="46FD12C3">
      <w:pPr>
        <w:rPr>
          <w:sz w:val="21"/>
          <w:szCs w:val="21"/>
        </w:rPr>
        <w:sectPr>
          <w:footerReference r:id="rId94" w:type="default"/>
          <w:pgSz w:w="11907" w:h="16840"/>
          <w:pgMar w:top="400" w:right="1490" w:bottom="1008" w:left="1489" w:header="0" w:footer="770" w:gutter="0"/>
          <w:cols w:space="720" w:num="1"/>
        </w:sectPr>
      </w:pPr>
    </w:p>
    <w:p w14:paraId="3EFB7663">
      <w:pPr>
        <w:spacing w:before="19"/>
      </w:pPr>
    </w:p>
    <w:p w14:paraId="7D20A277">
      <w:pPr>
        <w:spacing w:before="19"/>
      </w:pPr>
    </w:p>
    <w:p w14:paraId="60438EEE">
      <w:pPr>
        <w:spacing w:before="19"/>
      </w:pPr>
    </w:p>
    <w:p w14:paraId="6461305C">
      <w:pPr>
        <w:spacing w:before="18"/>
      </w:pPr>
    </w:p>
    <w:p w14:paraId="76E1D550">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7450E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07" w:hRule="atLeast"/>
        </w:trPr>
        <w:tc>
          <w:tcPr>
            <w:tcW w:w="754" w:type="dxa"/>
            <w:tcBorders>
              <w:right w:val="single" w:color="000000" w:sz="2" w:space="0"/>
            </w:tcBorders>
            <w:vAlign w:val="top"/>
          </w:tcPr>
          <w:p w14:paraId="5FB42C0B">
            <w:pPr>
              <w:rPr>
                <w:rFonts w:ascii="Arial"/>
                <w:sz w:val="21"/>
              </w:rPr>
            </w:pPr>
          </w:p>
        </w:tc>
        <w:tc>
          <w:tcPr>
            <w:tcW w:w="8158" w:type="dxa"/>
            <w:tcBorders>
              <w:left w:val="single" w:color="000000" w:sz="2" w:space="0"/>
            </w:tcBorders>
            <w:vAlign w:val="top"/>
          </w:tcPr>
          <w:p w14:paraId="008D74D3">
            <w:pPr>
              <w:pStyle w:val="6"/>
              <w:spacing w:before="151" w:line="339" w:lineRule="auto"/>
              <w:ind w:left="102" w:right="105" w:firstLine="530"/>
            </w:pPr>
            <w:r>
              <w:rPr>
                <w:spacing w:val="9"/>
              </w:rPr>
              <w:t>项目改扩建后，站内设有生化池</w:t>
            </w:r>
            <w:r>
              <w:rPr>
                <w:spacing w:val="-25"/>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22"/>
                <w:w w:val="101"/>
              </w:rPr>
              <w:t xml:space="preserve"> </w:t>
            </w:r>
            <w:r>
              <w:rPr>
                <w:spacing w:val="9"/>
              </w:rPr>
              <w:t>座、隔油池</w:t>
            </w:r>
            <w:r>
              <w:rPr>
                <w:spacing w:val="-23"/>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20"/>
              </w:rPr>
              <w:t xml:space="preserve"> </w:t>
            </w:r>
            <w:r>
              <w:rPr>
                <w:spacing w:val="9"/>
              </w:rPr>
              <w:t>座</w:t>
            </w:r>
            <w:r>
              <w:rPr>
                <w:spacing w:val="8"/>
              </w:rPr>
              <w:t>，及</w:t>
            </w:r>
            <w:r>
              <w:rPr>
                <w:spacing w:val="-43"/>
              </w:rPr>
              <w:t xml:space="preserve"> </w:t>
            </w:r>
            <w:r>
              <w:rPr>
                <w:rFonts w:ascii="Times New Roman" w:hAnsi="Times New Roman" w:eastAsia="Times New Roman" w:cs="Times New Roman"/>
                <w:spacing w:val="8"/>
              </w:rPr>
              <w:t>3</w:t>
            </w:r>
            <w:r>
              <w:rPr>
                <w:rFonts w:ascii="Times New Roman" w:hAnsi="Times New Roman" w:eastAsia="Times New Roman" w:cs="Times New Roman"/>
                <w:spacing w:val="22"/>
                <w:w w:val="101"/>
              </w:rPr>
              <w:t xml:space="preserve"> </w:t>
            </w:r>
            <w:r>
              <w:rPr>
                <w:spacing w:val="8"/>
              </w:rPr>
              <w:t>座双层</w:t>
            </w:r>
            <w:r>
              <w:rPr>
                <w:rFonts w:ascii="Times New Roman" w:hAnsi="Times New Roman" w:eastAsia="Times New Roman" w:cs="Times New Roman"/>
              </w:rPr>
              <w:t>FF</w:t>
            </w:r>
            <w:r>
              <w:rPr>
                <w:rFonts w:ascii="Times New Roman" w:hAnsi="Times New Roman" w:eastAsia="Times New Roman" w:cs="Times New Roman"/>
                <w:spacing w:val="18"/>
              </w:rPr>
              <w:t xml:space="preserve"> </w:t>
            </w:r>
            <w:r>
              <w:rPr>
                <w:spacing w:val="6"/>
              </w:rPr>
              <w:t>埋地油罐。</w:t>
            </w:r>
          </w:p>
          <w:p w14:paraId="5196654C">
            <w:pPr>
              <w:pStyle w:val="6"/>
              <w:spacing w:before="1" w:line="223" w:lineRule="auto"/>
              <w:ind w:left="628"/>
            </w:pPr>
            <w:r>
              <w:rPr>
                <w:spacing w:val="9"/>
              </w:rPr>
              <w:t>①废水对地下水、土壤影响分析</w:t>
            </w:r>
          </w:p>
          <w:p w14:paraId="05583459">
            <w:pPr>
              <w:pStyle w:val="6"/>
              <w:spacing w:before="156" w:line="340" w:lineRule="auto"/>
              <w:ind w:left="109" w:right="103" w:firstLine="523"/>
            </w:pPr>
            <w:r>
              <w:rPr>
                <w:spacing w:val="5"/>
              </w:rPr>
              <w:t>项目废水为生活污水、地坪冲洗废水及初期雨水，不涉及重金属及</w:t>
            </w:r>
            <w:r>
              <w:rPr>
                <w:spacing w:val="6"/>
              </w:rPr>
              <w:t>持久性污染物，亦不涉及剧毒化学品，且项目周边地下水环境及</w:t>
            </w:r>
            <w:r>
              <w:rPr>
                <w:spacing w:val="5"/>
              </w:rPr>
              <w:t>土壤环</w:t>
            </w:r>
            <w:r>
              <w:rPr>
                <w:spacing w:val="6"/>
              </w:rPr>
              <w:t>境不敏感。运营期产生的污废水经处置达标后接入大九污水处理</w:t>
            </w:r>
            <w:r>
              <w:rPr>
                <w:spacing w:val="5"/>
              </w:rPr>
              <w:t>厂进一</w:t>
            </w:r>
            <w:r>
              <w:rPr>
                <w:spacing w:val="9"/>
              </w:rPr>
              <w:t>步处理，因此站内废水对地下水及土壤环境影响较小。</w:t>
            </w:r>
          </w:p>
          <w:p w14:paraId="632FAE95">
            <w:pPr>
              <w:pStyle w:val="6"/>
              <w:spacing w:before="1" w:line="223" w:lineRule="auto"/>
              <w:ind w:left="627"/>
            </w:pPr>
            <w:r>
              <w:rPr>
                <w:spacing w:val="9"/>
              </w:rPr>
              <w:t>②油品泄露对地下水、土壤影响分析</w:t>
            </w:r>
          </w:p>
          <w:p w14:paraId="1084BD90">
            <w:pPr>
              <w:pStyle w:val="6"/>
              <w:spacing w:before="152" w:line="340" w:lineRule="auto"/>
              <w:ind w:left="106" w:right="103" w:firstLine="527"/>
            </w:pPr>
            <w:r>
              <w:rPr>
                <w:spacing w:val="5"/>
              </w:rPr>
              <w:t>项目改扩建后，采用油罐仍为埋地式，储存物料为汽油。若一旦发</w:t>
            </w:r>
            <w:r>
              <w:rPr>
                <w:spacing w:val="6"/>
              </w:rPr>
              <w:t>生泄漏事故，泄漏油品可能渗漏到地表及以下，污染地下水水质。项目</w:t>
            </w:r>
            <w:r>
              <w:rPr>
                <w:spacing w:val="9"/>
              </w:rPr>
              <w:t>油罐为壳体双层</w:t>
            </w:r>
            <w:r>
              <w:rPr>
                <w:spacing w:val="-49"/>
              </w:rPr>
              <w:t xml:space="preserve"> </w:t>
            </w:r>
            <w:r>
              <w:rPr>
                <w:rFonts w:ascii="Times New Roman" w:hAnsi="Times New Roman" w:eastAsia="Times New Roman" w:cs="Times New Roman"/>
              </w:rPr>
              <w:t>FF</w:t>
            </w:r>
            <w:r>
              <w:rPr>
                <w:rFonts w:ascii="Times New Roman" w:hAnsi="Times New Roman" w:eastAsia="Times New Roman" w:cs="Times New Roman"/>
                <w:spacing w:val="9"/>
              </w:rPr>
              <w:t xml:space="preserve"> </w:t>
            </w:r>
            <w:r>
              <w:rPr>
                <w:spacing w:val="9"/>
              </w:rPr>
              <w:t>埋地钢制油罐，具有很好的防渗功能。池体底部设</w:t>
            </w:r>
            <w:r>
              <w:rPr>
                <w:spacing w:val="6"/>
              </w:rPr>
              <w:t>置漏油监测装置，一旦发生少量泄漏，能保证第一时间发现并处理。站</w:t>
            </w:r>
            <w:r>
              <w:rPr>
                <w:spacing w:val="11"/>
              </w:rPr>
              <w:t>内油罐区四周地面已进行硬化处理，采用</w:t>
            </w:r>
            <w:r>
              <w:rPr>
                <w:spacing w:val="-42"/>
              </w:rPr>
              <w:t xml:space="preserve"> </w:t>
            </w:r>
            <w:r>
              <w:rPr>
                <w:rFonts w:ascii="Times New Roman" w:hAnsi="Times New Roman" w:eastAsia="Times New Roman" w:cs="Times New Roman"/>
                <w:spacing w:val="11"/>
              </w:rPr>
              <w:t>C30</w:t>
            </w:r>
            <w:r>
              <w:rPr>
                <w:rFonts w:ascii="Times New Roman" w:hAnsi="Times New Roman" w:eastAsia="Times New Roman" w:cs="Times New Roman"/>
                <w:spacing w:val="33"/>
                <w:w w:val="101"/>
              </w:rPr>
              <w:t xml:space="preserve"> </w:t>
            </w:r>
            <w:r>
              <w:rPr>
                <w:spacing w:val="11"/>
              </w:rPr>
              <w:t>防渗混凝土，能及时防</w:t>
            </w:r>
            <w:r>
              <w:rPr>
                <w:spacing w:val="9"/>
              </w:rPr>
              <w:t>止油料渗入地面，可有效防止油罐泄漏对地下水的污染。</w:t>
            </w:r>
          </w:p>
          <w:p w14:paraId="3A2D1638">
            <w:pPr>
              <w:pStyle w:val="6"/>
              <w:spacing w:before="1" w:line="225" w:lineRule="auto"/>
              <w:ind w:left="640"/>
            </w:pPr>
            <w:r>
              <w:rPr>
                <w:spacing w:val="8"/>
              </w:rPr>
              <w:t>（</w:t>
            </w:r>
            <w:r>
              <w:rPr>
                <w:rFonts w:ascii="Times New Roman" w:hAnsi="Times New Roman" w:eastAsia="Times New Roman" w:cs="Times New Roman"/>
                <w:spacing w:val="8"/>
              </w:rPr>
              <w:t>2</w:t>
            </w:r>
            <w:r>
              <w:rPr>
                <w:spacing w:val="8"/>
              </w:rPr>
              <w:t>）地下水、土壤污染防治措施</w:t>
            </w:r>
          </w:p>
          <w:p w14:paraId="16EA6971">
            <w:pPr>
              <w:pStyle w:val="6"/>
              <w:spacing w:before="154" w:line="340" w:lineRule="auto"/>
              <w:ind w:left="112" w:right="103" w:firstLine="520"/>
            </w:pPr>
            <w:r>
              <w:rPr>
                <w:spacing w:val="5"/>
              </w:rPr>
              <w:t>项目地下水及土壤污染防治措施已按照“源头控制、分区防治、污染监控、应急响应</w:t>
            </w:r>
            <w:r>
              <w:rPr>
                <w:spacing w:val="-91"/>
              </w:rPr>
              <w:t xml:space="preserve"> </w:t>
            </w:r>
            <w:r>
              <w:rPr>
                <w:spacing w:val="5"/>
              </w:rPr>
              <w:t>”相结合的原则，从污染物的产</w:t>
            </w:r>
            <w:r>
              <w:rPr>
                <w:spacing w:val="4"/>
              </w:rPr>
              <w:t>生、入渗、扩散、应</w:t>
            </w:r>
            <w:r>
              <w:rPr>
                <w:spacing w:val="7"/>
              </w:rPr>
              <w:t>急响应全方位进行控制。</w:t>
            </w:r>
          </w:p>
          <w:p w14:paraId="23F7D922">
            <w:pPr>
              <w:pStyle w:val="6"/>
              <w:spacing w:before="1" w:line="223" w:lineRule="auto"/>
              <w:ind w:left="628"/>
            </w:pPr>
            <w:r>
              <w:rPr>
                <w:spacing w:val="8"/>
              </w:rPr>
              <w:t>①源头控制措施</w:t>
            </w:r>
          </w:p>
          <w:p w14:paraId="186B18F3">
            <w:pPr>
              <w:pStyle w:val="6"/>
              <w:spacing w:before="153" w:line="340" w:lineRule="auto"/>
              <w:ind w:left="107" w:right="67" w:firstLine="518"/>
            </w:pPr>
            <w:r>
              <w:rPr>
                <w:rFonts w:ascii="Times New Roman" w:hAnsi="Times New Roman" w:eastAsia="Times New Roman" w:cs="Times New Roman"/>
                <w:spacing w:val="8"/>
              </w:rPr>
              <w:t>I</w:t>
            </w:r>
            <w:r>
              <w:rPr>
                <w:rFonts w:ascii="Times New Roman" w:hAnsi="Times New Roman" w:eastAsia="Times New Roman" w:cs="Times New Roman"/>
                <w:spacing w:val="-34"/>
              </w:rPr>
              <w:t xml:space="preserve"> </w:t>
            </w:r>
            <w:r>
              <w:rPr>
                <w:spacing w:val="8"/>
              </w:rPr>
              <w:t>、项目已采用双层</w:t>
            </w:r>
            <w:r>
              <w:rPr>
                <w:spacing w:val="-54"/>
              </w:rPr>
              <w:t xml:space="preserve"> </w:t>
            </w:r>
            <w:r>
              <w:rPr>
                <w:rFonts w:ascii="Times New Roman" w:hAnsi="Times New Roman" w:eastAsia="Times New Roman" w:cs="Times New Roman"/>
              </w:rPr>
              <w:t>FF</w:t>
            </w:r>
            <w:r>
              <w:rPr>
                <w:rFonts w:ascii="Times New Roman" w:hAnsi="Times New Roman" w:eastAsia="Times New Roman" w:cs="Times New Roman"/>
                <w:spacing w:val="8"/>
              </w:rPr>
              <w:t xml:space="preserve"> </w:t>
            </w:r>
            <w:r>
              <w:rPr>
                <w:spacing w:val="8"/>
              </w:rPr>
              <w:t>埋地油罐（玻璃纤维增强塑料双层油罐</w:t>
            </w:r>
            <w:r>
              <w:rPr>
                <w:spacing w:val="-18"/>
              </w:rPr>
              <w:t>），</w:t>
            </w:r>
            <w:r>
              <w:rPr>
                <w:spacing w:val="6"/>
              </w:rPr>
              <w:t>内外两层皆为玻璃纤维增强塑料，内罐一旦发生渗漏，外罐完整可保证储液不外漏；同时，双层间隙内的压力或液位会发生变化，触发防渗漏在线检测仪报警器并发出警报，同理，外罐渗漏也能引发双层间隙内的压力或液位会发生变化，触发防渗漏在线检测仪报警器并发出警报。因此，内罐破损情况下，外罐完整，并触发警报，能保证第一时间发现并</w:t>
            </w:r>
            <w:r>
              <w:rPr>
                <w:spacing w:val="8"/>
              </w:rPr>
              <w:t>处理，不会对土壤和地下水产生影响。</w:t>
            </w:r>
          </w:p>
          <w:p w14:paraId="2F2DACD4">
            <w:pPr>
              <w:pStyle w:val="6"/>
              <w:spacing w:before="2" w:line="290" w:lineRule="auto"/>
              <w:ind w:left="117" w:right="103" w:firstLine="508"/>
            </w:pPr>
            <w:r>
              <w:rPr>
                <w:rFonts w:ascii="Times New Roman" w:hAnsi="Times New Roman" w:eastAsia="Times New Roman" w:cs="Times New Roman"/>
              </w:rPr>
              <w:t>II</w:t>
            </w:r>
            <w:r>
              <w:rPr>
                <w:rFonts w:ascii="Times New Roman" w:hAnsi="Times New Roman" w:eastAsia="Times New Roman" w:cs="Times New Roman"/>
                <w:spacing w:val="-34"/>
              </w:rPr>
              <w:t xml:space="preserve"> </w:t>
            </w:r>
            <w:r>
              <w:rPr>
                <w:spacing w:val="8"/>
              </w:rPr>
              <w:t>、加油管已采用导静电热塑性塑料双层管道，卸油管道、油</w:t>
            </w:r>
            <w:r>
              <w:rPr>
                <w:spacing w:val="7"/>
              </w:rPr>
              <w:t>气回</w:t>
            </w:r>
            <w:r>
              <w:rPr>
                <w:spacing w:val="6"/>
              </w:rPr>
              <w:t>收管道、通气管道采用输送流体用无缝钢管。储</w:t>
            </w:r>
            <w:r>
              <w:rPr>
                <w:spacing w:val="5"/>
              </w:rPr>
              <w:t>油罐、加油机底槽、加</w:t>
            </w:r>
          </w:p>
        </w:tc>
      </w:tr>
    </w:tbl>
    <w:p w14:paraId="48467202">
      <w:pPr>
        <w:pStyle w:val="2"/>
        <w:rPr>
          <w:sz w:val="21"/>
        </w:rPr>
      </w:pPr>
    </w:p>
    <w:p w14:paraId="29C2A029">
      <w:pPr>
        <w:rPr>
          <w:sz w:val="21"/>
          <w:szCs w:val="21"/>
        </w:rPr>
        <w:sectPr>
          <w:footerReference r:id="rId95" w:type="default"/>
          <w:pgSz w:w="11907" w:h="16840"/>
          <w:pgMar w:top="400" w:right="1490" w:bottom="1008" w:left="1489" w:header="0" w:footer="770" w:gutter="0"/>
          <w:cols w:space="720" w:num="1"/>
        </w:sectPr>
      </w:pPr>
    </w:p>
    <w:p w14:paraId="42EDE0E4">
      <w:pPr>
        <w:spacing w:before="19"/>
      </w:pPr>
    </w:p>
    <w:p w14:paraId="4663D249">
      <w:pPr>
        <w:spacing w:before="19"/>
      </w:pPr>
    </w:p>
    <w:p w14:paraId="491C9D78">
      <w:pPr>
        <w:spacing w:before="19"/>
      </w:pPr>
    </w:p>
    <w:p w14:paraId="4128B819">
      <w:pPr>
        <w:spacing w:before="18"/>
      </w:pPr>
    </w:p>
    <w:p w14:paraId="7C29BD8B">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70B09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907" w:hRule="atLeast"/>
        </w:trPr>
        <w:tc>
          <w:tcPr>
            <w:tcW w:w="754" w:type="dxa"/>
            <w:tcBorders>
              <w:right w:val="single" w:color="000000" w:sz="2" w:space="0"/>
            </w:tcBorders>
            <w:vAlign w:val="top"/>
          </w:tcPr>
          <w:p w14:paraId="3A023AEC">
            <w:pPr>
              <w:rPr>
                <w:rFonts w:ascii="Arial"/>
                <w:sz w:val="21"/>
              </w:rPr>
            </w:pPr>
          </w:p>
        </w:tc>
        <w:tc>
          <w:tcPr>
            <w:tcW w:w="8158" w:type="dxa"/>
            <w:tcBorders>
              <w:left w:val="single" w:color="000000" w:sz="2" w:space="0"/>
            </w:tcBorders>
            <w:vAlign w:val="top"/>
          </w:tcPr>
          <w:p w14:paraId="30F41334">
            <w:pPr>
              <w:pStyle w:val="6"/>
              <w:spacing w:before="151" w:line="339" w:lineRule="auto"/>
              <w:ind w:left="107" w:right="103" w:firstLine="5"/>
            </w:pPr>
            <w:r>
              <w:rPr>
                <w:spacing w:val="6"/>
              </w:rPr>
              <w:t>油管道设置渗漏检测装置，信号传输至值班室集中声光报</w:t>
            </w:r>
            <w:r>
              <w:rPr>
                <w:spacing w:val="5"/>
              </w:rPr>
              <w:t>警箱，加油机</w:t>
            </w:r>
            <w:r>
              <w:rPr>
                <w:spacing w:val="9"/>
              </w:rPr>
              <w:t>底槽采用成品复合材料底槽，油气发生泄漏可第一时间发现并处理。</w:t>
            </w:r>
          </w:p>
          <w:p w14:paraId="63FF6546">
            <w:pPr>
              <w:pStyle w:val="6"/>
              <w:spacing w:before="2" w:line="339" w:lineRule="auto"/>
              <w:ind w:left="108" w:right="103" w:firstLine="517"/>
            </w:pPr>
            <w:r>
              <w:rPr>
                <w:rFonts w:ascii="Times New Roman" w:hAnsi="Times New Roman" w:eastAsia="Times New Roman" w:cs="Times New Roman"/>
              </w:rPr>
              <w:t>III</w:t>
            </w:r>
            <w:r>
              <w:rPr>
                <w:rFonts w:ascii="Times New Roman" w:hAnsi="Times New Roman" w:eastAsia="Times New Roman" w:cs="Times New Roman"/>
                <w:spacing w:val="-30"/>
              </w:rPr>
              <w:t xml:space="preserve"> </w:t>
            </w:r>
            <w:r>
              <w:rPr>
                <w:spacing w:val="7"/>
              </w:rPr>
              <w:t>、加油枪已采用自封式，汽油加油枪的流量不应大于</w:t>
            </w:r>
            <w:r>
              <w:rPr>
                <w:spacing w:val="-47"/>
              </w:rPr>
              <w:t xml:space="preserve"> </w:t>
            </w:r>
            <w:r>
              <w:rPr>
                <w:rFonts w:ascii="Times New Roman" w:hAnsi="Times New Roman" w:eastAsia="Times New Roman" w:cs="Times New Roman"/>
                <w:spacing w:val="7"/>
              </w:rPr>
              <w:t>50L/</w:t>
            </w:r>
            <w:r>
              <w:rPr>
                <w:rFonts w:ascii="Times New Roman" w:hAnsi="Times New Roman" w:eastAsia="Times New Roman" w:cs="Times New Roman"/>
              </w:rPr>
              <w:t>min</w:t>
            </w:r>
            <w:r>
              <w:rPr>
                <w:spacing w:val="7"/>
              </w:rPr>
              <w:t>；</w:t>
            </w:r>
            <w:r>
              <w:rPr>
                <w:spacing w:val="6"/>
              </w:rPr>
              <w:t>加油软管上设安全拉断阀；加油机底部供油管道上设剪切阀，当加油机</w:t>
            </w:r>
            <w:r>
              <w:rPr>
                <w:spacing w:val="8"/>
              </w:rPr>
              <w:t>被撞时，剪切阀能自动关闭。</w:t>
            </w:r>
          </w:p>
          <w:p w14:paraId="6A003F26">
            <w:pPr>
              <w:pStyle w:val="6"/>
              <w:spacing w:line="340" w:lineRule="auto"/>
              <w:ind w:left="111" w:right="105" w:firstLine="657"/>
            </w:pPr>
            <w:r>
              <w:rPr>
                <w:spacing w:val="8"/>
              </w:rPr>
              <w:t>Ⅳ</w:t>
            </w:r>
            <w:r>
              <w:rPr>
                <w:spacing w:val="-77"/>
              </w:rPr>
              <w:t xml:space="preserve"> </w:t>
            </w:r>
            <w:r>
              <w:rPr>
                <w:spacing w:val="8"/>
              </w:rPr>
              <w:t>、工作人员已加强场地的检修、加固，防止渗漏，从而对地下</w:t>
            </w:r>
            <w:r>
              <w:rPr>
                <w:spacing w:val="5"/>
              </w:rPr>
              <w:t>水造成污染。</w:t>
            </w:r>
          </w:p>
          <w:p w14:paraId="3327FCA4">
            <w:pPr>
              <w:pStyle w:val="6"/>
              <w:spacing w:before="1" w:line="223" w:lineRule="auto"/>
              <w:ind w:left="627"/>
            </w:pPr>
            <w:r>
              <w:rPr>
                <w:spacing w:val="9"/>
              </w:rPr>
              <w:t>②防渗分区防治及措施</w:t>
            </w:r>
          </w:p>
          <w:p w14:paraId="678B7B6E">
            <w:pPr>
              <w:pStyle w:val="6"/>
              <w:spacing w:before="156" w:line="340" w:lineRule="auto"/>
              <w:ind w:left="110" w:right="103" w:firstLine="519"/>
            </w:pPr>
            <w:r>
              <w:rPr>
                <w:spacing w:val="5"/>
              </w:rPr>
              <w:t>站内功能区已进行分区防渗，划分为重点防渗区、一般防渗区和简单防渗区。</w:t>
            </w:r>
          </w:p>
          <w:p w14:paraId="23222038">
            <w:pPr>
              <w:pStyle w:val="6"/>
              <w:spacing w:before="2" w:line="339" w:lineRule="auto"/>
              <w:ind w:left="109" w:right="15" w:firstLine="520"/>
              <w:jc w:val="both"/>
            </w:pPr>
            <w:r>
              <w:t>重点防渗区：包括卸油区、加油区、埋地油罐区、危险废物贮存点、</w:t>
            </w:r>
            <w:r>
              <w:rPr>
                <w:spacing w:val="6"/>
              </w:rPr>
              <w:t>隔油池、应急柴油发电机房以及工艺管线。防渗技术要求满足“等</w:t>
            </w:r>
            <w:r>
              <w:rPr>
                <w:spacing w:val="5"/>
              </w:rPr>
              <w:t>效黏</w:t>
            </w:r>
            <w:r>
              <w:rPr>
                <w:spacing w:val="8"/>
              </w:rPr>
              <w:t xml:space="preserve">土防渗层 </w:t>
            </w:r>
            <w:r>
              <w:rPr>
                <w:rFonts w:ascii="Times New Roman" w:hAnsi="Times New Roman" w:eastAsia="Times New Roman" w:cs="Times New Roman"/>
              </w:rPr>
              <w:t>Mb</w:t>
            </w:r>
            <w:r>
              <w:rPr>
                <w:spacing w:val="8"/>
              </w:rPr>
              <w:t>≥</w:t>
            </w:r>
            <w:r>
              <w:rPr>
                <w:rFonts w:ascii="Times New Roman" w:hAnsi="Times New Roman" w:eastAsia="Times New Roman" w:cs="Times New Roman"/>
                <w:spacing w:val="8"/>
              </w:rPr>
              <w:t>6.0m</w:t>
            </w:r>
            <w:r>
              <w:rPr>
                <w:rFonts w:ascii="Times New Roman" w:hAnsi="Times New Roman" w:eastAsia="Times New Roman" w:cs="Times New Roman"/>
                <w:spacing w:val="-26"/>
              </w:rPr>
              <w:t xml:space="preserve"> </w:t>
            </w:r>
            <w:r>
              <w:rPr>
                <w:spacing w:val="8"/>
              </w:rPr>
              <w:t>，</w:t>
            </w:r>
            <w:r>
              <w:rPr>
                <w:rFonts w:ascii="Times New Roman" w:hAnsi="Times New Roman" w:eastAsia="Times New Roman" w:cs="Times New Roman"/>
                <w:spacing w:val="8"/>
              </w:rPr>
              <w:t>K</w:t>
            </w:r>
            <w:r>
              <w:rPr>
                <w:spacing w:val="8"/>
              </w:rPr>
              <w:t>≤</w:t>
            </w:r>
            <w:r>
              <w:rPr>
                <w:rFonts w:ascii="Times New Roman" w:hAnsi="Times New Roman" w:eastAsia="Times New Roman" w:cs="Times New Roman"/>
                <w:spacing w:val="8"/>
              </w:rPr>
              <w:t>1.0</w:t>
            </w:r>
            <w:r>
              <w:rPr>
                <w:spacing w:val="8"/>
              </w:rPr>
              <w:t>×</w:t>
            </w:r>
            <w:r>
              <w:rPr>
                <w:rFonts w:ascii="Times New Roman" w:hAnsi="Times New Roman" w:eastAsia="Times New Roman" w:cs="Times New Roman"/>
                <w:spacing w:val="8"/>
              </w:rPr>
              <w:t>10</w:t>
            </w:r>
            <w:r>
              <w:rPr>
                <w:rFonts w:ascii="Times New Roman" w:hAnsi="Times New Roman" w:eastAsia="Times New Roman" w:cs="Times New Roman"/>
                <w:spacing w:val="8"/>
                <w:position w:val="8"/>
                <w:sz w:val="16"/>
                <w:szCs w:val="16"/>
              </w:rPr>
              <w:t>-7</w:t>
            </w:r>
            <w:r>
              <w:rPr>
                <w:rFonts w:ascii="Times New Roman" w:hAnsi="Times New Roman" w:eastAsia="Times New Roman" w:cs="Times New Roman"/>
              </w:rPr>
              <w:t>cm</w:t>
            </w:r>
            <w:r>
              <w:rPr>
                <w:rFonts w:ascii="Times New Roman" w:hAnsi="Times New Roman" w:eastAsia="Times New Roman" w:cs="Times New Roman"/>
                <w:spacing w:val="8"/>
              </w:rPr>
              <w:t>/s</w:t>
            </w:r>
            <w:r>
              <w:rPr>
                <w:rFonts w:ascii="Times New Roman" w:hAnsi="Times New Roman" w:eastAsia="Times New Roman" w:cs="Times New Roman"/>
                <w:spacing w:val="-25"/>
              </w:rPr>
              <w:t xml:space="preserve"> </w:t>
            </w:r>
            <w:r>
              <w:rPr>
                <w:spacing w:val="8"/>
              </w:rPr>
              <w:t>”。其中危险废</w:t>
            </w:r>
            <w:r>
              <w:rPr>
                <w:spacing w:val="7"/>
              </w:rPr>
              <w:t>物贮存点满足</w:t>
            </w:r>
            <w:r>
              <w:rPr>
                <w:spacing w:val="8"/>
              </w:rPr>
              <w:t>《危险废物贮存污染控制标准》（</w:t>
            </w:r>
            <w:r>
              <w:rPr>
                <w:rFonts w:ascii="Times New Roman" w:hAnsi="Times New Roman" w:eastAsia="Times New Roman" w:cs="Times New Roman"/>
              </w:rPr>
              <w:t>GB</w:t>
            </w:r>
            <w:r>
              <w:rPr>
                <w:rFonts w:ascii="Times New Roman" w:hAnsi="Times New Roman" w:eastAsia="Times New Roman" w:cs="Times New Roman"/>
                <w:spacing w:val="8"/>
              </w:rPr>
              <w:t>18597-2023</w:t>
            </w:r>
            <w:r>
              <w:rPr>
                <w:spacing w:val="8"/>
              </w:rPr>
              <w:t>）等要</w:t>
            </w:r>
            <w:r>
              <w:rPr>
                <w:spacing w:val="7"/>
              </w:rPr>
              <w:t>求。</w:t>
            </w:r>
          </w:p>
          <w:p w14:paraId="267CA39C">
            <w:pPr>
              <w:pStyle w:val="6"/>
              <w:spacing w:before="1" w:line="340" w:lineRule="auto"/>
              <w:ind w:left="103" w:right="103" w:firstLine="530"/>
            </w:pPr>
            <w:r>
              <w:rPr>
                <w:spacing w:val="5"/>
              </w:rPr>
              <w:t>一般防渗区：包括生化池等，防渗技术要求满足“等效黏土防渗层</w:t>
            </w:r>
            <w:r>
              <w:rPr>
                <w:rFonts w:ascii="Times New Roman" w:hAnsi="Times New Roman" w:eastAsia="Times New Roman" w:cs="Times New Roman"/>
              </w:rPr>
              <w:t>Mb</w:t>
            </w:r>
            <w:r>
              <w:rPr>
                <w:rFonts w:ascii="Times New Roman" w:hAnsi="Times New Roman" w:eastAsia="Times New Roman" w:cs="Times New Roman"/>
                <w:spacing w:val="5"/>
              </w:rPr>
              <w:t>≥1.5m</w:t>
            </w:r>
            <w:r>
              <w:rPr>
                <w:rFonts w:ascii="Times New Roman" w:hAnsi="Times New Roman" w:eastAsia="Times New Roman" w:cs="Times New Roman"/>
                <w:spacing w:val="-23"/>
              </w:rPr>
              <w:t xml:space="preserve"> </w:t>
            </w:r>
            <w:r>
              <w:rPr>
                <w:spacing w:val="5"/>
              </w:rPr>
              <w:t xml:space="preserve">，渗透系数 </w:t>
            </w:r>
            <w:r>
              <w:rPr>
                <w:rFonts w:ascii="Times New Roman" w:hAnsi="Times New Roman" w:eastAsia="Times New Roman" w:cs="Times New Roman"/>
                <w:spacing w:val="5"/>
              </w:rPr>
              <w:t>K≤10-7</w:t>
            </w:r>
            <w:r>
              <w:rPr>
                <w:rFonts w:ascii="Times New Roman" w:hAnsi="Times New Roman" w:eastAsia="Times New Roman" w:cs="Times New Roman"/>
              </w:rPr>
              <w:t>cm</w:t>
            </w:r>
            <w:r>
              <w:rPr>
                <w:rFonts w:ascii="Times New Roman" w:hAnsi="Times New Roman" w:eastAsia="Times New Roman" w:cs="Times New Roman"/>
                <w:spacing w:val="5"/>
              </w:rPr>
              <w:t>/s</w:t>
            </w:r>
            <w:r>
              <w:rPr>
                <w:rFonts w:ascii="Times New Roman" w:hAnsi="Times New Roman" w:eastAsia="Times New Roman" w:cs="Times New Roman"/>
                <w:spacing w:val="-25"/>
              </w:rPr>
              <w:t xml:space="preserve"> </w:t>
            </w:r>
            <w:r>
              <w:rPr>
                <w:spacing w:val="5"/>
              </w:rPr>
              <w:t>”；</w:t>
            </w:r>
          </w:p>
          <w:p w14:paraId="54F29FBD">
            <w:pPr>
              <w:pStyle w:val="6"/>
              <w:spacing w:line="225" w:lineRule="auto"/>
              <w:ind w:left="634"/>
            </w:pPr>
            <w:r>
              <w:rPr>
                <w:spacing w:val="9"/>
              </w:rPr>
              <w:t>简单防渗区：包括站内道路、站房，地面进行硬化处</w:t>
            </w:r>
            <w:r>
              <w:rPr>
                <w:spacing w:val="8"/>
              </w:rPr>
              <w:t>理。</w:t>
            </w:r>
          </w:p>
          <w:p w14:paraId="2AFBEA22">
            <w:pPr>
              <w:pStyle w:val="6"/>
              <w:spacing w:before="153" w:line="224" w:lineRule="auto"/>
              <w:ind w:left="627"/>
            </w:pPr>
            <w:r>
              <w:rPr>
                <w:spacing w:val="8"/>
              </w:rPr>
              <w:t>③管理措施</w:t>
            </w:r>
          </w:p>
          <w:p w14:paraId="093FFBF4">
            <w:pPr>
              <w:pStyle w:val="6"/>
              <w:spacing w:before="157" w:line="340" w:lineRule="auto"/>
              <w:ind w:left="108" w:right="103" w:firstLine="520"/>
            </w:pPr>
            <w:r>
              <w:rPr>
                <w:spacing w:val="6"/>
              </w:rPr>
              <w:t>加强运行管理，从油品储存、运输等全过程</w:t>
            </w:r>
            <w:r>
              <w:rPr>
                <w:spacing w:val="5"/>
              </w:rPr>
              <w:t>控制油品泄漏，采取行</w:t>
            </w:r>
            <w:r>
              <w:rPr>
                <w:spacing w:val="6"/>
              </w:rPr>
              <w:t>之有效的防渗措施，定期检查污染源地下水保护设施，及时消除污染隐患，杜绝跑冒滴漏现象：发现有污染物泄漏或渗漏，采取清理污染物和</w:t>
            </w:r>
            <w:r>
              <w:rPr>
                <w:spacing w:val="8"/>
              </w:rPr>
              <w:t>修补漏洞（缝）等补救措施。</w:t>
            </w:r>
          </w:p>
          <w:p w14:paraId="5AC23BBC">
            <w:pPr>
              <w:pStyle w:val="6"/>
              <w:spacing w:before="1" w:line="223" w:lineRule="auto"/>
              <w:ind w:left="627"/>
            </w:pPr>
            <w:r>
              <w:rPr>
                <w:spacing w:val="8"/>
              </w:rPr>
              <w:t>④风险事故应急响应</w:t>
            </w:r>
          </w:p>
          <w:p w14:paraId="5390B61E">
            <w:pPr>
              <w:pStyle w:val="6"/>
              <w:spacing w:before="156" w:line="340" w:lineRule="auto"/>
              <w:ind w:left="107" w:right="103" w:firstLine="525"/>
            </w:pPr>
            <w:r>
              <w:rPr>
                <w:spacing w:val="5"/>
              </w:rPr>
              <w:t>发现渗漏时应立即停止运营，组织人员查明渗漏源头，采取补救措</w:t>
            </w:r>
            <w:r>
              <w:rPr>
                <w:spacing w:val="-1"/>
              </w:rPr>
              <w:t>施。</w:t>
            </w:r>
          </w:p>
          <w:p w14:paraId="0588BF40">
            <w:pPr>
              <w:pStyle w:val="6"/>
              <w:spacing w:before="2" w:line="225" w:lineRule="auto"/>
              <w:ind w:left="640"/>
            </w:pPr>
            <w:r>
              <w:rPr>
                <w:spacing w:val="7"/>
              </w:rPr>
              <w:t>（</w:t>
            </w:r>
            <w:r>
              <w:rPr>
                <w:rFonts w:ascii="Times New Roman" w:hAnsi="Times New Roman" w:eastAsia="Times New Roman" w:cs="Times New Roman"/>
                <w:spacing w:val="7"/>
              </w:rPr>
              <w:t>3</w:t>
            </w:r>
            <w:r>
              <w:rPr>
                <w:spacing w:val="7"/>
              </w:rPr>
              <w:t>）地下水跟踪监测计划</w:t>
            </w:r>
          </w:p>
          <w:p w14:paraId="489D6472">
            <w:pPr>
              <w:pStyle w:val="6"/>
              <w:spacing w:before="151" w:line="291" w:lineRule="auto"/>
              <w:ind w:left="109" w:right="20" w:firstLine="520"/>
            </w:pPr>
            <w:r>
              <w:rPr>
                <w:spacing w:val="-15"/>
              </w:rPr>
              <w:t>根据《加油站地下水污染防治技术指南（试行）》（环办水体函〔</w:t>
            </w:r>
            <w:r>
              <w:rPr>
                <w:rFonts w:ascii="Times New Roman" w:hAnsi="Times New Roman" w:eastAsia="Times New Roman" w:cs="Times New Roman"/>
                <w:spacing w:val="-15"/>
              </w:rPr>
              <w:t>2017</w:t>
            </w:r>
            <w:r>
              <w:rPr>
                <w:spacing w:val="-15"/>
              </w:rPr>
              <w:t>〕</w:t>
            </w:r>
            <w:r>
              <w:rPr>
                <w:spacing w:val="6"/>
              </w:rPr>
              <w:t xml:space="preserve"> </w:t>
            </w:r>
            <w:r>
              <w:rPr>
                <w:rFonts w:ascii="Times New Roman" w:hAnsi="Times New Roman" w:eastAsia="Times New Roman" w:cs="Times New Roman"/>
                <w:spacing w:val="7"/>
              </w:rPr>
              <w:t>323</w:t>
            </w:r>
            <w:r>
              <w:rPr>
                <w:rFonts w:ascii="Times New Roman" w:hAnsi="Times New Roman" w:eastAsia="Times New Roman" w:cs="Times New Roman"/>
                <w:spacing w:val="23"/>
              </w:rPr>
              <w:t xml:space="preserve"> </w:t>
            </w:r>
            <w:r>
              <w:rPr>
                <w:spacing w:val="7"/>
              </w:rPr>
              <w:t>号），建设单位应建立地下水环境监测管理体系，制定地下水环境</w:t>
            </w:r>
          </w:p>
        </w:tc>
      </w:tr>
    </w:tbl>
    <w:p w14:paraId="4F59C039">
      <w:pPr>
        <w:pStyle w:val="2"/>
        <w:rPr>
          <w:sz w:val="21"/>
        </w:rPr>
      </w:pPr>
    </w:p>
    <w:p w14:paraId="28C388A4">
      <w:pPr>
        <w:rPr>
          <w:sz w:val="21"/>
          <w:szCs w:val="21"/>
        </w:rPr>
        <w:sectPr>
          <w:footerReference r:id="rId96" w:type="default"/>
          <w:pgSz w:w="11907" w:h="16840"/>
          <w:pgMar w:top="400" w:right="1490" w:bottom="1008" w:left="1489" w:header="0" w:footer="770" w:gutter="0"/>
          <w:cols w:space="720" w:num="1"/>
        </w:sectPr>
      </w:pPr>
    </w:p>
    <w:p w14:paraId="36B1AF17">
      <w:pPr>
        <w:spacing w:before="19"/>
      </w:pPr>
    </w:p>
    <w:p w14:paraId="58C47FED">
      <w:pPr>
        <w:spacing w:before="19"/>
      </w:pPr>
    </w:p>
    <w:p w14:paraId="2675239E">
      <w:pPr>
        <w:spacing w:before="19"/>
      </w:pPr>
    </w:p>
    <w:p w14:paraId="6329F49C">
      <w:pPr>
        <w:spacing w:before="18"/>
      </w:pPr>
    </w:p>
    <w:p w14:paraId="1EC8CD25">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1A299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97" w:hRule="atLeast"/>
        </w:trPr>
        <w:tc>
          <w:tcPr>
            <w:tcW w:w="754" w:type="dxa"/>
            <w:tcBorders>
              <w:right w:val="single" w:color="000000" w:sz="2" w:space="0"/>
            </w:tcBorders>
            <w:vAlign w:val="top"/>
          </w:tcPr>
          <w:p w14:paraId="5E4CCBB4">
            <w:pPr>
              <w:rPr>
                <w:rFonts w:ascii="Arial"/>
                <w:sz w:val="21"/>
              </w:rPr>
            </w:pPr>
          </w:p>
        </w:tc>
        <w:tc>
          <w:tcPr>
            <w:tcW w:w="8158" w:type="dxa"/>
            <w:tcBorders>
              <w:left w:val="single" w:color="000000" w:sz="2" w:space="0"/>
            </w:tcBorders>
            <w:vAlign w:val="top"/>
          </w:tcPr>
          <w:p w14:paraId="002ED6A3">
            <w:pPr>
              <w:pStyle w:val="6"/>
              <w:spacing w:before="149" w:line="340" w:lineRule="auto"/>
              <w:ind w:left="109" w:right="103" w:hanging="3"/>
              <w:jc w:val="both"/>
            </w:pPr>
            <w:r>
              <w:rPr>
                <w:spacing w:val="6"/>
              </w:rPr>
              <w:t>跟踪监测与信息公开计划，以便及时发现问题，采取措施，避免对地下水环境造成污染。一旦发现问题，站内工作人员应及时进行检查，</w:t>
            </w:r>
            <w:r>
              <w:rPr>
                <w:spacing w:val="5"/>
              </w:rPr>
              <w:t>判断</w:t>
            </w:r>
            <w:r>
              <w:rPr>
                <w:spacing w:val="6"/>
              </w:rPr>
              <w:t>本项目是否有液体物料渗漏且污染地下水的情况，根据情况及时</w:t>
            </w:r>
            <w:r>
              <w:rPr>
                <w:spacing w:val="5"/>
              </w:rPr>
              <w:t>采取补</w:t>
            </w:r>
            <w:r>
              <w:rPr>
                <w:spacing w:val="4"/>
              </w:rPr>
              <w:t>救措施。</w:t>
            </w:r>
          </w:p>
          <w:p w14:paraId="0D1C9105">
            <w:pPr>
              <w:pStyle w:val="6"/>
              <w:spacing w:before="2" w:line="339" w:lineRule="auto"/>
              <w:ind w:left="108" w:firstLine="524"/>
              <w:jc w:val="both"/>
            </w:pPr>
            <w:r>
              <w:rPr>
                <w:spacing w:val="5"/>
              </w:rPr>
              <w:t>项目在油罐区设置地下水跟踪观察井，油罐为双层钢制罐，具有较</w:t>
            </w:r>
            <w:r>
              <w:rPr>
                <w:spacing w:val="7"/>
              </w:rPr>
              <w:t>好防渗功能，符合《汽车加油加气加氢站技术标准</w:t>
            </w:r>
            <w:r>
              <w:rPr>
                <w:spacing w:val="6"/>
              </w:rPr>
              <w:t>》（</w:t>
            </w:r>
            <w:r>
              <w:rPr>
                <w:rFonts w:ascii="Times New Roman" w:hAnsi="Times New Roman" w:eastAsia="Times New Roman" w:cs="Times New Roman"/>
              </w:rPr>
              <w:t>GB</w:t>
            </w:r>
            <w:r>
              <w:rPr>
                <w:rFonts w:ascii="Times New Roman" w:hAnsi="Times New Roman" w:eastAsia="Times New Roman" w:cs="Times New Roman"/>
                <w:spacing w:val="6"/>
              </w:rPr>
              <w:t>50156-2021</w:t>
            </w:r>
            <w:r>
              <w:rPr>
                <w:spacing w:val="6"/>
              </w:rPr>
              <w:t>）</w:t>
            </w:r>
            <w:r>
              <w:rPr>
                <w:spacing w:val="2"/>
              </w:rPr>
              <w:t>要求。</w:t>
            </w:r>
          </w:p>
          <w:p w14:paraId="071C4D82">
            <w:pPr>
              <w:pStyle w:val="6"/>
              <w:spacing w:before="4" w:line="339" w:lineRule="auto"/>
              <w:ind w:left="106" w:right="103" w:firstLine="524"/>
              <w:jc w:val="both"/>
            </w:pPr>
            <w:r>
              <w:rPr>
                <w:spacing w:val="26"/>
              </w:rPr>
              <w:t>参照《排污单位</w:t>
            </w:r>
            <w:r>
              <w:rPr>
                <w:spacing w:val="-29"/>
              </w:rPr>
              <w:t xml:space="preserve"> </w:t>
            </w:r>
            <w:r>
              <w:rPr>
                <w:spacing w:val="26"/>
              </w:rPr>
              <w:t>自行监测技术指南</w:t>
            </w:r>
            <w:r>
              <w:rPr>
                <w:spacing w:val="77"/>
              </w:rPr>
              <w:t xml:space="preserve"> </w:t>
            </w:r>
            <w:r>
              <w:rPr>
                <w:spacing w:val="26"/>
              </w:rPr>
              <w:t>储油库</w:t>
            </w:r>
            <w:r>
              <w:rPr>
                <w:spacing w:val="-66"/>
              </w:rPr>
              <w:t xml:space="preserve"> </w:t>
            </w:r>
            <w:r>
              <w:rPr>
                <w:spacing w:val="26"/>
              </w:rPr>
              <w:t>、加油站》</w:t>
            </w:r>
            <w:r>
              <w:rPr>
                <w:spacing w:val="-48"/>
              </w:rPr>
              <w:t xml:space="preserve"> </w:t>
            </w:r>
            <w:r>
              <w:rPr>
                <w:spacing w:val="26"/>
              </w:rPr>
              <w:t>（</w:t>
            </w:r>
            <w:r>
              <w:rPr>
                <w:spacing w:val="-49"/>
              </w:rPr>
              <w:t xml:space="preserve"> </w:t>
            </w:r>
            <w:r>
              <w:rPr>
                <w:rFonts w:ascii="Times New Roman" w:hAnsi="Times New Roman" w:eastAsia="Times New Roman" w:cs="Times New Roman"/>
              </w:rPr>
              <w:t xml:space="preserve">HJ </w:t>
            </w:r>
            <w:r>
              <w:rPr>
                <w:rFonts w:ascii="Times New Roman" w:hAnsi="Times New Roman" w:eastAsia="Times New Roman" w:cs="Times New Roman"/>
                <w:spacing w:val="9"/>
              </w:rPr>
              <w:t>1249-2022</w:t>
            </w:r>
            <w:r>
              <w:rPr>
                <w:spacing w:val="27"/>
              </w:rPr>
              <w:t>），</w:t>
            </w:r>
            <w:r>
              <w:rPr>
                <w:spacing w:val="9"/>
              </w:rPr>
              <w:t>本次评价提出后续定期开展地下水跟踪监测要求。首先</w:t>
            </w:r>
            <w:r>
              <w:rPr>
                <w:spacing w:val="6"/>
              </w:rPr>
              <w:t>进行定性监测：可通过肉眼观察、使用测油膏、便携式气体监测仪等其</w:t>
            </w:r>
            <w:r>
              <w:rPr>
                <w:spacing w:val="14"/>
              </w:rPr>
              <w:t>他快速方法判定地下水监测井中是否存在油品污染，定性监测每周一</w:t>
            </w:r>
            <w:r>
              <w:rPr>
                <w:spacing w:val="6"/>
              </w:rPr>
              <w:t>次。若定性监测发现地下水存在油品污染，立即启动定量监测；若定性</w:t>
            </w:r>
            <w:r>
              <w:rPr>
                <w:spacing w:val="4"/>
              </w:rPr>
              <w:t>监测未发现问题，则每半年监测</w:t>
            </w:r>
            <w:r>
              <w:rPr>
                <w:spacing w:val="-2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2"/>
              </w:rPr>
              <w:t xml:space="preserve"> </w:t>
            </w:r>
            <w:r>
              <w:rPr>
                <w:spacing w:val="4"/>
              </w:rPr>
              <w:t>次，本项目地下水跟踪监测计划见下</w:t>
            </w:r>
            <w:r>
              <w:rPr>
                <w:spacing w:val="-2"/>
              </w:rPr>
              <w:t>表</w:t>
            </w:r>
            <w:r>
              <w:rPr>
                <w:spacing w:val="-49"/>
              </w:rPr>
              <w:t xml:space="preserve"> </w:t>
            </w:r>
            <w:r>
              <w:rPr>
                <w:rFonts w:ascii="Times New Roman" w:hAnsi="Times New Roman" w:eastAsia="Times New Roman" w:cs="Times New Roman"/>
                <w:spacing w:val="-2"/>
              </w:rPr>
              <w:t>4.2-</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19</w:t>
            </w:r>
            <w:r>
              <w:rPr>
                <w:spacing w:val="-2"/>
              </w:rPr>
              <w:t>。</w:t>
            </w:r>
          </w:p>
          <w:p w14:paraId="281647F2">
            <w:pPr>
              <w:pStyle w:val="6"/>
              <w:spacing w:line="225" w:lineRule="auto"/>
              <w:ind w:left="1502"/>
            </w:pPr>
            <w:r>
              <w:rPr>
                <w:spacing w:val="6"/>
              </w:rPr>
              <w:t>表</w:t>
            </w:r>
            <w:r>
              <w:rPr>
                <w:spacing w:val="-54"/>
              </w:rPr>
              <w:t xml:space="preserve"> </w:t>
            </w:r>
            <w:r>
              <w:rPr>
                <w:rFonts w:ascii="Times New Roman" w:hAnsi="Times New Roman" w:eastAsia="Times New Roman" w:cs="Times New Roman"/>
                <w:spacing w:val="6"/>
              </w:rPr>
              <w:t>4.2-</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 xml:space="preserve">19    </w:t>
            </w:r>
            <w:r>
              <w:rPr>
                <w:spacing w:val="6"/>
              </w:rPr>
              <w:t>本项目地下水跟踪</w:t>
            </w:r>
            <w:r>
              <w:rPr>
                <w:spacing w:val="5"/>
              </w:rPr>
              <w:t>监测计划一览表</w:t>
            </w:r>
          </w:p>
          <w:p w14:paraId="7F209CCB">
            <w:pPr>
              <w:spacing w:line="115" w:lineRule="auto"/>
              <w:rPr>
                <w:rFonts w:ascii="Arial"/>
                <w:sz w:val="2"/>
              </w:rPr>
            </w:pPr>
          </w:p>
          <w:tbl>
            <w:tblPr>
              <w:tblStyle w:val="5"/>
              <w:tblW w:w="7940"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9"/>
              <w:gridCol w:w="1436"/>
              <w:gridCol w:w="2615"/>
              <w:gridCol w:w="965"/>
              <w:gridCol w:w="2145"/>
            </w:tblGrid>
            <w:tr w14:paraId="43E6A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9" w:type="dxa"/>
                  <w:vAlign w:val="top"/>
                </w:tcPr>
                <w:p w14:paraId="2FA93A5C">
                  <w:pPr>
                    <w:pStyle w:val="6"/>
                    <w:spacing w:before="55" w:line="222" w:lineRule="auto"/>
                    <w:ind w:left="176"/>
                    <w:rPr>
                      <w:sz w:val="22"/>
                      <w:szCs w:val="22"/>
                    </w:rPr>
                  </w:pPr>
                  <w:r>
                    <w:rPr>
                      <w:spacing w:val="-4"/>
                      <w:sz w:val="22"/>
                      <w:szCs w:val="22"/>
                    </w:rPr>
                    <w:t>监测</w:t>
                  </w:r>
                </w:p>
                <w:p w14:paraId="3DE6F12F">
                  <w:pPr>
                    <w:pStyle w:val="6"/>
                    <w:spacing w:before="35" w:line="203" w:lineRule="auto"/>
                    <w:ind w:left="174"/>
                    <w:rPr>
                      <w:sz w:val="22"/>
                      <w:szCs w:val="22"/>
                    </w:rPr>
                  </w:pPr>
                  <w:r>
                    <w:rPr>
                      <w:spacing w:val="-3"/>
                      <w:sz w:val="22"/>
                      <w:szCs w:val="22"/>
                    </w:rPr>
                    <w:t>对象</w:t>
                  </w:r>
                </w:p>
              </w:tc>
              <w:tc>
                <w:tcPr>
                  <w:tcW w:w="1436" w:type="dxa"/>
                  <w:vAlign w:val="top"/>
                </w:tcPr>
                <w:p w14:paraId="5004B892">
                  <w:pPr>
                    <w:pStyle w:val="6"/>
                    <w:spacing w:before="206" w:line="222" w:lineRule="auto"/>
                    <w:ind w:left="282"/>
                    <w:rPr>
                      <w:sz w:val="22"/>
                      <w:szCs w:val="22"/>
                    </w:rPr>
                  </w:pPr>
                  <w:r>
                    <w:rPr>
                      <w:spacing w:val="-3"/>
                      <w:sz w:val="22"/>
                      <w:szCs w:val="22"/>
                    </w:rPr>
                    <w:t>监测点位</w:t>
                  </w:r>
                </w:p>
              </w:tc>
              <w:tc>
                <w:tcPr>
                  <w:tcW w:w="2615" w:type="dxa"/>
                  <w:vAlign w:val="top"/>
                </w:tcPr>
                <w:p w14:paraId="28EFFF97">
                  <w:pPr>
                    <w:pStyle w:val="6"/>
                    <w:spacing w:before="206" w:line="221" w:lineRule="auto"/>
                    <w:ind w:left="874"/>
                    <w:rPr>
                      <w:sz w:val="22"/>
                      <w:szCs w:val="22"/>
                    </w:rPr>
                  </w:pPr>
                  <w:r>
                    <w:rPr>
                      <w:spacing w:val="-3"/>
                      <w:sz w:val="22"/>
                      <w:szCs w:val="22"/>
                    </w:rPr>
                    <w:t>监测因子</w:t>
                  </w:r>
                </w:p>
              </w:tc>
              <w:tc>
                <w:tcPr>
                  <w:tcW w:w="965" w:type="dxa"/>
                  <w:vAlign w:val="top"/>
                </w:tcPr>
                <w:p w14:paraId="3B5CE22D">
                  <w:pPr>
                    <w:pStyle w:val="6"/>
                    <w:spacing w:before="55" w:line="227" w:lineRule="auto"/>
                    <w:ind w:left="385" w:right="148" w:hanging="225"/>
                    <w:rPr>
                      <w:sz w:val="22"/>
                      <w:szCs w:val="22"/>
                    </w:rPr>
                  </w:pPr>
                  <w:r>
                    <w:rPr>
                      <w:spacing w:val="-4"/>
                      <w:sz w:val="22"/>
                      <w:szCs w:val="22"/>
                    </w:rPr>
                    <w:t>监测频</w:t>
                  </w:r>
                  <w:r>
                    <w:rPr>
                      <w:sz w:val="22"/>
                      <w:szCs w:val="22"/>
                    </w:rPr>
                    <w:t>次</w:t>
                  </w:r>
                </w:p>
              </w:tc>
              <w:tc>
                <w:tcPr>
                  <w:tcW w:w="2145" w:type="dxa"/>
                  <w:vAlign w:val="top"/>
                </w:tcPr>
                <w:p w14:paraId="775300DB">
                  <w:pPr>
                    <w:pStyle w:val="6"/>
                    <w:spacing w:before="206" w:line="220" w:lineRule="auto"/>
                    <w:ind w:left="639"/>
                    <w:rPr>
                      <w:sz w:val="22"/>
                      <w:szCs w:val="22"/>
                    </w:rPr>
                  </w:pPr>
                  <w:r>
                    <w:rPr>
                      <w:spacing w:val="-2"/>
                      <w:sz w:val="22"/>
                      <w:szCs w:val="22"/>
                    </w:rPr>
                    <w:t>执行标准</w:t>
                  </w:r>
                </w:p>
              </w:tc>
            </w:tr>
            <w:tr w14:paraId="5EEBE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trPr>
              <w:tc>
                <w:tcPr>
                  <w:tcW w:w="779" w:type="dxa"/>
                  <w:vAlign w:val="top"/>
                </w:tcPr>
                <w:p w14:paraId="4B30B09F">
                  <w:pPr>
                    <w:pStyle w:val="6"/>
                    <w:spacing w:before="203" w:line="254" w:lineRule="auto"/>
                    <w:ind w:left="288" w:right="165" w:hanging="113"/>
                    <w:rPr>
                      <w:sz w:val="22"/>
                      <w:szCs w:val="22"/>
                    </w:rPr>
                  </w:pPr>
                  <w:r>
                    <w:rPr>
                      <w:spacing w:val="-4"/>
                      <w:sz w:val="22"/>
                      <w:szCs w:val="22"/>
                    </w:rPr>
                    <w:t>地下</w:t>
                  </w:r>
                  <w:r>
                    <w:rPr>
                      <w:sz w:val="22"/>
                      <w:szCs w:val="22"/>
                    </w:rPr>
                    <w:t>水</w:t>
                  </w:r>
                </w:p>
              </w:tc>
              <w:tc>
                <w:tcPr>
                  <w:tcW w:w="1436" w:type="dxa"/>
                  <w:vAlign w:val="top"/>
                </w:tcPr>
                <w:p w14:paraId="261A3955">
                  <w:pPr>
                    <w:pStyle w:val="6"/>
                    <w:spacing w:before="204" w:line="254" w:lineRule="auto"/>
                    <w:ind w:left="612" w:right="166" w:hanging="441"/>
                    <w:rPr>
                      <w:sz w:val="22"/>
                      <w:szCs w:val="22"/>
                    </w:rPr>
                  </w:pPr>
                  <w:r>
                    <w:rPr>
                      <w:spacing w:val="-2"/>
                      <w:sz w:val="22"/>
                      <w:szCs w:val="22"/>
                    </w:rPr>
                    <w:t>地下水监控</w:t>
                  </w:r>
                  <w:r>
                    <w:rPr>
                      <w:sz w:val="22"/>
                      <w:szCs w:val="22"/>
                    </w:rPr>
                    <w:t>井</w:t>
                  </w:r>
                </w:p>
              </w:tc>
              <w:tc>
                <w:tcPr>
                  <w:tcW w:w="2615" w:type="dxa"/>
                  <w:vAlign w:val="top"/>
                </w:tcPr>
                <w:p w14:paraId="0B24F922">
                  <w:pPr>
                    <w:pStyle w:val="6"/>
                    <w:spacing w:before="53" w:line="220" w:lineRule="auto"/>
                    <w:jc w:val="right"/>
                    <w:rPr>
                      <w:sz w:val="22"/>
                      <w:szCs w:val="22"/>
                    </w:rPr>
                  </w:pPr>
                  <w:r>
                    <w:rPr>
                      <w:spacing w:val="-16"/>
                      <w:sz w:val="22"/>
                      <w:szCs w:val="22"/>
                    </w:rPr>
                    <w:t>石油类、石油烃（</w:t>
                  </w:r>
                  <w:r>
                    <w:rPr>
                      <w:rFonts w:ascii="Times New Roman" w:hAnsi="Times New Roman" w:eastAsia="Times New Roman" w:cs="Times New Roman"/>
                      <w:spacing w:val="-16"/>
                      <w:sz w:val="22"/>
                      <w:szCs w:val="22"/>
                    </w:rPr>
                    <w:t>C</w:t>
                  </w:r>
                  <w:r>
                    <w:rPr>
                      <w:rFonts w:ascii="Times New Roman" w:hAnsi="Times New Roman" w:eastAsia="Times New Roman" w:cs="Times New Roman"/>
                      <w:position w:val="-1"/>
                      <w:sz w:val="14"/>
                      <w:szCs w:val="14"/>
                    </w:rPr>
                    <w:t>6</w:t>
                  </w:r>
                  <w:r>
                    <w:rPr>
                      <w:rFonts w:ascii="Times New Roman" w:hAnsi="Times New Roman" w:eastAsia="Times New Roman" w:cs="Times New Roman"/>
                      <w:sz w:val="22"/>
                      <w:szCs w:val="22"/>
                    </w:rPr>
                    <w:t>~C</w:t>
                  </w:r>
                  <w:r>
                    <w:rPr>
                      <w:rFonts w:ascii="Times New Roman" w:hAnsi="Times New Roman" w:eastAsia="Times New Roman" w:cs="Times New Roman"/>
                      <w:sz w:val="14"/>
                      <w:szCs w:val="14"/>
                    </w:rPr>
                    <w:t>9</w:t>
                  </w:r>
                  <w:r>
                    <w:rPr>
                      <w:spacing w:val="-51"/>
                      <w:w w:val="91"/>
                      <w:sz w:val="22"/>
                      <w:szCs w:val="22"/>
                    </w:rPr>
                    <w:t>）、</w:t>
                  </w:r>
                </w:p>
                <w:p w14:paraId="3ADBFEAE">
                  <w:pPr>
                    <w:pStyle w:val="6"/>
                    <w:spacing w:before="37" w:line="221" w:lineRule="auto"/>
                    <w:ind w:left="113"/>
                    <w:rPr>
                      <w:sz w:val="22"/>
                      <w:szCs w:val="22"/>
                    </w:rPr>
                  </w:pPr>
                  <w:r>
                    <w:rPr>
                      <w:spacing w:val="-4"/>
                      <w:sz w:val="22"/>
                      <w:szCs w:val="22"/>
                    </w:rPr>
                    <w:t>石油烃（</w:t>
                  </w:r>
                  <w:r>
                    <w:rPr>
                      <w:rFonts w:ascii="Times New Roman" w:hAnsi="Times New Roman" w:eastAsia="Times New Roman" w:cs="Times New Roman"/>
                      <w:spacing w:val="-4"/>
                      <w:sz w:val="22"/>
                      <w:szCs w:val="22"/>
                    </w:rPr>
                    <w:t>C</w:t>
                  </w:r>
                  <w:r>
                    <w:rPr>
                      <w:rFonts w:ascii="Times New Roman" w:hAnsi="Times New Roman" w:eastAsia="Times New Roman" w:cs="Times New Roman"/>
                      <w:spacing w:val="-4"/>
                      <w:position w:val="-1"/>
                      <w:sz w:val="14"/>
                      <w:szCs w:val="14"/>
                    </w:rPr>
                    <w:t>10</w:t>
                  </w:r>
                  <w:r>
                    <w:rPr>
                      <w:rFonts w:ascii="Times New Roman" w:hAnsi="Times New Roman" w:eastAsia="Times New Roman" w:cs="Times New Roman"/>
                      <w:spacing w:val="-4"/>
                      <w:sz w:val="22"/>
                      <w:szCs w:val="22"/>
                    </w:rPr>
                    <w:t>~C</w:t>
                  </w:r>
                  <w:r>
                    <w:rPr>
                      <w:rFonts w:ascii="Times New Roman" w:hAnsi="Times New Roman" w:eastAsia="Times New Roman" w:cs="Times New Roman"/>
                      <w:spacing w:val="-4"/>
                      <w:sz w:val="14"/>
                      <w:szCs w:val="14"/>
                    </w:rPr>
                    <w:t>40</w:t>
                  </w:r>
                  <w:r>
                    <w:rPr>
                      <w:spacing w:val="-4"/>
                      <w:sz w:val="22"/>
                      <w:szCs w:val="22"/>
                    </w:rPr>
                    <w:t>）、甲基</w:t>
                  </w:r>
                </w:p>
                <w:p w14:paraId="071B32D9">
                  <w:pPr>
                    <w:pStyle w:val="6"/>
                    <w:spacing w:before="36" w:line="205" w:lineRule="auto"/>
                    <w:ind w:left="875"/>
                    <w:rPr>
                      <w:sz w:val="22"/>
                      <w:szCs w:val="22"/>
                    </w:rPr>
                  </w:pPr>
                  <w:r>
                    <w:rPr>
                      <w:spacing w:val="-3"/>
                      <w:sz w:val="22"/>
                      <w:szCs w:val="22"/>
                    </w:rPr>
                    <w:t>叔丁基醚</w:t>
                  </w:r>
                </w:p>
              </w:tc>
              <w:tc>
                <w:tcPr>
                  <w:tcW w:w="965" w:type="dxa"/>
                  <w:vAlign w:val="top"/>
                </w:tcPr>
                <w:p w14:paraId="7B3D2BDC">
                  <w:pPr>
                    <w:pStyle w:val="6"/>
                    <w:spacing w:before="203" w:line="254" w:lineRule="auto"/>
                    <w:ind w:left="380" w:right="172" w:hanging="180"/>
                    <w:rPr>
                      <w:sz w:val="22"/>
                      <w:szCs w:val="22"/>
                    </w:rPr>
                  </w:pPr>
                  <w:r>
                    <w:rPr>
                      <w:rFonts w:ascii="Times New Roman" w:hAnsi="Times New Roman" w:eastAsia="Times New Roman" w:cs="Times New Roman"/>
                      <w:spacing w:val="-7"/>
                      <w:sz w:val="22"/>
                      <w:szCs w:val="22"/>
                    </w:rPr>
                    <w:t>1</w:t>
                  </w:r>
                  <w:r>
                    <w:rPr>
                      <w:spacing w:val="-7"/>
                      <w:sz w:val="22"/>
                      <w:szCs w:val="22"/>
                    </w:rPr>
                    <w:t>次</w:t>
                  </w:r>
                  <w:r>
                    <w:rPr>
                      <w:rFonts w:ascii="Times New Roman" w:hAnsi="Times New Roman" w:eastAsia="Times New Roman" w:cs="Times New Roman"/>
                      <w:spacing w:val="-7"/>
                      <w:sz w:val="22"/>
                      <w:szCs w:val="22"/>
                    </w:rPr>
                    <w:t>/</w:t>
                  </w:r>
                  <w:r>
                    <w:rPr>
                      <w:spacing w:val="-7"/>
                      <w:sz w:val="22"/>
                      <w:szCs w:val="22"/>
                    </w:rPr>
                    <w:t>半</w:t>
                  </w:r>
                  <w:r>
                    <w:rPr>
                      <w:sz w:val="22"/>
                      <w:szCs w:val="22"/>
                    </w:rPr>
                    <w:t>年</w:t>
                  </w:r>
                </w:p>
              </w:tc>
              <w:tc>
                <w:tcPr>
                  <w:tcW w:w="2145" w:type="dxa"/>
                  <w:vAlign w:val="top"/>
                </w:tcPr>
                <w:p w14:paraId="0655EE08">
                  <w:pPr>
                    <w:pStyle w:val="6"/>
                    <w:spacing w:before="53" w:line="236" w:lineRule="auto"/>
                    <w:ind w:left="122" w:right="43" w:hanging="5"/>
                    <w:jc w:val="both"/>
                    <w:rPr>
                      <w:sz w:val="22"/>
                      <w:szCs w:val="22"/>
                    </w:rPr>
                  </w:pPr>
                  <w:r>
                    <w:rPr>
                      <w:spacing w:val="-3"/>
                      <w:sz w:val="22"/>
                      <w:szCs w:val="22"/>
                    </w:rPr>
                    <w:t>《地下水质量标准》</w:t>
                  </w:r>
                  <w:r>
                    <w:rPr>
                      <w:spacing w:val="7"/>
                      <w:sz w:val="22"/>
                      <w:szCs w:val="22"/>
                    </w:rPr>
                    <w:t xml:space="preserve"> </w:t>
                  </w:r>
                  <w:r>
                    <w:rPr>
                      <w:spacing w:val="-2"/>
                      <w:sz w:val="22"/>
                      <w:szCs w:val="22"/>
                    </w:rPr>
                    <w:t>（</w:t>
                  </w:r>
                  <w:r>
                    <w:rPr>
                      <w:rFonts w:ascii="Times New Roman" w:hAnsi="Times New Roman" w:eastAsia="Times New Roman" w:cs="Times New Roman"/>
                      <w:spacing w:val="-2"/>
                      <w:sz w:val="22"/>
                      <w:szCs w:val="22"/>
                    </w:rPr>
                    <w:t>GB/T14848-2017</w:t>
                  </w:r>
                  <w:r>
                    <w:rPr>
                      <w:spacing w:val="-2"/>
                      <w:sz w:val="22"/>
                      <w:szCs w:val="22"/>
                    </w:rPr>
                    <w:t>）</w:t>
                  </w:r>
                  <w:r>
                    <w:rPr>
                      <w:sz w:val="22"/>
                      <w:szCs w:val="22"/>
                    </w:rPr>
                    <w:t xml:space="preserve"> </w:t>
                  </w:r>
                  <w:r>
                    <w:rPr>
                      <w:rFonts w:ascii="Times New Roman" w:hAnsi="Times New Roman" w:eastAsia="Times New Roman" w:cs="Times New Roman"/>
                      <w:sz w:val="22"/>
                      <w:szCs w:val="22"/>
                    </w:rPr>
                    <w:t>III</w:t>
                  </w:r>
                  <w:r>
                    <w:rPr>
                      <w:spacing w:val="9"/>
                      <w:sz w:val="22"/>
                      <w:szCs w:val="22"/>
                    </w:rPr>
                    <w:t>类水质标准要求</w:t>
                  </w:r>
                </w:p>
              </w:tc>
            </w:tr>
          </w:tbl>
          <w:p w14:paraId="713E52C6">
            <w:pPr>
              <w:spacing w:line="260" w:lineRule="auto"/>
              <w:rPr>
                <w:rFonts w:ascii="Arial"/>
                <w:sz w:val="21"/>
              </w:rPr>
            </w:pPr>
          </w:p>
          <w:p w14:paraId="6DE62054">
            <w:pPr>
              <w:spacing w:line="260" w:lineRule="auto"/>
              <w:rPr>
                <w:rFonts w:ascii="Arial"/>
                <w:sz w:val="21"/>
              </w:rPr>
            </w:pPr>
          </w:p>
          <w:p w14:paraId="1CA1702D">
            <w:pPr>
              <w:pStyle w:val="6"/>
              <w:spacing w:before="81" w:line="340" w:lineRule="auto"/>
              <w:ind w:left="108" w:right="103" w:firstLine="523"/>
              <w:jc w:val="both"/>
            </w:pPr>
            <w:r>
              <w:rPr>
                <w:spacing w:val="5"/>
              </w:rPr>
              <w:t>综上，本项目对可能产生地下水及土壤影响的各项途径均进行有效</w:t>
            </w:r>
            <w:r>
              <w:rPr>
                <w:spacing w:val="6"/>
              </w:rPr>
              <w:t>预防，在确保各项防渗措施得到落实，并加强维护和厂区环境管理</w:t>
            </w:r>
            <w:r>
              <w:rPr>
                <w:spacing w:val="5"/>
              </w:rPr>
              <w:t>的前</w:t>
            </w:r>
            <w:r>
              <w:rPr>
                <w:spacing w:val="6"/>
              </w:rPr>
              <w:t>提下，可有效控制厂区内的液态污染物下渗现象，避免污染地下水及土</w:t>
            </w:r>
            <w:r>
              <w:rPr>
                <w:spacing w:val="9"/>
              </w:rPr>
              <w:t>壤，因此项目改扩建后不会对地下水及土壤环境产生明显影响。</w:t>
            </w:r>
          </w:p>
          <w:p w14:paraId="6E562EA0">
            <w:pPr>
              <w:pStyle w:val="6"/>
              <w:spacing w:before="1" w:line="224" w:lineRule="auto"/>
              <w:ind w:left="105"/>
            </w:pPr>
            <w:r>
              <w:rPr>
                <w:rFonts w:ascii="Times New Roman" w:hAnsi="Times New Roman" w:eastAsia="Times New Roman" w:cs="Times New Roman"/>
                <w:b/>
                <w:bCs/>
                <w:spacing w:val="5"/>
              </w:rPr>
              <w:t xml:space="preserve">4.2.6 </w:t>
            </w:r>
            <w:r>
              <w:rPr>
                <w:b/>
                <w:bCs/>
                <w:spacing w:val="5"/>
              </w:rPr>
              <w:t>环境风险评价</w:t>
            </w:r>
          </w:p>
          <w:p w14:paraId="6225D8B3">
            <w:pPr>
              <w:pStyle w:val="6"/>
              <w:spacing w:before="154" w:line="227" w:lineRule="auto"/>
              <w:ind w:left="623"/>
            </w:pPr>
            <w:r>
              <w:rPr>
                <w:rFonts w:ascii="Times New Roman" w:hAnsi="Times New Roman" w:eastAsia="Times New Roman" w:cs="Times New Roman"/>
                <w:spacing w:val="5"/>
              </w:rPr>
              <w:t xml:space="preserve">4.2.6.1 </w:t>
            </w:r>
            <w:r>
              <w:rPr>
                <w:spacing w:val="5"/>
              </w:rPr>
              <w:t>风险源调查</w:t>
            </w:r>
          </w:p>
          <w:p w14:paraId="63B4BB42">
            <w:pPr>
              <w:pStyle w:val="6"/>
              <w:spacing w:before="153" w:line="227" w:lineRule="auto"/>
              <w:ind w:left="640"/>
            </w:pPr>
            <w:r>
              <w:rPr>
                <w:spacing w:val="7"/>
              </w:rPr>
              <w:t>（</w:t>
            </w:r>
            <w:r>
              <w:rPr>
                <w:rFonts w:ascii="Times New Roman" w:hAnsi="Times New Roman" w:eastAsia="Times New Roman" w:cs="Times New Roman"/>
                <w:spacing w:val="7"/>
              </w:rPr>
              <w:t>1</w:t>
            </w:r>
            <w:r>
              <w:rPr>
                <w:spacing w:val="7"/>
              </w:rPr>
              <w:t>）环境风险源调查</w:t>
            </w:r>
          </w:p>
          <w:p w14:paraId="114012EA">
            <w:pPr>
              <w:pStyle w:val="6"/>
              <w:spacing w:before="153" w:line="225" w:lineRule="auto"/>
              <w:ind w:right="35"/>
              <w:jc w:val="right"/>
            </w:pPr>
            <w:r>
              <w:rPr>
                <w:spacing w:val="8"/>
              </w:rPr>
              <w:t>根据《建设项目环境风险评价技术导则》（</w:t>
            </w:r>
            <w:r>
              <w:rPr>
                <w:rFonts w:ascii="Times New Roman" w:hAnsi="Times New Roman" w:eastAsia="Times New Roman" w:cs="Times New Roman"/>
              </w:rPr>
              <w:t>HJ</w:t>
            </w:r>
            <w:r>
              <w:rPr>
                <w:rFonts w:ascii="Times New Roman" w:hAnsi="Times New Roman" w:eastAsia="Times New Roman" w:cs="Times New Roman"/>
                <w:spacing w:val="8"/>
              </w:rPr>
              <w:t>169-2018</w:t>
            </w:r>
            <w:r>
              <w:rPr>
                <w:spacing w:val="8"/>
              </w:rPr>
              <w:t>）附录</w:t>
            </w:r>
            <w:r>
              <w:rPr>
                <w:spacing w:val="-53"/>
              </w:rPr>
              <w:t xml:space="preserve"> </w:t>
            </w:r>
            <w:r>
              <w:rPr>
                <w:rFonts w:ascii="Times New Roman" w:hAnsi="Times New Roman" w:eastAsia="Times New Roman" w:cs="Times New Roman"/>
                <w:spacing w:val="8"/>
              </w:rPr>
              <w:t>B</w:t>
            </w:r>
            <w:r>
              <w:rPr>
                <w:spacing w:val="8"/>
              </w:rPr>
              <w:t>、</w:t>
            </w:r>
          </w:p>
        </w:tc>
      </w:tr>
    </w:tbl>
    <w:p w14:paraId="57BC736B">
      <w:pPr>
        <w:pStyle w:val="2"/>
        <w:rPr>
          <w:sz w:val="21"/>
        </w:rPr>
      </w:pPr>
    </w:p>
    <w:p w14:paraId="6D2C2BA1">
      <w:pPr>
        <w:rPr>
          <w:sz w:val="21"/>
          <w:szCs w:val="21"/>
        </w:rPr>
        <w:sectPr>
          <w:footerReference r:id="rId97" w:type="default"/>
          <w:pgSz w:w="11907" w:h="16840"/>
          <w:pgMar w:top="400" w:right="1490" w:bottom="1008" w:left="1489" w:header="0" w:footer="770" w:gutter="0"/>
          <w:cols w:space="720" w:num="1"/>
        </w:sectPr>
      </w:pPr>
    </w:p>
    <w:p w14:paraId="1BDF31B7">
      <w:pPr>
        <w:spacing w:before="19"/>
      </w:pPr>
    </w:p>
    <w:p w14:paraId="0592B69D">
      <w:pPr>
        <w:spacing w:before="19"/>
      </w:pPr>
    </w:p>
    <w:p w14:paraId="250D355C">
      <w:pPr>
        <w:spacing w:before="19"/>
      </w:pPr>
    </w:p>
    <w:p w14:paraId="707A8503">
      <w:pPr>
        <w:spacing w:before="18"/>
      </w:pPr>
    </w:p>
    <w:p w14:paraId="5BC6D752">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4CEDC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78" w:hRule="atLeast"/>
        </w:trPr>
        <w:tc>
          <w:tcPr>
            <w:tcW w:w="754" w:type="dxa"/>
            <w:tcBorders>
              <w:right w:val="single" w:color="000000" w:sz="2" w:space="0"/>
            </w:tcBorders>
            <w:vAlign w:val="top"/>
          </w:tcPr>
          <w:p w14:paraId="61871CCB">
            <w:pPr>
              <w:rPr>
                <w:rFonts w:ascii="Arial"/>
                <w:sz w:val="21"/>
              </w:rPr>
            </w:pPr>
          </w:p>
        </w:tc>
        <w:tc>
          <w:tcPr>
            <w:tcW w:w="8158" w:type="dxa"/>
            <w:tcBorders>
              <w:left w:val="single" w:color="000000" w:sz="2" w:space="0"/>
            </w:tcBorders>
            <w:vAlign w:val="top"/>
          </w:tcPr>
          <w:p w14:paraId="62C42D5E">
            <w:pPr>
              <w:pStyle w:val="6"/>
              <w:spacing w:before="149" w:line="340" w:lineRule="auto"/>
              <w:ind w:left="108" w:right="52" w:firstLine="5"/>
              <w:jc w:val="both"/>
            </w:pPr>
            <w:r>
              <w:rPr>
                <w:spacing w:val="17"/>
              </w:rPr>
              <w:t>《危险化学品目录》</w:t>
            </w:r>
            <w:r>
              <w:rPr>
                <w:spacing w:val="-81"/>
              </w:rPr>
              <w:t xml:space="preserve"> </w:t>
            </w:r>
            <w:r>
              <w:rPr>
                <w:spacing w:val="17"/>
              </w:rPr>
              <w:t>（</w:t>
            </w:r>
            <w:r>
              <w:rPr>
                <w:rFonts w:ascii="Times New Roman" w:hAnsi="Times New Roman" w:eastAsia="Times New Roman" w:cs="Times New Roman"/>
                <w:spacing w:val="17"/>
              </w:rPr>
              <w:t>2018</w:t>
            </w:r>
            <w:r>
              <w:rPr>
                <w:rFonts w:ascii="Times New Roman" w:hAnsi="Times New Roman" w:eastAsia="Times New Roman" w:cs="Times New Roman"/>
                <w:spacing w:val="28"/>
                <w:w w:val="101"/>
              </w:rPr>
              <w:t xml:space="preserve"> </w:t>
            </w:r>
            <w:r>
              <w:rPr>
                <w:spacing w:val="17"/>
              </w:rPr>
              <w:t>版）和《危险化学品重大危险源辨识》</w:t>
            </w:r>
            <w:r>
              <w:t xml:space="preserve"> </w:t>
            </w:r>
            <w:r>
              <w:rPr>
                <w:spacing w:val="12"/>
              </w:rPr>
              <w:t>（</w:t>
            </w:r>
            <w:r>
              <w:rPr>
                <w:rFonts w:ascii="Times New Roman" w:hAnsi="Times New Roman" w:eastAsia="Times New Roman" w:cs="Times New Roman"/>
              </w:rPr>
              <w:t>GB</w:t>
            </w:r>
            <w:r>
              <w:rPr>
                <w:rFonts w:ascii="Times New Roman" w:hAnsi="Times New Roman" w:eastAsia="Times New Roman" w:cs="Times New Roman"/>
                <w:spacing w:val="12"/>
              </w:rPr>
              <w:t>18218-2018</w:t>
            </w:r>
            <w:r>
              <w:rPr>
                <w:spacing w:val="12"/>
              </w:rPr>
              <w:t>）有关规定，站内涉及的</w:t>
            </w:r>
            <w:r>
              <w:rPr>
                <w:spacing w:val="11"/>
              </w:rPr>
              <w:t>环境风险的物质包括汽油、</w:t>
            </w:r>
            <w:r>
              <w:rPr>
                <w:spacing w:val="7"/>
              </w:rPr>
              <w:t>柴油及危险废物，其中汽油存放在汽油罐，柴油存放在柴油发电机房，</w:t>
            </w:r>
            <w:r>
              <w:rPr>
                <w:spacing w:val="8"/>
              </w:rPr>
              <w:t>危险废物存放在危险废物贮存点。</w:t>
            </w:r>
          </w:p>
          <w:p w14:paraId="12B057A2">
            <w:pPr>
              <w:pStyle w:val="6"/>
              <w:spacing w:line="226" w:lineRule="auto"/>
              <w:ind w:left="2282"/>
            </w:pPr>
            <w:r>
              <w:rPr>
                <w:spacing w:val="6"/>
              </w:rPr>
              <w:t>表</w:t>
            </w:r>
            <w:r>
              <w:rPr>
                <w:spacing w:val="-54"/>
              </w:rPr>
              <w:t xml:space="preserve"> </w:t>
            </w:r>
            <w:r>
              <w:rPr>
                <w:rFonts w:ascii="Times New Roman" w:hAnsi="Times New Roman" w:eastAsia="Times New Roman" w:cs="Times New Roman"/>
                <w:spacing w:val="6"/>
              </w:rPr>
              <w:t xml:space="preserve">4.2-20    </w:t>
            </w:r>
            <w:r>
              <w:rPr>
                <w:spacing w:val="6"/>
              </w:rPr>
              <w:t>危险物质统计一览表</w:t>
            </w:r>
          </w:p>
          <w:p w14:paraId="01A6A798">
            <w:pPr>
              <w:spacing w:line="69" w:lineRule="auto"/>
              <w:rPr>
                <w:rFonts w:ascii="Arial"/>
                <w:sz w:val="2"/>
              </w:rPr>
            </w:pPr>
          </w:p>
          <w:tbl>
            <w:tblPr>
              <w:tblStyle w:val="5"/>
              <w:tblW w:w="7940"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1146"/>
              <w:gridCol w:w="1779"/>
              <w:gridCol w:w="1684"/>
              <w:gridCol w:w="1457"/>
              <w:gridCol w:w="1221"/>
            </w:tblGrid>
            <w:tr w14:paraId="67E3E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653" w:type="dxa"/>
                  <w:vAlign w:val="top"/>
                </w:tcPr>
                <w:p w14:paraId="22677AD1">
                  <w:pPr>
                    <w:pStyle w:val="6"/>
                    <w:spacing w:before="90" w:line="222" w:lineRule="auto"/>
                    <w:ind w:left="111"/>
                    <w:rPr>
                      <w:sz w:val="22"/>
                      <w:szCs w:val="22"/>
                    </w:rPr>
                  </w:pPr>
                  <w:r>
                    <w:rPr>
                      <w:spacing w:val="-3"/>
                      <w:sz w:val="22"/>
                      <w:szCs w:val="22"/>
                    </w:rPr>
                    <w:t>序号</w:t>
                  </w:r>
                </w:p>
              </w:tc>
              <w:tc>
                <w:tcPr>
                  <w:tcW w:w="1146" w:type="dxa"/>
                  <w:vAlign w:val="top"/>
                </w:tcPr>
                <w:p w14:paraId="630FA0B8">
                  <w:pPr>
                    <w:pStyle w:val="6"/>
                    <w:spacing w:before="91" w:line="222" w:lineRule="auto"/>
                    <w:ind w:left="360"/>
                    <w:rPr>
                      <w:sz w:val="22"/>
                      <w:szCs w:val="22"/>
                    </w:rPr>
                  </w:pPr>
                  <w:r>
                    <w:rPr>
                      <w:spacing w:val="-5"/>
                      <w:sz w:val="22"/>
                      <w:szCs w:val="22"/>
                    </w:rPr>
                    <w:t>名称</w:t>
                  </w:r>
                </w:p>
              </w:tc>
              <w:tc>
                <w:tcPr>
                  <w:tcW w:w="1779" w:type="dxa"/>
                  <w:vAlign w:val="top"/>
                </w:tcPr>
                <w:p w14:paraId="6BDF164F">
                  <w:pPr>
                    <w:pStyle w:val="6"/>
                    <w:spacing w:before="90" w:line="220" w:lineRule="auto"/>
                    <w:ind w:left="453"/>
                    <w:rPr>
                      <w:sz w:val="22"/>
                      <w:szCs w:val="22"/>
                    </w:rPr>
                  </w:pPr>
                  <w:r>
                    <w:rPr>
                      <w:spacing w:val="-2"/>
                      <w:sz w:val="22"/>
                      <w:szCs w:val="22"/>
                    </w:rPr>
                    <w:t>储存位置</w:t>
                  </w:r>
                </w:p>
              </w:tc>
              <w:tc>
                <w:tcPr>
                  <w:tcW w:w="1684" w:type="dxa"/>
                  <w:vAlign w:val="top"/>
                </w:tcPr>
                <w:p w14:paraId="0C4A750E">
                  <w:pPr>
                    <w:pStyle w:val="6"/>
                    <w:spacing w:before="90" w:line="220" w:lineRule="auto"/>
                    <w:ind w:left="407"/>
                    <w:rPr>
                      <w:sz w:val="22"/>
                      <w:szCs w:val="22"/>
                    </w:rPr>
                  </w:pPr>
                  <w:r>
                    <w:rPr>
                      <w:spacing w:val="-2"/>
                      <w:sz w:val="22"/>
                      <w:szCs w:val="22"/>
                    </w:rPr>
                    <w:t>储存方式</w:t>
                  </w:r>
                </w:p>
              </w:tc>
              <w:tc>
                <w:tcPr>
                  <w:tcW w:w="1457" w:type="dxa"/>
                  <w:vAlign w:val="top"/>
                </w:tcPr>
                <w:p w14:paraId="45F9AF09">
                  <w:pPr>
                    <w:pStyle w:val="6"/>
                    <w:spacing w:before="90" w:line="220" w:lineRule="auto"/>
                    <w:jc w:val="right"/>
                    <w:rPr>
                      <w:sz w:val="22"/>
                      <w:szCs w:val="22"/>
                    </w:rPr>
                  </w:pPr>
                  <w:r>
                    <w:rPr>
                      <w:spacing w:val="-21"/>
                      <w:sz w:val="22"/>
                      <w:szCs w:val="22"/>
                    </w:rPr>
                    <w:t>最大储存量（</w:t>
                  </w:r>
                  <w:r>
                    <w:rPr>
                      <w:rFonts w:ascii="Times New Roman" w:hAnsi="Times New Roman" w:eastAsia="Times New Roman" w:cs="Times New Roman"/>
                      <w:spacing w:val="-21"/>
                      <w:sz w:val="22"/>
                      <w:szCs w:val="22"/>
                    </w:rPr>
                    <w:t>t</w:t>
                  </w:r>
                  <w:r>
                    <w:rPr>
                      <w:spacing w:val="-21"/>
                      <w:sz w:val="22"/>
                      <w:szCs w:val="22"/>
                    </w:rPr>
                    <w:t>）</w:t>
                  </w:r>
                </w:p>
              </w:tc>
              <w:tc>
                <w:tcPr>
                  <w:tcW w:w="1221" w:type="dxa"/>
                  <w:vAlign w:val="top"/>
                </w:tcPr>
                <w:p w14:paraId="73C01DD4">
                  <w:pPr>
                    <w:pStyle w:val="6"/>
                    <w:spacing w:before="90" w:line="220" w:lineRule="auto"/>
                    <w:ind w:left="175"/>
                    <w:rPr>
                      <w:sz w:val="22"/>
                      <w:szCs w:val="22"/>
                    </w:rPr>
                  </w:pPr>
                  <w:r>
                    <w:rPr>
                      <w:spacing w:val="-2"/>
                      <w:sz w:val="22"/>
                      <w:szCs w:val="22"/>
                    </w:rPr>
                    <w:t>储存形态</w:t>
                  </w:r>
                </w:p>
              </w:tc>
            </w:tr>
            <w:tr w14:paraId="5F62B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653" w:type="dxa"/>
                  <w:vAlign w:val="top"/>
                </w:tcPr>
                <w:p w14:paraId="7C972ED8">
                  <w:pPr>
                    <w:spacing w:before="123" w:line="189" w:lineRule="auto"/>
                    <w:ind w:left="29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146" w:type="dxa"/>
                  <w:vAlign w:val="top"/>
                </w:tcPr>
                <w:p w14:paraId="5B49104F">
                  <w:pPr>
                    <w:pStyle w:val="6"/>
                    <w:spacing w:before="87" w:line="224" w:lineRule="auto"/>
                    <w:ind w:left="357"/>
                    <w:rPr>
                      <w:sz w:val="22"/>
                      <w:szCs w:val="22"/>
                    </w:rPr>
                  </w:pPr>
                  <w:r>
                    <w:rPr>
                      <w:spacing w:val="-4"/>
                      <w:sz w:val="22"/>
                      <w:szCs w:val="22"/>
                    </w:rPr>
                    <w:t>汽油</w:t>
                  </w:r>
                </w:p>
              </w:tc>
              <w:tc>
                <w:tcPr>
                  <w:tcW w:w="1779" w:type="dxa"/>
                  <w:vAlign w:val="top"/>
                </w:tcPr>
                <w:p w14:paraId="272E85FD">
                  <w:pPr>
                    <w:pStyle w:val="6"/>
                    <w:spacing w:before="88" w:line="220" w:lineRule="auto"/>
                    <w:ind w:left="568"/>
                    <w:rPr>
                      <w:sz w:val="22"/>
                      <w:szCs w:val="22"/>
                    </w:rPr>
                  </w:pPr>
                  <w:r>
                    <w:rPr>
                      <w:spacing w:val="-4"/>
                      <w:sz w:val="22"/>
                      <w:szCs w:val="22"/>
                    </w:rPr>
                    <w:t>油罐区</w:t>
                  </w:r>
                </w:p>
              </w:tc>
              <w:tc>
                <w:tcPr>
                  <w:tcW w:w="1684" w:type="dxa"/>
                  <w:vAlign w:val="top"/>
                </w:tcPr>
                <w:p w14:paraId="4B386DD8">
                  <w:pPr>
                    <w:pStyle w:val="6"/>
                    <w:spacing w:before="88" w:line="220" w:lineRule="auto"/>
                    <w:jc w:val="right"/>
                    <w:rPr>
                      <w:sz w:val="22"/>
                      <w:szCs w:val="22"/>
                    </w:rPr>
                  </w:pPr>
                  <w:r>
                    <w:rPr>
                      <w:spacing w:val="-20"/>
                      <w:sz w:val="22"/>
                      <w:szCs w:val="22"/>
                    </w:rPr>
                    <w:t>罐装（</w:t>
                  </w:r>
                  <w:r>
                    <w:rPr>
                      <w:rFonts w:ascii="Times New Roman" w:hAnsi="Times New Roman" w:eastAsia="Times New Roman" w:cs="Times New Roman"/>
                      <w:spacing w:val="-20"/>
                      <w:sz w:val="22"/>
                      <w:szCs w:val="22"/>
                    </w:rPr>
                    <w:t>30m</w:t>
                  </w:r>
                  <w:r>
                    <w:rPr>
                      <w:rFonts w:ascii="Times New Roman" w:hAnsi="Times New Roman" w:eastAsia="Times New Roman" w:cs="Times New Roman"/>
                      <w:spacing w:val="-3"/>
                      <w:position w:val="7"/>
                      <w:sz w:val="14"/>
                      <w:szCs w:val="14"/>
                    </w:rPr>
                    <w:t>3</w:t>
                  </w:r>
                  <w:r>
                    <w:rPr>
                      <w:spacing w:val="-27"/>
                      <w:sz w:val="22"/>
                      <w:szCs w:val="22"/>
                    </w:rPr>
                    <w:t>，</w:t>
                  </w:r>
                  <w:r>
                    <w:rPr>
                      <w:rFonts w:ascii="Times New Roman" w:hAnsi="Times New Roman" w:eastAsia="Times New Roman" w:cs="Times New Roman"/>
                      <w:spacing w:val="-27"/>
                      <w:sz w:val="22"/>
                      <w:szCs w:val="22"/>
                    </w:rPr>
                    <w:t>3</w:t>
                  </w:r>
                  <w:r>
                    <w:rPr>
                      <w:spacing w:val="-27"/>
                      <w:sz w:val="22"/>
                      <w:szCs w:val="22"/>
                    </w:rPr>
                    <w:t>个）</w:t>
                  </w:r>
                </w:p>
              </w:tc>
              <w:tc>
                <w:tcPr>
                  <w:tcW w:w="1457" w:type="dxa"/>
                  <w:vAlign w:val="top"/>
                </w:tcPr>
                <w:p w14:paraId="22C14E35">
                  <w:pPr>
                    <w:spacing w:before="123" w:line="189" w:lineRule="auto"/>
                    <w:ind w:left="54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64.8</w:t>
                  </w:r>
                </w:p>
              </w:tc>
              <w:tc>
                <w:tcPr>
                  <w:tcW w:w="1221" w:type="dxa"/>
                  <w:vAlign w:val="top"/>
                </w:tcPr>
                <w:p w14:paraId="73696C25">
                  <w:pPr>
                    <w:pStyle w:val="6"/>
                    <w:spacing w:before="87" w:line="221" w:lineRule="auto"/>
                    <w:ind w:left="398"/>
                    <w:rPr>
                      <w:sz w:val="22"/>
                      <w:szCs w:val="22"/>
                    </w:rPr>
                  </w:pPr>
                  <w:r>
                    <w:rPr>
                      <w:spacing w:val="-5"/>
                      <w:sz w:val="22"/>
                      <w:szCs w:val="22"/>
                    </w:rPr>
                    <w:t>液态</w:t>
                  </w:r>
                </w:p>
              </w:tc>
            </w:tr>
            <w:tr w14:paraId="1D608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653" w:type="dxa"/>
                  <w:vAlign w:val="top"/>
                </w:tcPr>
                <w:p w14:paraId="6E44349D">
                  <w:pPr>
                    <w:spacing w:before="124" w:line="189" w:lineRule="auto"/>
                    <w:ind w:left="274"/>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146" w:type="dxa"/>
                  <w:vAlign w:val="top"/>
                </w:tcPr>
                <w:p w14:paraId="4E3901D9">
                  <w:pPr>
                    <w:pStyle w:val="6"/>
                    <w:spacing w:before="89" w:line="221" w:lineRule="auto"/>
                    <w:ind w:left="357"/>
                    <w:rPr>
                      <w:sz w:val="22"/>
                      <w:szCs w:val="22"/>
                    </w:rPr>
                  </w:pPr>
                  <w:r>
                    <w:rPr>
                      <w:spacing w:val="-4"/>
                      <w:sz w:val="22"/>
                      <w:szCs w:val="22"/>
                    </w:rPr>
                    <w:t>柴油</w:t>
                  </w:r>
                </w:p>
              </w:tc>
              <w:tc>
                <w:tcPr>
                  <w:tcW w:w="1779" w:type="dxa"/>
                  <w:vAlign w:val="top"/>
                </w:tcPr>
                <w:p w14:paraId="0CE565CD">
                  <w:pPr>
                    <w:pStyle w:val="6"/>
                    <w:spacing w:before="89" w:line="219" w:lineRule="auto"/>
                    <w:ind w:left="236"/>
                    <w:rPr>
                      <w:sz w:val="22"/>
                      <w:szCs w:val="22"/>
                    </w:rPr>
                  </w:pPr>
                  <w:r>
                    <w:rPr>
                      <w:spacing w:val="-2"/>
                      <w:sz w:val="22"/>
                      <w:szCs w:val="22"/>
                    </w:rPr>
                    <w:t>柴油发电机房</w:t>
                  </w:r>
                </w:p>
              </w:tc>
              <w:tc>
                <w:tcPr>
                  <w:tcW w:w="1684" w:type="dxa"/>
                  <w:vAlign w:val="top"/>
                </w:tcPr>
                <w:p w14:paraId="6B69B5D1">
                  <w:pPr>
                    <w:pStyle w:val="6"/>
                    <w:spacing w:before="89" w:line="220" w:lineRule="auto"/>
                    <w:jc w:val="right"/>
                    <w:rPr>
                      <w:sz w:val="22"/>
                      <w:szCs w:val="22"/>
                    </w:rPr>
                  </w:pPr>
                  <w:r>
                    <w:rPr>
                      <w:spacing w:val="-4"/>
                      <w:sz w:val="22"/>
                      <w:szCs w:val="22"/>
                    </w:rPr>
                    <w:t>箱（</w:t>
                  </w:r>
                  <w:r>
                    <w:rPr>
                      <w:rFonts w:ascii="Times New Roman" w:hAnsi="Times New Roman" w:eastAsia="Times New Roman" w:cs="Times New Roman"/>
                      <w:spacing w:val="-4"/>
                      <w:sz w:val="22"/>
                      <w:szCs w:val="22"/>
                    </w:rPr>
                    <w:t>200L</w:t>
                  </w:r>
                  <w:r>
                    <w:rPr>
                      <w:rFonts w:ascii="Times New Roman" w:hAnsi="Times New Roman" w:eastAsia="Times New Roman" w:cs="Times New Roman"/>
                      <w:spacing w:val="-27"/>
                      <w:sz w:val="22"/>
                      <w:szCs w:val="22"/>
                    </w:rPr>
                    <w:t xml:space="preserve"> </w:t>
                  </w:r>
                  <w:r>
                    <w:rPr>
                      <w:spacing w:val="-4"/>
                      <w:sz w:val="22"/>
                      <w:szCs w:val="22"/>
                    </w:rPr>
                    <w:t>，</w:t>
                  </w:r>
                  <w:r>
                    <w:rPr>
                      <w:rFonts w:ascii="Times New Roman" w:hAnsi="Times New Roman" w:eastAsia="Times New Roman" w:cs="Times New Roman"/>
                      <w:spacing w:val="-4"/>
                      <w:sz w:val="22"/>
                      <w:szCs w:val="22"/>
                    </w:rPr>
                    <w:t>1</w:t>
                  </w:r>
                  <w:r>
                    <w:rPr>
                      <w:spacing w:val="-4"/>
                      <w:sz w:val="22"/>
                      <w:szCs w:val="22"/>
                    </w:rPr>
                    <w:t>个）</w:t>
                  </w:r>
                </w:p>
              </w:tc>
              <w:tc>
                <w:tcPr>
                  <w:tcW w:w="1457" w:type="dxa"/>
                  <w:vAlign w:val="top"/>
                </w:tcPr>
                <w:p w14:paraId="7F3C7F3B">
                  <w:pPr>
                    <w:spacing w:before="124" w:line="189" w:lineRule="auto"/>
                    <w:ind w:left="48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0.178</w:t>
                  </w:r>
                </w:p>
              </w:tc>
              <w:tc>
                <w:tcPr>
                  <w:tcW w:w="1221" w:type="dxa"/>
                  <w:vAlign w:val="top"/>
                </w:tcPr>
                <w:p w14:paraId="5E8CAAE5">
                  <w:pPr>
                    <w:pStyle w:val="6"/>
                    <w:spacing w:before="89" w:line="221" w:lineRule="auto"/>
                    <w:ind w:left="398"/>
                    <w:rPr>
                      <w:sz w:val="22"/>
                      <w:szCs w:val="22"/>
                    </w:rPr>
                  </w:pPr>
                  <w:r>
                    <w:rPr>
                      <w:spacing w:val="-5"/>
                      <w:sz w:val="22"/>
                      <w:szCs w:val="22"/>
                    </w:rPr>
                    <w:t>液态</w:t>
                  </w:r>
                </w:p>
              </w:tc>
            </w:tr>
            <w:tr w14:paraId="40C99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653" w:type="dxa"/>
                  <w:vAlign w:val="top"/>
                </w:tcPr>
                <w:p w14:paraId="1BEC9115">
                  <w:pPr>
                    <w:spacing w:before="126" w:line="189" w:lineRule="auto"/>
                    <w:ind w:left="278"/>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146" w:type="dxa"/>
                  <w:vAlign w:val="top"/>
                </w:tcPr>
                <w:p w14:paraId="772450D2">
                  <w:pPr>
                    <w:pStyle w:val="6"/>
                    <w:spacing w:before="87" w:line="221" w:lineRule="auto"/>
                    <w:ind w:left="139"/>
                    <w:rPr>
                      <w:sz w:val="22"/>
                      <w:szCs w:val="22"/>
                    </w:rPr>
                  </w:pPr>
                  <w:r>
                    <w:rPr>
                      <w:spacing w:val="-3"/>
                      <w:sz w:val="22"/>
                      <w:szCs w:val="22"/>
                    </w:rPr>
                    <w:t>危险废物</w:t>
                  </w:r>
                </w:p>
              </w:tc>
              <w:tc>
                <w:tcPr>
                  <w:tcW w:w="1779" w:type="dxa"/>
                  <w:vAlign w:val="top"/>
                </w:tcPr>
                <w:p w14:paraId="2F9549BE">
                  <w:pPr>
                    <w:pStyle w:val="6"/>
                    <w:spacing w:before="88" w:line="220" w:lineRule="auto"/>
                    <w:ind w:left="128"/>
                    <w:rPr>
                      <w:sz w:val="22"/>
                      <w:szCs w:val="22"/>
                    </w:rPr>
                  </w:pPr>
                  <w:r>
                    <w:rPr>
                      <w:spacing w:val="-2"/>
                      <w:sz w:val="22"/>
                      <w:szCs w:val="22"/>
                    </w:rPr>
                    <w:t>危险废物贮存点</w:t>
                  </w:r>
                </w:p>
              </w:tc>
              <w:tc>
                <w:tcPr>
                  <w:tcW w:w="1684" w:type="dxa"/>
                  <w:vAlign w:val="top"/>
                </w:tcPr>
                <w:p w14:paraId="3886C8CB">
                  <w:pPr>
                    <w:pStyle w:val="6"/>
                    <w:spacing w:before="88" w:line="220" w:lineRule="auto"/>
                    <w:ind w:left="630"/>
                    <w:rPr>
                      <w:sz w:val="22"/>
                      <w:szCs w:val="22"/>
                    </w:rPr>
                  </w:pPr>
                  <w:r>
                    <w:rPr>
                      <w:spacing w:val="-5"/>
                      <w:sz w:val="22"/>
                      <w:szCs w:val="22"/>
                    </w:rPr>
                    <w:t>桶装</w:t>
                  </w:r>
                </w:p>
              </w:tc>
              <w:tc>
                <w:tcPr>
                  <w:tcW w:w="1457" w:type="dxa"/>
                  <w:vAlign w:val="top"/>
                </w:tcPr>
                <w:p w14:paraId="023320E1">
                  <w:pPr>
                    <w:spacing w:before="126" w:line="189" w:lineRule="auto"/>
                    <w:ind w:left="59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0.4</w:t>
                  </w:r>
                </w:p>
              </w:tc>
              <w:tc>
                <w:tcPr>
                  <w:tcW w:w="1221" w:type="dxa"/>
                  <w:vAlign w:val="top"/>
                </w:tcPr>
                <w:p w14:paraId="6062012A">
                  <w:pPr>
                    <w:pStyle w:val="6"/>
                    <w:spacing w:before="87" w:line="221" w:lineRule="auto"/>
                    <w:ind w:left="67"/>
                    <w:rPr>
                      <w:sz w:val="22"/>
                      <w:szCs w:val="22"/>
                    </w:rPr>
                  </w:pPr>
                  <w:r>
                    <w:rPr>
                      <w:spacing w:val="-1"/>
                      <w:sz w:val="22"/>
                      <w:szCs w:val="22"/>
                    </w:rPr>
                    <w:t>液（固）态</w:t>
                  </w:r>
                </w:p>
              </w:tc>
            </w:tr>
          </w:tbl>
          <w:p w14:paraId="2A6C3659">
            <w:pPr>
              <w:pStyle w:val="6"/>
              <w:spacing w:before="31" w:line="220" w:lineRule="auto"/>
              <w:jc w:val="right"/>
              <w:rPr>
                <w:sz w:val="22"/>
                <w:szCs w:val="22"/>
              </w:rPr>
            </w:pPr>
            <w:r>
              <w:rPr>
                <w:spacing w:val="-5"/>
                <w:sz w:val="22"/>
                <w:szCs w:val="22"/>
              </w:rPr>
              <w:t>注：汽油密度取值为</w:t>
            </w:r>
            <w:r>
              <w:rPr>
                <w:spacing w:val="-47"/>
                <w:sz w:val="22"/>
                <w:szCs w:val="22"/>
              </w:rPr>
              <w:t xml:space="preserve"> </w:t>
            </w:r>
            <w:r>
              <w:rPr>
                <w:rFonts w:ascii="Times New Roman" w:hAnsi="Times New Roman" w:eastAsia="Times New Roman" w:cs="Times New Roman"/>
                <w:spacing w:val="-5"/>
                <w:sz w:val="22"/>
                <w:szCs w:val="22"/>
              </w:rPr>
              <w:t>0.72t/m</w:t>
            </w:r>
            <w:r>
              <w:rPr>
                <w:rFonts w:ascii="Times New Roman" w:hAnsi="Times New Roman" w:eastAsia="Times New Roman" w:cs="Times New Roman"/>
                <w:spacing w:val="-5"/>
                <w:position w:val="7"/>
                <w:sz w:val="14"/>
                <w:szCs w:val="14"/>
              </w:rPr>
              <w:t>3</w:t>
            </w:r>
            <w:r>
              <w:rPr>
                <w:spacing w:val="-5"/>
                <w:sz w:val="22"/>
                <w:szCs w:val="22"/>
              </w:rPr>
              <w:t>，柴油密度取值为</w:t>
            </w:r>
            <w:r>
              <w:rPr>
                <w:spacing w:val="-49"/>
                <w:sz w:val="22"/>
                <w:szCs w:val="22"/>
              </w:rPr>
              <w:t xml:space="preserve"> </w:t>
            </w:r>
            <w:r>
              <w:rPr>
                <w:rFonts w:ascii="Times New Roman" w:hAnsi="Times New Roman" w:eastAsia="Times New Roman" w:cs="Times New Roman"/>
                <w:spacing w:val="-5"/>
                <w:sz w:val="22"/>
                <w:szCs w:val="22"/>
              </w:rPr>
              <w:t>0.89t/m</w:t>
            </w:r>
            <w:r>
              <w:rPr>
                <w:rFonts w:ascii="Times New Roman" w:hAnsi="Times New Roman" w:eastAsia="Times New Roman" w:cs="Times New Roman"/>
                <w:spacing w:val="-5"/>
                <w:position w:val="7"/>
                <w:sz w:val="14"/>
                <w:szCs w:val="14"/>
              </w:rPr>
              <w:t>3</w:t>
            </w:r>
            <w:r>
              <w:rPr>
                <w:spacing w:val="-5"/>
                <w:sz w:val="22"/>
                <w:szCs w:val="22"/>
              </w:rPr>
              <w:t>。储油罐有效装载率取</w:t>
            </w:r>
            <w:r>
              <w:rPr>
                <w:spacing w:val="-42"/>
                <w:sz w:val="22"/>
                <w:szCs w:val="22"/>
              </w:rPr>
              <w:t xml:space="preserve"> </w:t>
            </w:r>
            <w:r>
              <w:rPr>
                <w:rFonts w:ascii="Times New Roman" w:hAnsi="Times New Roman" w:eastAsia="Times New Roman" w:cs="Times New Roman"/>
                <w:spacing w:val="-5"/>
                <w:sz w:val="22"/>
                <w:szCs w:val="22"/>
              </w:rPr>
              <w:t>8</w:t>
            </w:r>
            <w:r>
              <w:rPr>
                <w:rFonts w:ascii="Times New Roman" w:hAnsi="Times New Roman" w:eastAsia="Times New Roman" w:cs="Times New Roman"/>
                <w:spacing w:val="-6"/>
                <w:sz w:val="22"/>
                <w:szCs w:val="22"/>
              </w:rPr>
              <w:t>0%</w:t>
            </w:r>
            <w:r>
              <w:rPr>
                <w:spacing w:val="-6"/>
                <w:sz w:val="22"/>
                <w:szCs w:val="22"/>
              </w:rPr>
              <w:t>。</w:t>
            </w:r>
          </w:p>
          <w:p w14:paraId="46FBC8EC">
            <w:pPr>
              <w:pStyle w:val="6"/>
              <w:spacing w:before="137" w:line="226" w:lineRule="auto"/>
              <w:ind w:left="623"/>
            </w:pPr>
            <w:r>
              <w:rPr>
                <w:rFonts w:ascii="Times New Roman" w:hAnsi="Times New Roman" w:eastAsia="Times New Roman" w:cs="Times New Roman"/>
                <w:spacing w:val="6"/>
              </w:rPr>
              <w:t xml:space="preserve">4.2.6.2 </w:t>
            </w:r>
            <w:r>
              <w:rPr>
                <w:spacing w:val="6"/>
              </w:rPr>
              <w:t>风险潜势初判</w:t>
            </w:r>
          </w:p>
          <w:p w14:paraId="3AD9A7B5">
            <w:pPr>
              <w:pStyle w:val="6"/>
              <w:spacing w:before="155" w:line="219" w:lineRule="auto"/>
              <w:ind w:left="640"/>
              <w:rPr>
                <w:rFonts w:ascii="Times New Roman" w:hAnsi="Times New Roman" w:eastAsia="Times New Roman" w:cs="Times New Roman"/>
              </w:rPr>
            </w:pPr>
            <w:r>
              <w:rPr>
                <w:spacing w:val="7"/>
              </w:rPr>
              <w:t>（</w:t>
            </w:r>
            <w:r>
              <w:rPr>
                <w:rFonts w:ascii="Times New Roman" w:hAnsi="Times New Roman" w:eastAsia="Times New Roman" w:cs="Times New Roman"/>
                <w:spacing w:val="7"/>
              </w:rPr>
              <w:t>1</w:t>
            </w:r>
            <w:r>
              <w:rPr>
                <w:spacing w:val="7"/>
              </w:rPr>
              <w:t>）危险物质数量与临界量比值</w:t>
            </w:r>
            <w:r>
              <w:rPr>
                <w:spacing w:val="-41"/>
              </w:rPr>
              <w:t xml:space="preserve"> </w:t>
            </w:r>
            <w:r>
              <w:rPr>
                <w:rFonts w:ascii="Times New Roman" w:hAnsi="Times New Roman" w:eastAsia="Times New Roman" w:cs="Times New Roman"/>
                <w:spacing w:val="7"/>
              </w:rPr>
              <w:t>Q</w:t>
            </w:r>
          </w:p>
          <w:p w14:paraId="61780500">
            <w:pPr>
              <w:pStyle w:val="6"/>
              <w:spacing w:before="160" w:line="340" w:lineRule="auto"/>
              <w:ind w:left="108" w:right="35" w:firstLine="520"/>
            </w:pPr>
            <w:r>
              <w:rPr>
                <w:spacing w:val="2"/>
              </w:rPr>
              <w:t>根据《建设项目环境风险评价技术导则》（</w:t>
            </w:r>
            <w:r>
              <w:rPr>
                <w:rFonts w:ascii="Times New Roman" w:hAnsi="Times New Roman" w:eastAsia="Times New Roman" w:cs="Times New Roman"/>
              </w:rPr>
              <w:t>HJ</w:t>
            </w:r>
            <w:r>
              <w:rPr>
                <w:rFonts w:ascii="Times New Roman" w:hAnsi="Times New Roman" w:eastAsia="Times New Roman" w:cs="Times New Roman"/>
                <w:spacing w:val="2"/>
              </w:rPr>
              <w:t>169-2018</w:t>
            </w:r>
            <w:r>
              <w:rPr>
                <w:spacing w:val="2"/>
              </w:rPr>
              <w:t>）附录</w:t>
            </w:r>
            <w:r>
              <w:rPr>
                <w:spacing w:val="-52"/>
              </w:rPr>
              <w:t xml:space="preserve"> </w:t>
            </w:r>
            <w:r>
              <w:rPr>
                <w:rFonts w:ascii="Times New Roman" w:hAnsi="Times New Roman" w:eastAsia="Times New Roman" w:cs="Times New Roman"/>
                <w:spacing w:val="2"/>
              </w:rPr>
              <w:t>B.1</w:t>
            </w:r>
            <w:r>
              <w:rPr>
                <w:spacing w:val="2"/>
              </w:rPr>
              <w:t>，</w:t>
            </w:r>
            <w:r>
              <w:rPr>
                <w:spacing w:val="21"/>
              </w:rPr>
              <w:t xml:space="preserve">计算所涉及的每种危险物质在厂界内的最大存在总量与其在附录 </w:t>
            </w:r>
            <w:r>
              <w:rPr>
                <w:rFonts w:ascii="Times New Roman" w:hAnsi="Times New Roman" w:eastAsia="Times New Roman" w:cs="Times New Roman"/>
                <w:spacing w:val="21"/>
              </w:rPr>
              <w:t>B</w:t>
            </w:r>
            <w:r>
              <w:rPr>
                <w:spacing w:val="7"/>
              </w:rPr>
              <w:t>中对应临界量的比值</w:t>
            </w:r>
            <w:r>
              <w:rPr>
                <w:spacing w:val="-51"/>
              </w:rPr>
              <w:t xml:space="preserve"> </w:t>
            </w:r>
            <w:r>
              <w:rPr>
                <w:rFonts w:ascii="Times New Roman" w:hAnsi="Times New Roman" w:eastAsia="Times New Roman" w:cs="Times New Roman"/>
                <w:spacing w:val="7"/>
              </w:rPr>
              <w:t>Q</w:t>
            </w:r>
            <w:r>
              <w:rPr>
                <w:spacing w:val="7"/>
              </w:rPr>
              <w:t>。</w:t>
            </w:r>
          </w:p>
          <w:p w14:paraId="36C9F16C">
            <w:pPr>
              <w:pStyle w:val="6"/>
              <w:spacing w:before="3" w:line="339" w:lineRule="auto"/>
              <w:ind w:left="111" w:right="103" w:firstLine="534"/>
            </w:pPr>
            <w:r>
              <w:rPr>
                <w:spacing w:val="5"/>
              </w:rPr>
              <w:t>当只涉及一种危险物质时，计算该物质的总量与其临界量比值，即</w:t>
            </w:r>
            <w:r>
              <w:rPr>
                <w:spacing w:val="-3"/>
              </w:rPr>
              <w:t>为</w:t>
            </w:r>
            <w:r>
              <w:rPr>
                <w:spacing w:val="17"/>
              </w:rPr>
              <w:t xml:space="preserve"> </w:t>
            </w:r>
            <w:r>
              <w:rPr>
                <w:rFonts w:ascii="Times New Roman" w:hAnsi="Times New Roman" w:eastAsia="Times New Roman" w:cs="Times New Roman"/>
                <w:spacing w:val="-3"/>
              </w:rPr>
              <w:t>Q</w:t>
            </w:r>
            <w:r>
              <w:rPr>
                <w:spacing w:val="-3"/>
              </w:rPr>
              <w:t>；</w:t>
            </w:r>
          </w:p>
          <w:p w14:paraId="4A5C790B">
            <w:pPr>
              <w:pStyle w:val="6"/>
              <w:spacing w:before="1" w:line="322" w:lineRule="auto"/>
              <w:ind w:left="136" w:right="103" w:firstLine="508"/>
            </w:pPr>
            <w:r>
              <w:rPr>
                <w:spacing w:val="9"/>
              </w:rPr>
              <w:t>当存在多种危险物质时，则按式（</w:t>
            </w:r>
            <w:r>
              <w:rPr>
                <w:rFonts w:ascii="Times New Roman" w:hAnsi="Times New Roman" w:eastAsia="Times New Roman" w:cs="Times New Roman"/>
                <w:spacing w:val="9"/>
              </w:rPr>
              <w:t>C.</w:t>
            </w:r>
            <w:r>
              <w:rPr>
                <w:rFonts w:ascii="Times New Roman" w:hAnsi="Times New Roman" w:eastAsia="Times New Roman" w:cs="Times New Roman"/>
                <w:spacing w:val="-32"/>
              </w:rPr>
              <w:t xml:space="preserve"> </w:t>
            </w:r>
            <w:r>
              <w:rPr>
                <w:rFonts w:ascii="Times New Roman" w:hAnsi="Times New Roman" w:eastAsia="Times New Roman" w:cs="Times New Roman"/>
                <w:spacing w:val="9"/>
              </w:rPr>
              <w:t>1</w:t>
            </w:r>
            <w:r>
              <w:rPr>
                <w:spacing w:val="9"/>
              </w:rPr>
              <w:t>）计算物质</w:t>
            </w:r>
            <w:r>
              <w:rPr>
                <w:spacing w:val="8"/>
              </w:rPr>
              <w:t>总量与其临界量</w:t>
            </w:r>
            <w:r>
              <w:rPr>
                <w:spacing w:val="-1"/>
              </w:rPr>
              <w:t>比值（</w:t>
            </w:r>
            <w:r>
              <w:rPr>
                <w:rFonts w:ascii="Times New Roman" w:hAnsi="Times New Roman" w:eastAsia="Times New Roman" w:cs="Times New Roman"/>
                <w:spacing w:val="-1"/>
              </w:rPr>
              <w:t>Q</w:t>
            </w:r>
            <w:r>
              <w:t>）：</w:t>
            </w:r>
          </w:p>
          <w:p w14:paraId="5CFD855B">
            <w:pPr>
              <w:spacing w:line="349" w:lineRule="exact"/>
              <w:ind w:left="2531"/>
              <w:rPr>
                <w:rFonts w:ascii="Times New Roman" w:hAnsi="Times New Roman" w:eastAsia="Times New Roman" w:cs="Times New Roman"/>
                <w:sz w:val="25"/>
                <w:szCs w:val="25"/>
              </w:rPr>
            </w:pPr>
            <w:r>
              <w:rPr>
                <w:rFonts w:ascii="Times New Roman" w:hAnsi="Times New Roman" w:eastAsia="Times New Roman" w:cs="Times New Roman"/>
                <w:spacing w:val="2"/>
                <w:position w:val="4"/>
                <w:sz w:val="25"/>
                <w:szCs w:val="25"/>
              </w:rPr>
              <w:t>Q=q1/Q1+q2/Q2</w:t>
            </w:r>
            <w:r>
              <w:rPr>
                <w:rFonts w:ascii="Times New Roman" w:hAnsi="Times New Roman" w:eastAsia="Times New Roman" w:cs="Times New Roman"/>
                <w:spacing w:val="-19"/>
                <w:position w:val="4"/>
                <w:sz w:val="25"/>
                <w:szCs w:val="25"/>
              </w:rPr>
              <w:t xml:space="preserve"> </w:t>
            </w:r>
            <w:r>
              <w:rPr>
                <w:rFonts w:ascii="Times New Roman" w:hAnsi="Times New Roman" w:eastAsia="Times New Roman" w:cs="Times New Roman"/>
                <w:spacing w:val="2"/>
                <w:position w:val="4"/>
                <w:sz w:val="25"/>
                <w:szCs w:val="25"/>
              </w:rPr>
              <w:t>…</w:t>
            </w:r>
            <w:r>
              <w:rPr>
                <w:rFonts w:ascii="Times New Roman" w:hAnsi="Times New Roman" w:eastAsia="Times New Roman" w:cs="Times New Roman"/>
                <w:spacing w:val="-33"/>
                <w:position w:val="4"/>
                <w:sz w:val="25"/>
                <w:szCs w:val="25"/>
              </w:rPr>
              <w:t xml:space="preserve"> </w:t>
            </w:r>
            <w:r>
              <w:rPr>
                <w:rFonts w:ascii="Times New Roman" w:hAnsi="Times New Roman" w:eastAsia="Times New Roman" w:cs="Times New Roman"/>
                <w:spacing w:val="2"/>
                <w:position w:val="4"/>
                <w:sz w:val="25"/>
                <w:szCs w:val="25"/>
              </w:rPr>
              <w:t>…+</w:t>
            </w:r>
            <w:r>
              <w:rPr>
                <w:rFonts w:ascii="Times New Roman" w:hAnsi="Times New Roman" w:eastAsia="Times New Roman" w:cs="Times New Roman"/>
                <w:position w:val="4"/>
                <w:sz w:val="25"/>
                <w:szCs w:val="25"/>
              </w:rPr>
              <w:t>qn</w:t>
            </w:r>
            <w:r>
              <w:rPr>
                <w:rFonts w:ascii="Times New Roman" w:hAnsi="Times New Roman" w:eastAsia="Times New Roman" w:cs="Times New Roman"/>
                <w:spacing w:val="2"/>
                <w:position w:val="4"/>
                <w:sz w:val="25"/>
                <w:szCs w:val="25"/>
              </w:rPr>
              <w:t>/</w:t>
            </w:r>
            <w:r>
              <w:rPr>
                <w:rFonts w:ascii="Times New Roman" w:hAnsi="Times New Roman" w:eastAsia="Times New Roman" w:cs="Times New Roman"/>
                <w:position w:val="4"/>
                <w:sz w:val="25"/>
                <w:szCs w:val="25"/>
              </w:rPr>
              <w:t>Qn</w:t>
            </w:r>
          </w:p>
          <w:p w14:paraId="476B6DD2">
            <w:pPr>
              <w:pStyle w:val="6"/>
              <w:spacing w:before="159" w:line="219" w:lineRule="auto"/>
              <w:ind w:left="634"/>
            </w:pPr>
            <w:r>
              <w:rPr>
                <w:spacing w:val="6"/>
              </w:rPr>
              <w:t>式中：</w:t>
            </w:r>
            <w:r>
              <w:rPr>
                <w:rFonts w:ascii="Times New Roman" w:hAnsi="Times New Roman" w:eastAsia="Times New Roman" w:cs="Times New Roman"/>
                <w:spacing w:val="6"/>
              </w:rPr>
              <w:t>q1</w:t>
            </w:r>
            <w:r>
              <w:rPr>
                <w:rFonts w:ascii="Times New Roman" w:hAnsi="Times New Roman" w:eastAsia="Times New Roman" w:cs="Times New Roman"/>
                <w:spacing w:val="-34"/>
              </w:rPr>
              <w:t xml:space="preserve"> </w:t>
            </w:r>
            <w:r>
              <w:rPr>
                <w:spacing w:val="6"/>
              </w:rPr>
              <w:t>、</w:t>
            </w:r>
            <w:r>
              <w:rPr>
                <w:rFonts w:ascii="Times New Roman" w:hAnsi="Times New Roman" w:eastAsia="Times New Roman" w:cs="Times New Roman"/>
                <w:spacing w:val="6"/>
              </w:rPr>
              <w:t>q2</w:t>
            </w:r>
            <w:r>
              <w:rPr>
                <w:rFonts w:ascii="Times New Roman" w:hAnsi="Times New Roman" w:eastAsia="Times New Roman" w:cs="Times New Roman"/>
                <w:spacing w:val="-32"/>
              </w:rPr>
              <w:t xml:space="preserve"> </w:t>
            </w:r>
            <w:r>
              <w:rPr>
                <w:spacing w:val="-12"/>
              </w:rPr>
              <w:t>，</w:t>
            </w:r>
            <w:r>
              <w:rPr>
                <w:spacing w:val="-89"/>
              </w:rPr>
              <w:t xml:space="preserve"> </w:t>
            </w:r>
            <w:r>
              <w:rPr>
                <w:spacing w:val="105"/>
                <w:u w:val="dotted" w:color="auto"/>
              </w:rPr>
              <w:t xml:space="preserve"> </w:t>
            </w:r>
            <w:r>
              <w:rPr>
                <w:spacing w:val="-91"/>
              </w:rPr>
              <w:t xml:space="preserve"> </w:t>
            </w:r>
            <w:r>
              <w:rPr>
                <w:spacing w:val="-12"/>
              </w:rPr>
              <w:t>，</w:t>
            </w:r>
            <w:r>
              <w:rPr>
                <w:rFonts w:ascii="Times New Roman" w:hAnsi="Times New Roman" w:eastAsia="Times New Roman" w:cs="Times New Roman"/>
              </w:rPr>
              <w:t>qn</w:t>
            </w:r>
            <w:r>
              <w:rPr>
                <w:rFonts w:ascii="Times New Roman" w:hAnsi="Times New Roman" w:eastAsia="Times New Roman" w:cs="Times New Roman"/>
                <w:spacing w:val="6"/>
              </w:rPr>
              <w:t>—</w:t>
            </w:r>
            <w:r>
              <w:rPr>
                <w:spacing w:val="6"/>
              </w:rPr>
              <w:t>每种危险物质的最大存在总量，</w:t>
            </w:r>
            <w:r>
              <w:rPr>
                <w:rFonts w:ascii="Times New Roman" w:hAnsi="Times New Roman" w:eastAsia="Times New Roman" w:cs="Times New Roman"/>
                <w:spacing w:val="6"/>
              </w:rPr>
              <w:t>t</w:t>
            </w:r>
            <w:r>
              <w:rPr>
                <w:spacing w:val="6"/>
              </w:rPr>
              <w:t>；</w:t>
            </w:r>
          </w:p>
          <w:p w14:paraId="4FD9E1F4">
            <w:pPr>
              <w:pStyle w:val="6"/>
              <w:spacing w:before="162" w:line="221" w:lineRule="auto"/>
              <w:ind w:left="628"/>
            </w:pPr>
            <w:r>
              <w:rPr>
                <w:rFonts w:ascii="Times New Roman" w:hAnsi="Times New Roman" w:eastAsia="Times New Roman" w:cs="Times New Roman"/>
                <w:spacing w:val="6"/>
              </w:rPr>
              <w:t>Q1</w:t>
            </w:r>
            <w:r>
              <w:rPr>
                <w:rFonts w:ascii="Times New Roman" w:hAnsi="Times New Roman" w:eastAsia="Times New Roman" w:cs="Times New Roman"/>
                <w:spacing w:val="-34"/>
              </w:rPr>
              <w:t xml:space="preserve"> </w:t>
            </w:r>
            <w:r>
              <w:rPr>
                <w:spacing w:val="6"/>
              </w:rPr>
              <w:t>、</w:t>
            </w:r>
            <w:r>
              <w:rPr>
                <w:rFonts w:ascii="Times New Roman" w:hAnsi="Times New Roman" w:eastAsia="Times New Roman" w:cs="Times New Roman"/>
                <w:spacing w:val="6"/>
              </w:rPr>
              <w:t>Q2</w:t>
            </w:r>
            <w:r>
              <w:rPr>
                <w:rFonts w:ascii="Times New Roman" w:hAnsi="Times New Roman" w:eastAsia="Times New Roman" w:cs="Times New Roman"/>
                <w:spacing w:val="-29"/>
              </w:rPr>
              <w:t xml:space="preserve"> </w:t>
            </w:r>
            <w:r>
              <w:rPr>
                <w:spacing w:val="-19"/>
              </w:rPr>
              <w:t>，</w:t>
            </w:r>
            <w:r>
              <w:rPr>
                <w:spacing w:val="-89"/>
              </w:rPr>
              <w:t xml:space="preserve"> </w:t>
            </w:r>
            <w:r>
              <w:rPr>
                <w:spacing w:val="105"/>
                <w:u w:val="dotted" w:color="auto"/>
              </w:rPr>
              <w:t xml:space="preserve"> </w:t>
            </w:r>
            <w:r>
              <w:rPr>
                <w:spacing w:val="-91"/>
              </w:rPr>
              <w:t xml:space="preserve"> </w:t>
            </w:r>
            <w:r>
              <w:rPr>
                <w:spacing w:val="-19"/>
              </w:rPr>
              <w:t>，</w:t>
            </w:r>
            <w:r>
              <w:rPr>
                <w:rFonts w:ascii="Times New Roman" w:hAnsi="Times New Roman" w:eastAsia="Times New Roman" w:cs="Times New Roman"/>
              </w:rPr>
              <w:t>Qn</w:t>
            </w:r>
            <w:r>
              <w:rPr>
                <w:rFonts w:ascii="Times New Roman" w:hAnsi="Times New Roman" w:eastAsia="Times New Roman" w:cs="Times New Roman"/>
                <w:spacing w:val="6"/>
              </w:rPr>
              <w:t>—</w:t>
            </w:r>
            <w:r>
              <w:rPr>
                <w:spacing w:val="6"/>
              </w:rPr>
              <w:t>每种危险物质的临界量，</w:t>
            </w:r>
            <w:r>
              <w:rPr>
                <w:rFonts w:ascii="Times New Roman" w:hAnsi="Times New Roman" w:eastAsia="Times New Roman" w:cs="Times New Roman"/>
                <w:spacing w:val="6"/>
              </w:rPr>
              <w:t>t</w:t>
            </w:r>
            <w:r>
              <w:rPr>
                <w:spacing w:val="6"/>
              </w:rPr>
              <w:t>。</w:t>
            </w:r>
          </w:p>
          <w:p w14:paraId="1562C205">
            <w:pPr>
              <w:pStyle w:val="6"/>
              <w:spacing w:before="161" w:line="219" w:lineRule="auto"/>
              <w:ind w:left="645"/>
            </w:pPr>
            <w:r>
              <w:rPr>
                <w:spacing w:val="5"/>
              </w:rPr>
              <w:t>当</w:t>
            </w:r>
            <w:r>
              <w:rPr>
                <w:spacing w:val="-45"/>
              </w:rPr>
              <w:t xml:space="preserve"> </w:t>
            </w:r>
            <w:r>
              <w:rPr>
                <w:rFonts w:ascii="Times New Roman" w:hAnsi="Times New Roman" w:eastAsia="Times New Roman" w:cs="Times New Roman"/>
                <w:spacing w:val="5"/>
              </w:rPr>
              <w:t>Q</w:t>
            </w:r>
            <w:r>
              <w:rPr>
                <w:spacing w:val="5"/>
              </w:rPr>
              <w:t>＜</w:t>
            </w:r>
            <w:r>
              <w:rPr>
                <w:rFonts w:ascii="Times New Roman" w:hAnsi="Times New Roman" w:eastAsia="Times New Roman" w:cs="Times New Roman"/>
                <w:spacing w:val="5"/>
              </w:rPr>
              <w:t>1</w:t>
            </w:r>
            <w:r>
              <w:rPr>
                <w:rFonts w:ascii="Times New Roman" w:hAnsi="Times New Roman" w:eastAsia="Times New Roman" w:cs="Times New Roman"/>
                <w:spacing w:val="24"/>
                <w:w w:val="101"/>
              </w:rPr>
              <w:t xml:space="preserve"> </w:t>
            </w:r>
            <w:r>
              <w:rPr>
                <w:spacing w:val="5"/>
              </w:rPr>
              <w:t>时，该项目环境风险潜势为</w:t>
            </w:r>
            <w:r>
              <w:rPr>
                <w:rFonts w:ascii="Times New Roman" w:hAnsi="Times New Roman" w:eastAsia="Times New Roman" w:cs="Times New Roman"/>
                <w:spacing w:val="5"/>
              </w:rPr>
              <w:t>Ⅰ</w:t>
            </w:r>
            <w:r>
              <w:rPr>
                <w:spacing w:val="5"/>
              </w:rPr>
              <w:t>。</w:t>
            </w:r>
          </w:p>
          <w:p w14:paraId="3C9DFB27">
            <w:pPr>
              <w:pStyle w:val="6"/>
              <w:spacing w:before="166" w:line="339" w:lineRule="auto"/>
              <w:ind w:left="107" w:firstLine="537"/>
            </w:pPr>
            <w:r>
              <w:rPr>
                <w:spacing w:val="4"/>
              </w:rPr>
              <w:t>当</w:t>
            </w:r>
            <w:r>
              <w:rPr>
                <w:spacing w:val="-49"/>
              </w:rPr>
              <w:t xml:space="preserve"> </w:t>
            </w:r>
            <w:r>
              <w:rPr>
                <w:rFonts w:ascii="Times New Roman" w:hAnsi="Times New Roman" w:eastAsia="Times New Roman" w:cs="Times New Roman"/>
                <w:spacing w:val="4"/>
              </w:rPr>
              <w:t>Q≥1</w:t>
            </w:r>
            <w:r>
              <w:rPr>
                <w:rFonts w:ascii="Times New Roman" w:hAnsi="Times New Roman" w:eastAsia="Times New Roman" w:cs="Times New Roman"/>
                <w:spacing w:val="24"/>
                <w:w w:val="101"/>
              </w:rPr>
              <w:t xml:space="preserve"> </w:t>
            </w:r>
            <w:r>
              <w:rPr>
                <w:spacing w:val="4"/>
              </w:rPr>
              <w:t>时，将</w:t>
            </w:r>
            <w:r>
              <w:rPr>
                <w:spacing w:val="-51"/>
              </w:rPr>
              <w:t xml:space="preserve"> </w:t>
            </w:r>
            <w:r>
              <w:rPr>
                <w:rFonts w:ascii="Times New Roman" w:hAnsi="Times New Roman" w:eastAsia="Times New Roman" w:cs="Times New Roman"/>
                <w:spacing w:val="4"/>
              </w:rPr>
              <w:t xml:space="preserve">Q </w:t>
            </w:r>
            <w:r>
              <w:rPr>
                <w:spacing w:val="4"/>
              </w:rPr>
              <w:t>值划分为</w:t>
            </w:r>
            <w:r>
              <w:rPr>
                <w:spacing w:val="-50"/>
              </w:rPr>
              <w:t>：（</w:t>
            </w:r>
            <w:r>
              <w:rPr>
                <w:rFonts w:ascii="Times New Roman" w:hAnsi="Times New Roman" w:eastAsia="Times New Roman" w:cs="Times New Roman"/>
                <w:spacing w:val="4"/>
              </w:rPr>
              <w:t>1</w:t>
            </w:r>
            <w:r>
              <w:rPr>
                <w:spacing w:val="4"/>
              </w:rPr>
              <w:t>）</w:t>
            </w:r>
            <w:r>
              <w:rPr>
                <w:rFonts w:ascii="Times New Roman" w:hAnsi="Times New Roman" w:eastAsia="Times New Roman" w:cs="Times New Roman"/>
                <w:spacing w:val="4"/>
              </w:rPr>
              <w:t>1≤Q</w:t>
            </w:r>
            <w:r>
              <w:rPr>
                <w:spacing w:val="4"/>
              </w:rPr>
              <w:t>＜</w:t>
            </w:r>
            <w:r>
              <w:rPr>
                <w:rFonts w:ascii="Times New Roman" w:hAnsi="Times New Roman" w:eastAsia="Times New Roman" w:cs="Times New Roman"/>
                <w:spacing w:val="3"/>
              </w:rPr>
              <w:t>10</w:t>
            </w:r>
            <w:r>
              <w:rPr>
                <w:spacing w:val="-50"/>
              </w:rPr>
              <w:t>；（</w:t>
            </w:r>
            <w:r>
              <w:rPr>
                <w:rFonts w:ascii="Times New Roman" w:hAnsi="Times New Roman" w:eastAsia="Times New Roman" w:cs="Times New Roman"/>
                <w:spacing w:val="3"/>
              </w:rPr>
              <w:t>2</w:t>
            </w:r>
            <w:r>
              <w:rPr>
                <w:spacing w:val="3"/>
              </w:rPr>
              <w:t>）</w:t>
            </w:r>
            <w:r>
              <w:rPr>
                <w:rFonts w:ascii="Times New Roman" w:hAnsi="Times New Roman" w:eastAsia="Times New Roman" w:cs="Times New Roman"/>
                <w:spacing w:val="3"/>
              </w:rPr>
              <w:t>10≤Q</w:t>
            </w:r>
            <w:r>
              <w:rPr>
                <w:spacing w:val="3"/>
              </w:rPr>
              <w:t>＜</w:t>
            </w:r>
            <w:r>
              <w:rPr>
                <w:rFonts w:ascii="Times New Roman" w:hAnsi="Times New Roman" w:eastAsia="Times New Roman" w:cs="Times New Roman"/>
                <w:spacing w:val="3"/>
              </w:rPr>
              <w:t>100</w:t>
            </w:r>
            <w:r>
              <w:rPr>
                <w:spacing w:val="-50"/>
              </w:rPr>
              <w:t>；（</w:t>
            </w:r>
            <w:r>
              <w:rPr>
                <w:rFonts w:ascii="Times New Roman" w:hAnsi="Times New Roman" w:eastAsia="Times New Roman" w:cs="Times New Roman"/>
                <w:spacing w:val="3"/>
              </w:rPr>
              <w:t>3</w:t>
            </w:r>
            <w:r>
              <w:rPr>
                <w:spacing w:val="3"/>
              </w:rPr>
              <w:t>）</w:t>
            </w:r>
            <w:r>
              <w:t xml:space="preserve"> </w:t>
            </w:r>
            <w:r>
              <w:rPr>
                <w:rFonts w:ascii="Times New Roman" w:hAnsi="Times New Roman" w:eastAsia="Times New Roman" w:cs="Times New Roman"/>
                <w:spacing w:val="2"/>
              </w:rPr>
              <w:t>Q≥100</w:t>
            </w:r>
            <w:r>
              <w:rPr>
                <w:spacing w:val="2"/>
              </w:rPr>
              <w:t>。</w:t>
            </w:r>
          </w:p>
          <w:p w14:paraId="688483CE">
            <w:pPr>
              <w:pStyle w:val="6"/>
              <w:spacing w:line="315" w:lineRule="auto"/>
              <w:ind w:left="108" w:right="103" w:firstLine="535"/>
              <w:jc w:val="both"/>
            </w:pPr>
            <w:r>
              <w:rPr>
                <w:spacing w:val="7"/>
              </w:rPr>
              <w:t>临界量</w:t>
            </w:r>
            <w:r>
              <w:rPr>
                <w:spacing w:val="-48"/>
              </w:rPr>
              <w:t xml:space="preserve"> </w:t>
            </w:r>
            <w:r>
              <w:rPr>
                <w:rFonts w:ascii="Times New Roman" w:hAnsi="Times New Roman" w:eastAsia="Times New Roman" w:cs="Times New Roman"/>
              </w:rPr>
              <w:t>Q</w:t>
            </w:r>
            <w:r>
              <w:rPr>
                <w:rFonts w:ascii="Times New Roman" w:hAnsi="Times New Roman" w:eastAsia="Times New Roman" w:cs="Times New Roman"/>
                <w:position w:val="-2"/>
                <w:sz w:val="16"/>
                <w:szCs w:val="16"/>
              </w:rPr>
              <w:t>n</w:t>
            </w:r>
            <w:r>
              <w:rPr>
                <w:rFonts w:ascii="Times New Roman" w:hAnsi="Times New Roman" w:eastAsia="Times New Roman" w:cs="Times New Roman"/>
                <w:spacing w:val="13"/>
                <w:w w:val="101"/>
                <w:position w:val="-2"/>
                <w:sz w:val="16"/>
                <w:szCs w:val="16"/>
              </w:rPr>
              <w:t xml:space="preserve"> </w:t>
            </w:r>
            <w:r>
              <w:rPr>
                <w:spacing w:val="7"/>
              </w:rPr>
              <w:t>根据《化学品分类和标签规范 第</w:t>
            </w:r>
            <w:r>
              <w:rPr>
                <w:spacing w:val="-30"/>
              </w:rPr>
              <w:t xml:space="preserve"> </w:t>
            </w:r>
            <w:r>
              <w:rPr>
                <w:rFonts w:ascii="Times New Roman" w:hAnsi="Times New Roman" w:eastAsia="Times New Roman" w:cs="Times New Roman"/>
                <w:spacing w:val="7"/>
              </w:rPr>
              <w:t>18</w:t>
            </w:r>
            <w:r>
              <w:rPr>
                <w:rFonts w:ascii="Times New Roman" w:hAnsi="Times New Roman" w:eastAsia="Times New Roman" w:cs="Times New Roman"/>
                <w:spacing w:val="18"/>
              </w:rPr>
              <w:t xml:space="preserve"> </w:t>
            </w:r>
            <w:r>
              <w:rPr>
                <w:spacing w:val="7"/>
              </w:rPr>
              <w:t>部分：</w:t>
            </w:r>
            <w:r>
              <w:rPr>
                <w:spacing w:val="6"/>
              </w:rPr>
              <w:t>急性毒性》</w:t>
            </w:r>
            <w:r>
              <w:t xml:space="preserve"> </w:t>
            </w:r>
            <w:r>
              <w:rPr>
                <w:spacing w:val="6"/>
              </w:rPr>
              <w:t>（</w:t>
            </w:r>
            <w:r>
              <w:rPr>
                <w:rFonts w:ascii="Times New Roman" w:hAnsi="Times New Roman" w:eastAsia="Times New Roman" w:cs="Times New Roman"/>
              </w:rPr>
              <w:t>GB</w:t>
            </w:r>
            <w:r>
              <w:rPr>
                <w:rFonts w:ascii="Times New Roman" w:hAnsi="Times New Roman" w:eastAsia="Times New Roman" w:cs="Times New Roman"/>
                <w:spacing w:val="6"/>
              </w:rPr>
              <w:t xml:space="preserve"> 30000.18-2013</w:t>
            </w:r>
            <w:r>
              <w:rPr>
                <w:spacing w:val="6"/>
              </w:rPr>
              <w:t>）、《化学品分类和标签规范 第</w:t>
            </w:r>
            <w:r>
              <w:rPr>
                <w:spacing w:val="-42"/>
              </w:rPr>
              <w:t xml:space="preserve"> </w:t>
            </w:r>
            <w:r>
              <w:rPr>
                <w:rFonts w:ascii="Times New Roman" w:hAnsi="Times New Roman" w:eastAsia="Times New Roman" w:cs="Times New Roman"/>
                <w:spacing w:val="6"/>
              </w:rPr>
              <w:t xml:space="preserve">28 </w:t>
            </w:r>
            <w:r>
              <w:rPr>
                <w:spacing w:val="6"/>
              </w:rPr>
              <w:t>部分：对水生</w:t>
            </w:r>
            <w:r>
              <w:rPr>
                <w:spacing w:val="7"/>
              </w:rPr>
              <w:t>环境的危害》（</w:t>
            </w:r>
            <w:r>
              <w:rPr>
                <w:rFonts w:ascii="Times New Roman" w:hAnsi="Times New Roman" w:eastAsia="Times New Roman" w:cs="Times New Roman"/>
              </w:rPr>
              <w:t>GB</w:t>
            </w:r>
            <w:r>
              <w:rPr>
                <w:rFonts w:ascii="Times New Roman" w:hAnsi="Times New Roman" w:eastAsia="Times New Roman" w:cs="Times New Roman"/>
                <w:spacing w:val="7"/>
              </w:rPr>
              <w:t xml:space="preserve"> 30000.28-2013</w:t>
            </w:r>
            <w:r>
              <w:rPr>
                <w:spacing w:val="7"/>
              </w:rPr>
              <w:t>）、《建设项目环境风险</w:t>
            </w:r>
            <w:r>
              <w:rPr>
                <w:spacing w:val="6"/>
              </w:rPr>
              <w:t>评价技术导</w:t>
            </w:r>
            <w:r>
              <w:rPr>
                <w:spacing w:val="4"/>
              </w:rPr>
              <w:t>则》（</w:t>
            </w:r>
            <w:r>
              <w:rPr>
                <w:rFonts w:ascii="Times New Roman" w:hAnsi="Times New Roman" w:eastAsia="Times New Roman" w:cs="Times New Roman"/>
              </w:rPr>
              <w:t>HJ</w:t>
            </w:r>
            <w:r>
              <w:rPr>
                <w:rFonts w:ascii="Times New Roman" w:hAnsi="Times New Roman" w:eastAsia="Times New Roman" w:cs="Times New Roman"/>
                <w:spacing w:val="47"/>
              </w:rPr>
              <w:t xml:space="preserve"> </w:t>
            </w:r>
            <w:r>
              <w:rPr>
                <w:rFonts w:ascii="Times New Roman" w:hAnsi="Times New Roman" w:eastAsia="Times New Roman" w:cs="Times New Roman"/>
                <w:spacing w:val="4"/>
              </w:rPr>
              <w:t>169-2018</w:t>
            </w:r>
            <w:r>
              <w:rPr>
                <w:spacing w:val="4"/>
              </w:rPr>
              <w:t>）附录</w:t>
            </w:r>
            <w:r>
              <w:rPr>
                <w:spacing w:val="-56"/>
              </w:rPr>
              <w:t xml:space="preserve"> </w:t>
            </w:r>
            <w:r>
              <w:rPr>
                <w:rFonts w:ascii="Times New Roman" w:hAnsi="Times New Roman" w:eastAsia="Times New Roman" w:cs="Times New Roman"/>
                <w:spacing w:val="4"/>
              </w:rPr>
              <w:t xml:space="preserve">B </w:t>
            </w:r>
            <w:r>
              <w:rPr>
                <w:spacing w:val="4"/>
              </w:rPr>
              <w:t>确定。</w:t>
            </w:r>
          </w:p>
        </w:tc>
      </w:tr>
    </w:tbl>
    <w:p w14:paraId="0457D113">
      <w:pPr>
        <w:pStyle w:val="2"/>
        <w:rPr>
          <w:sz w:val="21"/>
        </w:rPr>
      </w:pPr>
    </w:p>
    <w:p w14:paraId="7473EB86">
      <w:pPr>
        <w:rPr>
          <w:sz w:val="21"/>
          <w:szCs w:val="21"/>
        </w:rPr>
        <w:sectPr>
          <w:footerReference r:id="rId98" w:type="default"/>
          <w:pgSz w:w="11907" w:h="16840"/>
          <w:pgMar w:top="400" w:right="1490" w:bottom="1008" w:left="1489" w:header="0" w:footer="770" w:gutter="0"/>
          <w:cols w:space="720" w:num="1"/>
        </w:sectPr>
      </w:pPr>
    </w:p>
    <w:p w14:paraId="61DF74C0">
      <w:pPr>
        <w:spacing w:before="19"/>
      </w:pPr>
    </w:p>
    <w:p w14:paraId="1B7907DA">
      <w:pPr>
        <w:spacing w:before="19"/>
      </w:pPr>
    </w:p>
    <w:p w14:paraId="6B2AE3FF">
      <w:pPr>
        <w:spacing w:before="19"/>
      </w:pPr>
    </w:p>
    <w:p w14:paraId="23BB72C4">
      <w:pPr>
        <w:spacing w:before="18"/>
      </w:pPr>
    </w:p>
    <w:p w14:paraId="328F3DA7">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4FDB7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92" w:hRule="atLeast"/>
        </w:trPr>
        <w:tc>
          <w:tcPr>
            <w:tcW w:w="754" w:type="dxa"/>
            <w:tcBorders>
              <w:right w:val="single" w:color="000000" w:sz="2" w:space="0"/>
            </w:tcBorders>
            <w:vAlign w:val="top"/>
          </w:tcPr>
          <w:p w14:paraId="2BE2924A">
            <w:pPr>
              <w:rPr>
                <w:rFonts w:ascii="Arial"/>
                <w:sz w:val="21"/>
              </w:rPr>
            </w:pPr>
          </w:p>
        </w:tc>
        <w:tc>
          <w:tcPr>
            <w:tcW w:w="8158" w:type="dxa"/>
            <w:tcBorders>
              <w:left w:val="single" w:color="000000" w:sz="2" w:space="0"/>
            </w:tcBorders>
            <w:vAlign w:val="top"/>
          </w:tcPr>
          <w:p w14:paraId="520738F6">
            <w:pPr>
              <w:pStyle w:val="6"/>
              <w:spacing w:before="150" w:line="226" w:lineRule="auto"/>
              <w:ind w:left="2022"/>
            </w:pPr>
            <w:r>
              <w:rPr>
                <w:spacing w:val="6"/>
              </w:rPr>
              <w:t>表</w:t>
            </w:r>
            <w:r>
              <w:rPr>
                <w:spacing w:val="-48"/>
              </w:rPr>
              <w:t xml:space="preserve"> </w:t>
            </w:r>
            <w:r>
              <w:rPr>
                <w:rFonts w:ascii="Times New Roman" w:hAnsi="Times New Roman" w:eastAsia="Times New Roman" w:cs="Times New Roman"/>
                <w:spacing w:val="6"/>
              </w:rPr>
              <w:t xml:space="preserve">4.2-21    </w:t>
            </w:r>
            <w:r>
              <w:rPr>
                <w:spacing w:val="6"/>
              </w:rPr>
              <w:t>全站危险物质贮存一览表</w:t>
            </w:r>
          </w:p>
          <w:p w14:paraId="49BA62E0">
            <w:pPr>
              <w:spacing w:line="88" w:lineRule="auto"/>
              <w:rPr>
                <w:rFonts w:ascii="Arial"/>
                <w:sz w:val="2"/>
              </w:rPr>
            </w:pPr>
          </w:p>
          <w:tbl>
            <w:tblPr>
              <w:tblStyle w:val="5"/>
              <w:tblW w:w="7940"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8"/>
              <w:gridCol w:w="2003"/>
              <w:gridCol w:w="1274"/>
              <w:gridCol w:w="985"/>
              <w:gridCol w:w="1220"/>
              <w:gridCol w:w="910"/>
              <w:gridCol w:w="1030"/>
            </w:tblGrid>
            <w:tr w14:paraId="527A1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518" w:type="dxa"/>
                  <w:textDirection w:val="tbRlV"/>
                  <w:vAlign w:val="top"/>
                </w:tcPr>
                <w:p w14:paraId="56140546">
                  <w:pPr>
                    <w:pStyle w:val="6"/>
                    <w:spacing w:before="146" w:line="211" w:lineRule="auto"/>
                    <w:ind w:left="56"/>
                    <w:rPr>
                      <w:sz w:val="22"/>
                      <w:szCs w:val="22"/>
                    </w:rPr>
                  </w:pPr>
                  <w:r>
                    <w:rPr>
                      <w:sz w:val="22"/>
                      <w:szCs w:val="22"/>
                    </w:rPr>
                    <w:t>序</w:t>
                  </w:r>
                  <w:r>
                    <w:rPr>
                      <w:spacing w:val="-31"/>
                      <w:sz w:val="22"/>
                      <w:szCs w:val="22"/>
                    </w:rPr>
                    <w:t xml:space="preserve"> </w:t>
                  </w:r>
                  <w:r>
                    <w:rPr>
                      <w:sz w:val="22"/>
                      <w:szCs w:val="22"/>
                    </w:rPr>
                    <w:t>号</w:t>
                  </w:r>
                </w:p>
              </w:tc>
              <w:tc>
                <w:tcPr>
                  <w:tcW w:w="2003" w:type="dxa"/>
                  <w:vAlign w:val="top"/>
                </w:tcPr>
                <w:p w14:paraId="53C0CF72">
                  <w:pPr>
                    <w:pStyle w:val="6"/>
                    <w:spacing w:before="205" w:line="220" w:lineRule="auto"/>
                    <w:ind w:left="127"/>
                    <w:rPr>
                      <w:sz w:val="22"/>
                      <w:szCs w:val="22"/>
                    </w:rPr>
                  </w:pPr>
                  <w:r>
                    <w:rPr>
                      <w:spacing w:val="-2"/>
                      <w:sz w:val="22"/>
                      <w:szCs w:val="22"/>
                    </w:rPr>
                    <w:t>危险源名称及规格</w:t>
                  </w:r>
                </w:p>
              </w:tc>
              <w:tc>
                <w:tcPr>
                  <w:tcW w:w="1274" w:type="dxa"/>
                  <w:vAlign w:val="top"/>
                </w:tcPr>
                <w:p w14:paraId="42FACB4B">
                  <w:pPr>
                    <w:pStyle w:val="6"/>
                    <w:spacing w:before="55" w:line="228" w:lineRule="auto"/>
                    <w:ind w:left="423" w:right="196" w:hanging="220"/>
                    <w:rPr>
                      <w:sz w:val="22"/>
                      <w:szCs w:val="22"/>
                    </w:rPr>
                  </w:pPr>
                  <w:r>
                    <w:rPr>
                      <w:spacing w:val="-3"/>
                      <w:sz w:val="22"/>
                      <w:szCs w:val="22"/>
                    </w:rPr>
                    <w:t>危险物质</w:t>
                  </w:r>
                  <w:r>
                    <w:rPr>
                      <w:spacing w:val="-5"/>
                      <w:sz w:val="22"/>
                      <w:szCs w:val="22"/>
                    </w:rPr>
                    <w:t>名称</w:t>
                  </w:r>
                </w:p>
              </w:tc>
              <w:tc>
                <w:tcPr>
                  <w:tcW w:w="985" w:type="dxa"/>
                  <w:vAlign w:val="top"/>
                </w:tcPr>
                <w:p w14:paraId="79CF5B95">
                  <w:pPr>
                    <w:pStyle w:val="6"/>
                    <w:spacing w:before="204" w:line="222" w:lineRule="auto"/>
                    <w:ind w:left="173"/>
                    <w:rPr>
                      <w:sz w:val="22"/>
                      <w:szCs w:val="22"/>
                    </w:rPr>
                  </w:pPr>
                  <w:r>
                    <w:rPr>
                      <w:rFonts w:ascii="Times New Roman" w:hAnsi="Times New Roman" w:eastAsia="Times New Roman" w:cs="Times New Roman"/>
                      <w:spacing w:val="-2"/>
                      <w:sz w:val="22"/>
                      <w:szCs w:val="22"/>
                    </w:rPr>
                    <w:t>CAS</w:t>
                  </w:r>
                  <w:r>
                    <w:rPr>
                      <w:spacing w:val="-2"/>
                      <w:sz w:val="22"/>
                      <w:szCs w:val="22"/>
                    </w:rPr>
                    <w:t>号</w:t>
                  </w:r>
                </w:p>
              </w:tc>
              <w:tc>
                <w:tcPr>
                  <w:tcW w:w="1220" w:type="dxa"/>
                  <w:vAlign w:val="top"/>
                </w:tcPr>
                <w:p w14:paraId="24AF23CB">
                  <w:pPr>
                    <w:pStyle w:val="6"/>
                    <w:spacing w:before="55" w:line="228" w:lineRule="auto"/>
                    <w:ind w:left="231" w:right="166" w:hanging="53"/>
                    <w:rPr>
                      <w:rFonts w:ascii="Times New Roman" w:hAnsi="Times New Roman" w:eastAsia="Times New Roman" w:cs="Times New Roman"/>
                      <w:sz w:val="22"/>
                      <w:szCs w:val="22"/>
                    </w:rPr>
                  </w:pPr>
                  <w:r>
                    <w:rPr>
                      <w:spacing w:val="-3"/>
                      <w:sz w:val="22"/>
                      <w:szCs w:val="22"/>
                    </w:rPr>
                    <w:t>最大存在总量</w:t>
                  </w:r>
                  <w:r>
                    <w:rPr>
                      <w:rFonts w:ascii="Times New Roman" w:hAnsi="Times New Roman" w:eastAsia="Times New Roman" w:cs="Times New Roman"/>
                      <w:spacing w:val="-3"/>
                      <w:sz w:val="22"/>
                      <w:szCs w:val="22"/>
                    </w:rPr>
                    <w:t>qn/t</w:t>
                  </w:r>
                </w:p>
              </w:tc>
              <w:tc>
                <w:tcPr>
                  <w:tcW w:w="910" w:type="dxa"/>
                  <w:vAlign w:val="top"/>
                </w:tcPr>
                <w:p w14:paraId="554B0EB0">
                  <w:pPr>
                    <w:pStyle w:val="6"/>
                    <w:spacing w:before="55" w:line="242" w:lineRule="auto"/>
                    <w:ind w:left="265" w:right="121" w:hanging="121"/>
                    <w:rPr>
                      <w:rFonts w:ascii="Times New Roman" w:hAnsi="Times New Roman" w:eastAsia="Times New Roman" w:cs="Times New Roman"/>
                      <w:sz w:val="22"/>
                      <w:szCs w:val="22"/>
                    </w:rPr>
                  </w:pPr>
                  <w:r>
                    <w:rPr>
                      <w:spacing w:val="-7"/>
                      <w:sz w:val="22"/>
                      <w:szCs w:val="22"/>
                    </w:rPr>
                    <w:t>临界量</w:t>
                  </w:r>
                  <w:r>
                    <w:rPr>
                      <w:rFonts w:ascii="Times New Roman" w:hAnsi="Times New Roman" w:eastAsia="Times New Roman" w:cs="Times New Roman"/>
                      <w:spacing w:val="-2"/>
                      <w:sz w:val="22"/>
                      <w:szCs w:val="22"/>
                    </w:rPr>
                    <w:t>Qn/t</w:t>
                  </w:r>
                </w:p>
              </w:tc>
              <w:tc>
                <w:tcPr>
                  <w:tcW w:w="1030" w:type="dxa"/>
                  <w:vAlign w:val="top"/>
                </w:tcPr>
                <w:p w14:paraId="4E09BC8E">
                  <w:pPr>
                    <w:pStyle w:val="6"/>
                    <w:spacing w:before="205" w:line="213" w:lineRule="auto"/>
                    <w:ind w:left="329"/>
                    <w:rPr>
                      <w:sz w:val="22"/>
                      <w:szCs w:val="22"/>
                    </w:rPr>
                  </w:pPr>
                  <w:r>
                    <w:rPr>
                      <w:rFonts w:ascii="Times New Roman" w:hAnsi="Times New Roman" w:eastAsia="Times New Roman" w:cs="Times New Roman"/>
                      <w:spacing w:val="-4"/>
                      <w:sz w:val="22"/>
                      <w:szCs w:val="22"/>
                    </w:rPr>
                    <w:t>Q</w:t>
                  </w:r>
                  <w:r>
                    <w:rPr>
                      <w:spacing w:val="-4"/>
                      <w:sz w:val="22"/>
                      <w:szCs w:val="22"/>
                    </w:rPr>
                    <w:t>值</w:t>
                  </w:r>
                </w:p>
              </w:tc>
            </w:tr>
            <w:tr w14:paraId="232DE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18" w:type="dxa"/>
                  <w:vAlign w:val="top"/>
                </w:tcPr>
                <w:p w14:paraId="699601F0">
                  <w:pPr>
                    <w:spacing w:before="90" w:line="189" w:lineRule="auto"/>
                    <w:ind w:left="226"/>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003" w:type="dxa"/>
                  <w:vAlign w:val="top"/>
                </w:tcPr>
                <w:p w14:paraId="7F8D2C49">
                  <w:pPr>
                    <w:pStyle w:val="6"/>
                    <w:spacing w:before="51" w:line="195" w:lineRule="auto"/>
                    <w:ind w:right="4"/>
                    <w:jc w:val="right"/>
                    <w:rPr>
                      <w:sz w:val="22"/>
                      <w:szCs w:val="22"/>
                    </w:rPr>
                  </w:pPr>
                  <w:r>
                    <w:rPr>
                      <w:rFonts w:ascii="Times New Roman" w:hAnsi="Times New Roman" w:eastAsia="Times New Roman" w:cs="Times New Roman"/>
                      <w:spacing w:val="-1"/>
                      <w:sz w:val="22"/>
                      <w:szCs w:val="22"/>
                    </w:rPr>
                    <w:t>92#</w:t>
                  </w:r>
                  <w:r>
                    <w:rPr>
                      <w:spacing w:val="-1"/>
                      <w:sz w:val="22"/>
                      <w:szCs w:val="22"/>
                    </w:rPr>
                    <w:t>汽油罐（</w:t>
                  </w:r>
                  <w:r>
                    <w:rPr>
                      <w:rFonts w:ascii="Times New Roman" w:hAnsi="Times New Roman" w:eastAsia="Times New Roman" w:cs="Times New Roman"/>
                      <w:spacing w:val="-1"/>
                      <w:sz w:val="22"/>
                      <w:szCs w:val="22"/>
                    </w:rPr>
                    <w:t>30m</w:t>
                  </w:r>
                  <w:r>
                    <w:rPr>
                      <w:rFonts w:ascii="Times New Roman" w:hAnsi="Times New Roman" w:eastAsia="Times New Roman" w:cs="Times New Roman"/>
                      <w:spacing w:val="-1"/>
                      <w:position w:val="1"/>
                      <w:sz w:val="14"/>
                      <w:szCs w:val="14"/>
                    </w:rPr>
                    <w:t>3</w:t>
                  </w:r>
                  <w:r>
                    <w:rPr>
                      <w:spacing w:val="-1"/>
                      <w:position w:val="1"/>
                      <w:sz w:val="22"/>
                      <w:szCs w:val="22"/>
                    </w:rPr>
                    <w:t>）</w:t>
                  </w:r>
                </w:p>
              </w:tc>
              <w:tc>
                <w:tcPr>
                  <w:tcW w:w="1274" w:type="dxa"/>
                  <w:vAlign w:val="top"/>
                </w:tcPr>
                <w:p w14:paraId="449B2E59">
                  <w:pPr>
                    <w:pStyle w:val="6"/>
                    <w:spacing w:before="52" w:line="203" w:lineRule="auto"/>
                    <w:ind w:left="421"/>
                    <w:rPr>
                      <w:sz w:val="22"/>
                      <w:szCs w:val="22"/>
                    </w:rPr>
                  </w:pPr>
                  <w:r>
                    <w:rPr>
                      <w:spacing w:val="-4"/>
                      <w:sz w:val="22"/>
                      <w:szCs w:val="22"/>
                    </w:rPr>
                    <w:t>汽油</w:t>
                  </w:r>
                </w:p>
              </w:tc>
              <w:tc>
                <w:tcPr>
                  <w:tcW w:w="985" w:type="dxa"/>
                  <w:vAlign w:val="top"/>
                </w:tcPr>
                <w:p w14:paraId="2D7F9418">
                  <w:pPr>
                    <w:spacing w:before="85" w:line="193" w:lineRule="auto"/>
                    <w:ind w:left="45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20" w:type="dxa"/>
                  <w:vAlign w:val="top"/>
                </w:tcPr>
                <w:p w14:paraId="2A190354">
                  <w:pPr>
                    <w:spacing w:before="90" w:line="189" w:lineRule="auto"/>
                    <w:ind w:left="41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21.6</w:t>
                  </w:r>
                </w:p>
              </w:tc>
              <w:tc>
                <w:tcPr>
                  <w:tcW w:w="910" w:type="dxa"/>
                  <w:vAlign w:val="top"/>
                </w:tcPr>
                <w:p w14:paraId="24B38A1D">
                  <w:pPr>
                    <w:spacing w:before="90" w:line="189" w:lineRule="auto"/>
                    <w:ind w:left="23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2500</w:t>
                  </w:r>
                </w:p>
              </w:tc>
              <w:tc>
                <w:tcPr>
                  <w:tcW w:w="1030" w:type="dxa"/>
                  <w:vAlign w:val="top"/>
                </w:tcPr>
                <w:p w14:paraId="5D6A39BF">
                  <w:pPr>
                    <w:spacing w:before="90" w:line="189" w:lineRule="auto"/>
                    <w:ind w:left="16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0.00864</w:t>
                  </w:r>
                </w:p>
              </w:tc>
            </w:tr>
            <w:tr w14:paraId="48675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18" w:type="dxa"/>
                  <w:vAlign w:val="top"/>
                </w:tcPr>
                <w:p w14:paraId="53772127">
                  <w:pPr>
                    <w:spacing w:before="90" w:line="189" w:lineRule="auto"/>
                    <w:ind w:left="204"/>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2003" w:type="dxa"/>
                  <w:vAlign w:val="top"/>
                </w:tcPr>
                <w:p w14:paraId="1C037A02">
                  <w:pPr>
                    <w:pStyle w:val="6"/>
                    <w:spacing w:before="52" w:line="194" w:lineRule="auto"/>
                    <w:ind w:right="4"/>
                    <w:jc w:val="right"/>
                    <w:rPr>
                      <w:sz w:val="22"/>
                      <w:szCs w:val="22"/>
                    </w:rPr>
                  </w:pPr>
                  <w:r>
                    <w:rPr>
                      <w:rFonts w:ascii="Times New Roman" w:hAnsi="Times New Roman" w:eastAsia="Times New Roman" w:cs="Times New Roman"/>
                      <w:spacing w:val="-1"/>
                      <w:sz w:val="22"/>
                      <w:szCs w:val="22"/>
                    </w:rPr>
                    <w:t>95#</w:t>
                  </w:r>
                  <w:r>
                    <w:rPr>
                      <w:spacing w:val="-1"/>
                      <w:sz w:val="22"/>
                      <w:szCs w:val="22"/>
                    </w:rPr>
                    <w:t>汽油罐（</w:t>
                  </w:r>
                  <w:r>
                    <w:rPr>
                      <w:rFonts w:ascii="Times New Roman" w:hAnsi="Times New Roman" w:eastAsia="Times New Roman" w:cs="Times New Roman"/>
                      <w:spacing w:val="-1"/>
                      <w:sz w:val="22"/>
                      <w:szCs w:val="22"/>
                    </w:rPr>
                    <w:t>30m</w:t>
                  </w:r>
                  <w:r>
                    <w:rPr>
                      <w:rFonts w:ascii="Times New Roman" w:hAnsi="Times New Roman" w:eastAsia="Times New Roman" w:cs="Times New Roman"/>
                      <w:spacing w:val="-1"/>
                      <w:position w:val="1"/>
                      <w:sz w:val="14"/>
                      <w:szCs w:val="14"/>
                    </w:rPr>
                    <w:t>3</w:t>
                  </w:r>
                  <w:r>
                    <w:rPr>
                      <w:spacing w:val="-1"/>
                      <w:position w:val="1"/>
                      <w:sz w:val="22"/>
                      <w:szCs w:val="22"/>
                    </w:rPr>
                    <w:t>）</w:t>
                  </w:r>
                </w:p>
              </w:tc>
              <w:tc>
                <w:tcPr>
                  <w:tcW w:w="1274" w:type="dxa"/>
                  <w:vAlign w:val="top"/>
                </w:tcPr>
                <w:p w14:paraId="67687006">
                  <w:pPr>
                    <w:pStyle w:val="6"/>
                    <w:spacing w:before="52" w:line="203" w:lineRule="auto"/>
                    <w:ind w:left="421"/>
                    <w:rPr>
                      <w:sz w:val="22"/>
                      <w:szCs w:val="22"/>
                    </w:rPr>
                  </w:pPr>
                  <w:r>
                    <w:rPr>
                      <w:spacing w:val="-4"/>
                      <w:sz w:val="22"/>
                      <w:szCs w:val="22"/>
                    </w:rPr>
                    <w:t>汽油</w:t>
                  </w:r>
                </w:p>
              </w:tc>
              <w:tc>
                <w:tcPr>
                  <w:tcW w:w="985" w:type="dxa"/>
                  <w:vAlign w:val="top"/>
                </w:tcPr>
                <w:p w14:paraId="3097C215">
                  <w:pPr>
                    <w:spacing w:before="86" w:line="193" w:lineRule="auto"/>
                    <w:ind w:left="45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20" w:type="dxa"/>
                  <w:vAlign w:val="top"/>
                </w:tcPr>
                <w:p w14:paraId="69CE3756">
                  <w:pPr>
                    <w:spacing w:before="90" w:line="189" w:lineRule="auto"/>
                    <w:ind w:left="41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21.6</w:t>
                  </w:r>
                </w:p>
              </w:tc>
              <w:tc>
                <w:tcPr>
                  <w:tcW w:w="910" w:type="dxa"/>
                  <w:vAlign w:val="top"/>
                </w:tcPr>
                <w:p w14:paraId="5FB1809A">
                  <w:pPr>
                    <w:spacing w:before="90" w:line="189" w:lineRule="auto"/>
                    <w:ind w:left="23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2500</w:t>
                  </w:r>
                </w:p>
              </w:tc>
              <w:tc>
                <w:tcPr>
                  <w:tcW w:w="1030" w:type="dxa"/>
                  <w:vAlign w:val="top"/>
                </w:tcPr>
                <w:p w14:paraId="254AB388">
                  <w:pPr>
                    <w:spacing w:before="90" w:line="189" w:lineRule="auto"/>
                    <w:ind w:left="16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0.00864</w:t>
                  </w:r>
                </w:p>
              </w:tc>
            </w:tr>
            <w:tr w14:paraId="3C73E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18" w:type="dxa"/>
                  <w:vAlign w:val="top"/>
                </w:tcPr>
                <w:p w14:paraId="08F43499">
                  <w:pPr>
                    <w:spacing w:before="91" w:line="189" w:lineRule="auto"/>
                    <w:ind w:left="209"/>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2003" w:type="dxa"/>
                  <w:vAlign w:val="top"/>
                </w:tcPr>
                <w:p w14:paraId="3248BA6E">
                  <w:pPr>
                    <w:pStyle w:val="6"/>
                    <w:spacing w:before="52" w:line="194" w:lineRule="auto"/>
                    <w:ind w:right="4"/>
                    <w:jc w:val="right"/>
                    <w:rPr>
                      <w:sz w:val="22"/>
                      <w:szCs w:val="22"/>
                    </w:rPr>
                  </w:pPr>
                  <w:r>
                    <w:rPr>
                      <w:rFonts w:ascii="Times New Roman" w:hAnsi="Times New Roman" w:eastAsia="Times New Roman" w:cs="Times New Roman"/>
                      <w:spacing w:val="-1"/>
                      <w:sz w:val="22"/>
                      <w:szCs w:val="22"/>
                    </w:rPr>
                    <w:t>98#</w:t>
                  </w:r>
                  <w:r>
                    <w:rPr>
                      <w:spacing w:val="-1"/>
                      <w:sz w:val="22"/>
                      <w:szCs w:val="22"/>
                    </w:rPr>
                    <w:t>汽油罐（</w:t>
                  </w:r>
                  <w:r>
                    <w:rPr>
                      <w:rFonts w:ascii="Times New Roman" w:hAnsi="Times New Roman" w:eastAsia="Times New Roman" w:cs="Times New Roman"/>
                      <w:spacing w:val="-1"/>
                      <w:sz w:val="22"/>
                      <w:szCs w:val="22"/>
                    </w:rPr>
                    <w:t>30m</w:t>
                  </w:r>
                  <w:r>
                    <w:rPr>
                      <w:rFonts w:ascii="Times New Roman" w:hAnsi="Times New Roman" w:eastAsia="Times New Roman" w:cs="Times New Roman"/>
                      <w:spacing w:val="-1"/>
                      <w:position w:val="1"/>
                      <w:sz w:val="14"/>
                      <w:szCs w:val="14"/>
                    </w:rPr>
                    <w:t>3</w:t>
                  </w:r>
                  <w:r>
                    <w:rPr>
                      <w:spacing w:val="-1"/>
                      <w:position w:val="1"/>
                      <w:sz w:val="22"/>
                      <w:szCs w:val="22"/>
                    </w:rPr>
                    <w:t>）</w:t>
                  </w:r>
                </w:p>
              </w:tc>
              <w:tc>
                <w:tcPr>
                  <w:tcW w:w="1274" w:type="dxa"/>
                  <w:vAlign w:val="top"/>
                </w:tcPr>
                <w:p w14:paraId="48AF7412">
                  <w:pPr>
                    <w:pStyle w:val="6"/>
                    <w:spacing w:before="53" w:line="202" w:lineRule="auto"/>
                    <w:ind w:left="421"/>
                    <w:rPr>
                      <w:sz w:val="22"/>
                      <w:szCs w:val="22"/>
                    </w:rPr>
                  </w:pPr>
                  <w:r>
                    <w:rPr>
                      <w:spacing w:val="-4"/>
                      <w:sz w:val="22"/>
                      <w:szCs w:val="22"/>
                    </w:rPr>
                    <w:t>汽油</w:t>
                  </w:r>
                </w:p>
              </w:tc>
              <w:tc>
                <w:tcPr>
                  <w:tcW w:w="985" w:type="dxa"/>
                  <w:vAlign w:val="top"/>
                </w:tcPr>
                <w:p w14:paraId="6895333F">
                  <w:pPr>
                    <w:rPr>
                      <w:rFonts w:ascii="Arial"/>
                      <w:sz w:val="21"/>
                    </w:rPr>
                  </w:pPr>
                </w:p>
              </w:tc>
              <w:tc>
                <w:tcPr>
                  <w:tcW w:w="1220" w:type="dxa"/>
                  <w:vAlign w:val="top"/>
                </w:tcPr>
                <w:p w14:paraId="2DFFC40C">
                  <w:pPr>
                    <w:spacing w:before="91" w:line="189" w:lineRule="auto"/>
                    <w:ind w:left="41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21.6</w:t>
                  </w:r>
                </w:p>
              </w:tc>
              <w:tc>
                <w:tcPr>
                  <w:tcW w:w="910" w:type="dxa"/>
                  <w:vAlign w:val="top"/>
                </w:tcPr>
                <w:p w14:paraId="3905FBE1">
                  <w:pPr>
                    <w:spacing w:before="91" w:line="189" w:lineRule="auto"/>
                    <w:ind w:left="23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2500</w:t>
                  </w:r>
                </w:p>
              </w:tc>
              <w:tc>
                <w:tcPr>
                  <w:tcW w:w="1030" w:type="dxa"/>
                  <w:vAlign w:val="top"/>
                </w:tcPr>
                <w:p w14:paraId="5D95E7FE">
                  <w:pPr>
                    <w:spacing w:before="91" w:line="189" w:lineRule="auto"/>
                    <w:ind w:left="16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0.00864</w:t>
                  </w:r>
                </w:p>
              </w:tc>
            </w:tr>
            <w:tr w14:paraId="5E4A4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518" w:type="dxa"/>
                  <w:vAlign w:val="top"/>
                </w:tcPr>
                <w:p w14:paraId="634EB775">
                  <w:pPr>
                    <w:spacing w:before="91" w:line="189" w:lineRule="auto"/>
                    <w:ind w:left="203"/>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2003" w:type="dxa"/>
                  <w:vAlign w:val="top"/>
                </w:tcPr>
                <w:p w14:paraId="5B08AB9C">
                  <w:pPr>
                    <w:pStyle w:val="6"/>
                    <w:spacing w:before="56" w:line="200" w:lineRule="auto"/>
                    <w:ind w:left="334"/>
                    <w:rPr>
                      <w:sz w:val="22"/>
                      <w:szCs w:val="22"/>
                    </w:rPr>
                  </w:pPr>
                  <w:r>
                    <w:rPr>
                      <w:spacing w:val="-1"/>
                      <w:sz w:val="22"/>
                      <w:szCs w:val="22"/>
                    </w:rPr>
                    <w:t>柴油（</w:t>
                  </w:r>
                  <w:r>
                    <w:rPr>
                      <w:rFonts w:ascii="Times New Roman" w:hAnsi="Times New Roman" w:eastAsia="Times New Roman" w:cs="Times New Roman"/>
                      <w:spacing w:val="-1"/>
                      <w:sz w:val="22"/>
                      <w:szCs w:val="22"/>
                    </w:rPr>
                    <w:t>200L</w:t>
                  </w:r>
                  <w:r>
                    <w:rPr>
                      <w:spacing w:val="-1"/>
                      <w:sz w:val="22"/>
                      <w:szCs w:val="22"/>
                    </w:rPr>
                    <w:t>）</w:t>
                  </w:r>
                </w:p>
              </w:tc>
              <w:tc>
                <w:tcPr>
                  <w:tcW w:w="1274" w:type="dxa"/>
                  <w:vAlign w:val="top"/>
                </w:tcPr>
                <w:p w14:paraId="52AAD039">
                  <w:pPr>
                    <w:pStyle w:val="6"/>
                    <w:spacing w:before="56" w:line="200" w:lineRule="auto"/>
                    <w:ind w:left="421"/>
                    <w:rPr>
                      <w:sz w:val="22"/>
                      <w:szCs w:val="22"/>
                    </w:rPr>
                  </w:pPr>
                  <w:r>
                    <w:rPr>
                      <w:spacing w:val="-4"/>
                      <w:sz w:val="22"/>
                      <w:szCs w:val="22"/>
                    </w:rPr>
                    <w:t>柴油</w:t>
                  </w:r>
                </w:p>
              </w:tc>
              <w:tc>
                <w:tcPr>
                  <w:tcW w:w="985" w:type="dxa"/>
                  <w:vAlign w:val="top"/>
                </w:tcPr>
                <w:p w14:paraId="0FE67EBE">
                  <w:pPr>
                    <w:spacing w:before="87" w:line="193" w:lineRule="auto"/>
                    <w:ind w:left="45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20" w:type="dxa"/>
                  <w:vAlign w:val="top"/>
                </w:tcPr>
                <w:p w14:paraId="00397703">
                  <w:pPr>
                    <w:spacing w:before="91" w:line="189" w:lineRule="auto"/>
                    <w:ind w:left="36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0.178</w:t>
                  </w:r>
                </w:p>
              </w:tc>
              <w:tc>
                <w:tcPr>
                  <w:tcW w:w="910" w:type="dxa"/>
                  <w:vAlign w:val="top"/>
                </w:tcPr>
                <w:p w14:paraId="6CFA9223">
                  <w:pPr>
                    <w:spacing w:before="91" w:line="189" w:lineRule="auto"/>
                    <w:ind w:left="23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2500</w:t>
                  </w:r>
                </w:p>
              </w:tc>
              <w:tc>
                <w:tcPr>
                  <w:tcW w:w="1030" w:type="dxa"/>
                  <w:vAlign w:val="top"/>
                </w:tcPr>
                <w:p w14:paraId="7B23376C">
                  <w:pPr>
                    <w:spacing w:before="91" w:line="189" w:lineRule="auto"/>
                    <w:ind w:left="16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0.00007</w:t>
                  </w:r>
                </w:p>
              </w:tc>
            </w:tr>
            <w:tr w14:paraId="4675C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518" w:type="dxa"/>
                  <w:vAlign w:val="top"/>
                </w:tcPr>
                <w:p w14:paraId="0384527E">
                  <w:pPr>
                    <w:spacing w:before="245" w:line="186" w:lineRule="auto"/>
                    <w:ind w:left="210"/>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2003" w:type="dxa"/>
                  <w:vAlign w:val="top"/>
                </w:tcPr>
                <w:p w14:paraId="67C94AC8">
                  <w:pPr>
                    <w:pStyle w:val="6"/>
                    <w:spacing w:before="204" w:line="220" w:lineRule="auto"/>
                    <w:ind w:left="459"/>
                    <w:rPr>
                      <w:sz w:val="22"/>
                      <w:szCs w:val="22"/>
                    </w:rPr>
                  </w:pPr>
                  <w:r>
                    <w:rPr>
                      <w:spacing w:val="-2"/>
                      <w:sz w:val="22"/>
                      <w:szCs w:val="22"/>
                    </w:rPr>
                    <w:t>危废贮存点</w:t>
                  </w:r>
                </w:p>
              </w:tc>
              <w:tc>
                <w:tcPr>
                  <w:tcW w:w="1274" w:type="dxa"/>
                  <w:vAlign w:val="top"/>
                </w:tcPr>
                <w:p w14:paraId="1C7616B4">
                  <w:pPr>
                    <w:pStyle w:val="6"/>
                    <w:spacing w:before="55" w:line="226" w:lineRule="auto"/>
                    <w:ind w:left="420" w:right="196" w:hanging="216"/>
                    <w:rPr>
                      <w:sz w:val="22"/>
                      <w:szCs w:val="22"/>
                    </w:rPr>
                  </w:pPr>
                  <w:r>
                    <w:rPr>
                      <w:spacing w:val="-3"/>
                      <w:sz w:val="22"/>
                      <w:szCs w:val="22"/>
                    </w:rPr>
                    <w:t>设备检修废物</w:t>
                  </w:r>
                </w:p>
              </w:tc>
              <w:tc>
                <w:tcPr>
                  <w:tcW w:w="985" w:type="dxa"/>
                  <w:vAlign w:val="top"/>
                </w:tcPr>
                <w:p w14:paraId="0F216579">
                  <w:pPr>
                    <w:spacing w:before="238" w:line="193" w:lineRule="auto"/>
                    <w:ind w:left="45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20" w:type="dxa"/>
                  <w:vAlign w:val="top"/>
                </w:tcPr>
                <w:p w14:paraId="7E7ED6ED">
                  <w:pPr>
                    <w:spacing w:before="242" w:line="189" w:lineRule="auto"/>
                    <w:ind w:left="47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0.4</w:t>
                  </w:r>
                </w:p>
              </w:tc>
              <w:tc>
                <w:tcPr>
                  <w:tcW w:w="910" w:type="dxa"/>
                  <w:vAlign w:val="top"/>
                </w:tcPr>
                <w:p w14:paraId="28A1A42B">
                  <w:pPr>
                    <w:spacing w:before="242" w:line="189" w:lineRule="auto"/>
                    <w:ind w:left="35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1030" w:type="dxa"/>
                  <w:vAlign w:val="top"/>
                </w:tcPr>
                <w:p w14:paraId="1FB1CD06">
                  <w:pPr>
                    <w:spacing w:before="242" w:line="189" w:lineRule="auto"/>
                    <w:ind w:left="27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0.008</w:t>
                  </w:r>
                </w:p>
              </w:tc>
            </w:tr>
            <w:tr w14:paraId="1310C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6910" w:type="dxa"/>
                  <w:gridSpan w:val="6"/>
                  <w:vAlign w:val="top"/>
                </w:tcPr>
                <w:p w14:paraId="31DF0B89">
                  <w:pPr>
                    <w:pStyle w:val="6"/>
                    <w:spacing w:before="55" w:line="204" w:lineRule="auto"/>
                    <w:ind w:left="2993"/>
                    <w:rPr>
                      <w:rFonts w:ascii="Times New Roman" w:hAnsi="Times New Roman" w:eastAsia="Times New Roman" w:cs="Times New Roman"/>
                      <w:sz w:val="22"/>
                      <w:szCs w:val="22"/>
                    </w:rPr>
                  </w:pPr>
                  <w:r>
                    <w:rPr>
                      <w:spacing w:val="-3"/>
                      <w:sz w:val="22"/>
                      <w:szCs w:val="22"/>
                    </w:rPr>
                    <w:t>项目</w:t>
                  </w:r>
                  <w:r>
                    <w:rPr>
                      <w:rFonts w:ascii="Times New Roman" w:hAnsi="Times New Roman" w:eastAsia="Times New Roman" w:cs="Times New Roman"/>
                      <w:spacing w:val="-3"/>
                      <w:sz w:val="22"/>
                      <w:szCs w:val="22"/>
                    </w:rPr>
                    <w:t>Q</w:t>
                  </w:r>
                  <w:r>
                    <w:rPr>
                      <w:spacing w:val="-3"/>
                      <w:sz w:val="22"/>
                      <w:szCs w:val="22"/>
                    </w:rPr>
                    <w:t>值</w:t>
                  </w:r>
                  <w:r>
                    <w:rPr>
                      <w:rFonts w:ascii="Times New Roman" w:hAnsi="Times New Roman" w:eastAsia="Times New Roman" w:cs="Times New Roman"/>
                      <w:spacing w:val="-3"/>
                      <w:sz w:val="22"/>
                      <w:szCs w:val="22"/>
                    </w:rPr>
                    <w:t>Σ</w:t>
                  </w:r>
                </w:p>
              </w:tc>
              <w:tc>
                <w:tcPr>
                  <w:tcW w:w="1030" w:type="dxa"/>
                  <w:vAlign w:val="top"/>
                </w:tcPr>
                <w:p w14:paraId="6EA59185">
                  <w:pPr>
                    <w:spacing w:before="92" w:line="189" w:lineRule="auto"/>
                    <w:ind w:left="16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0.03399</w:t>
                  </w:r>
                </w:p>
              </w:tc>
            </w:tr>
          </w:tbl>
          <w:p w14:paraId="2282028E">
            <w:pPr>
              <w:pStyle w:val="6"/>
              <w:spacing w:before="32" w:line="220" w:lineRule="auto"/>
              <w:ind w:left="107"/>
              <w:rPr>
                <w:sz w:val="22"/>
                <w:szCs w:val="22"/>
              </w:rPr>
            </w:pPr>
            <w:r>
              <w:rPr>
                <w:sz w:val="22"/>
                <w:szCs w:val="22"/>
              </w:rPr>
              <w:t>注</w:t>
            </w:r>
            <w:r>
              <w:rPr>
                <w:rFonts w:ascii="Times New Roman" w:hAnsi="Times New Roman" w:eastAsia="Times New Roman" w:cs="Times New Roman"/>
                <w:sz w:val="22"/>
                <w:szCs w:val="22"/>
              </w:rPr>
              <w:t>:“*”</w:t>
            </w:r>
            <w:r>
              <w:rPr>
                <w:sz w:val="22"/>
                <w:szCs w:val="22"/>
              </w:rPr>
              <w:t>表示参照健康危险急性毒性物质（类别</w:t>
            </w:r>
            <w:r>
              <w:rPr>
                <w:spacing w:val="-45"/>
                <w:sz w:val="22"/>
                <w:szCs w:val="22"/>
              </w:rPr>
              <w:t xml:space="preserve"> </w:t>
            </w:r>
            <w:r>
              <w:rPr>
                <w:rFonts w:ascii="Times New Roman" w:hAnsi="Times New Roman" w:eastAsia="Times New Roman" w:cs="Times New Roman"/>
                <w:sz w:val="22"/>
                <w:szCs w:val="22"/>
              </w:rPr>
              <w:t>2</w:t>
            </w:r>
            <w:r>
              <w:rPr>
                <w:rFonts w:ascii="Times New Roman" w:hAnsi="Times New Roman" w:eastAsia="Times New Roman" w:cs="Times New Roman"/>
                <w:spacing w:val="-29"/>
                <w:sz w:val="22"/>
                <w:szCs w:val="22"/>
              </w:rPr>
              <w:t xml:space="preserve"> </w:t>
            </w:r>
            <w:r>
              <w:rPr>
                <w:sz w:val="22"/>
                <w:szCs w:val="22"/>
              </w:rPr>
              <w:t>，类别</w:t>
            </w:r>
            <w:r>
              <w:rPr>
                <w:rFonts w:ascii="Times New Roman" w:hAnsi="Times New Roman" w:eastAsia="Times New Roman" w:cs="Times New Roman"/>
                <w:sz w:val="22"/>
                <w:szCs w:val="22"/>
              </w:rPr>
              <w:t>3</w:t>
            </w:r>
            <w:r>
              <w:rPr>
                <w:sz w:val="22"/>
                <w:szCs w:val="22"/>
              </w:rPr>
              <w:t>）临界量</w:t>
            </w:r>
            <w:r>
              <w:rPr>
                <w:spacing w:val="-44"/>
                <w:sz w:val="22"/>
                <w:szCs w:val="22"/>
              </w:rPr>
              <w:t xml:space="preserve"> </w:t>
            </w:r>
            <w:r>
              <w:rPr>
                <w:rFonts w:ascii="Times New Roman" w:hAnsi="Times New Roman" w:eastAsia="Times New Roman" w:cs="Times New Roman"/>
                <w:sz w:val="22"/>
                <w:szCs w:val="22"/>
              </w:rPr>
              <w:t>50t</w:t>
            </w:r>
            <w:r>
              <w:rPr>
                <w:sz w:val="22"/>
                <w:szCs w:val="22"/>
              </w:rPr>
              <w:t>。</w:t>
            </w:r>
          </w:p>
          <w:p w14:paraId="5A7F262E">
            <w:pPr>
              <w:pStyle w:val="6"/>
              <w:spacing w:before="91" w:line="346" w:lineRule="auto"/>
              <w:ind w:left="110" w:right="103" w:firstLine="520"/>
              <w:jc w:val="both"/>
            </w:pPr>
            <w:r>
              <w:rPr>
                <w:spacing w:val="5"/>
              </w:rPr>
              <w:t>经计算，</w:t>
            </w:r>
            <w:r>
              <w:rPr>
                <w:rFonts w:ascii="Times New Roman" w:hAnsi="Times New Roman" w:eastAsia="Times New Roman" w:cs="Times New Roman"/>
                <w:spacing w:val="5"/>
              </w:rPr>
              <w:t>Q=0.03399</w:t>
            </w:r>
            <w:r>
              <w:rPr>
                <w:spacing w:val="5"/>
              </w:rPr>
              <w:t>＜</w:t>
            </w:r>
            <w:r>
              <w:rPr>
                <w:rFonts w:ascii="Times New Roman" w:hAnsi="Times New Roman" w:eastAsia="Times New Roman" w:cs="Times New Roman"/>
                <w:spacing w:val="5"/>
              </w:rPr>
              <w:t>1</w:t>
            </w:r>
            <w:r>
              <w:rPr>
                <w:rFonts w:ascii="Times New Roman" w:hAnsi="Times New Roman" w:eastAsia="Times New Roman" w:cs="Times New Roman"/>
                <w:spacing w:val="-26"/>
              </w:rPr>
              <w:t xml:space="preserve"> </w:t>
            </w:r>
            <w:r>
              <w:rPr>
                <w:spacing w:val="5"/>
              </w:rPr>
              <w:t>，该项目环境风险潜势为</w:t>
            </w:r>
            <w:r>
              <w:rPr>
                <w:rFonts w:ascii="Times New Roman" w:hAnsi="Times New Roman" w:eastAsia="Times New Roman" w:cs="Times New Roman"/>
                <w:spacing w:val="5"/>
              </w:rPr>
              <w:t>Ⅰ</w:t>
            </w:r>
            <w:r>
              <w:rPr>
                <w:rFonts w:ascii="Times New Roman" w:hAnsi="Times New Roman" w:eastAsia="Times New Roman" w:cs="Times New Roman"/>
                <w:spacing w:val="-31"/>
              </w:rPr>
              <w:t xml:space="preserve"> </w:t>
            </w:r>
            <w:r>
              <w:rPr>
                <w:spacing w:val="5"/>
              </w:rPr>
              <w:t>,</w:t>
            </w:r>
            <w:r>
              <w:rPr>
                <w:spacing w:val="79"/>
              </w:rPr>
              <w:t xml:space="preserve"> </w:t>
            </w:r>
            <w:r>
              <w:rPr>
                <w:spacing w:val="5"/>
              </w:rPr>
              <w:t>故不再进行所</w:t>
            </w:r>
            <w:r>
              <w:rPr>
                <w:spacing w:val="8"/>
              </w:rPr>
              <w:t>属行业及生产工艺特点（</w:t>
            </w:r>
            <w:r>
              <w:rPr>
                <w:rFonts w:ascii="Times New Roman" w:hAnsi="Times New Roman" w:eastAsia="Times New Roman" w:cs="Times New Roman"/>
                <w:spacing w:val="8"/>
              </w:rPr>
              <w:t xml:space="preserve">M </w:t>
            </w:r>
            <w:r>
              <w:rPr>
                <w:spacing w:val="8"/>
              </w:rPr>
              <w:t>值）、危险物质及工艺系统危险性（</w:t>
            </w:r>
            <w:r>
              <w:rPr>
                <w:rFonts w:ascii="Times New Roman" w:hAnsi="Times New Roman" w:eastAsia="Times New Roman" w:cs="Times New Roman"/>
                <w:spacing w:val="8"/>
              </w:rPr>
              <w:t>P</w:t>
            </w:r>
            <w:r>
              <w:rPr>
                <w:spacing w:val="8"/>
              </w:rPr>
              <w:t>）分级判定，本次评价简单分析即可。</w:t>
            </w:r>
          </w:p>
          <w:p w14:paraId="203F19F7">
            <w:pPr>
              <w:pStyle w:val="6"/>
              <w:spacing w:before="20" w:line="226" w:lineRule="auto"/>
              <w:ind w:left="623"/>
            </w:pPr>
            <w:r>
              <w:rPr>
                <w:rFonts w:ascii="Times New Roman" w:hAnsi="Times New Roman" w:eastAsia="Times New Roman" w:cs="Times New Roman"/>
                <w:spacing w:val="6"/>
              </w:rPr>
              <w:t xml:space="preserve">4.2.6.3 </w:t>
            </w:r>
            <w:r>
              <w:rPr>
                <w:spacing w:val="6"/>
              </w:rPr>
              <w:t>风险影响途径</w:t>
            </w:r>
          </w:p>
          <w:p w14:paraId="50F79312">
            <w:pPr>
              <w:pStyle w:val="6"/>
              <w:spacing w:before="151" w:line="340" w:lineRule="auto"/>
              <w:ind w:left="107" w:firstLine="519"/>
            </w:pPr>
            <w:r>
              <w:rPr>
                <w:spacing w:val="1"/>
              </w:rPr>
              <w:t>项目风险主要为油品运输及油罐区储存期间</w:t>
            </w:r>
            <w:r>
              <w:t>的溢油（跑、冒、漏）、</w:t>
            </w:r>
            <w:r>
              <w:rPr>
                <w:spacing w:val="3"/>
              </w:rPr>
              <w:t>火灾爆炸风险，其中油品运输由资质单位实施，因此本次评</w:t>
            </w:r>
            <w:r>
              <w:rPr>
                <w:spacing w:val="2"/>
              </w:rPr>
              <w:t>价不分析运</w:t>
            </w:r>
            <w:r>
              <w:rPr>
                <w:spacing w:val="5"/>
              </w:rPr>
              <w:t>输过程中的环境风险。</w:t>
            </w:r>
          </w:p>
          <w:p w14:paraId="55114733">
            <w:pPr>
              <w:pStyle w:val="6"/>
              <w:spacing w:before="1" w:line="225" w:lineRule="auto"/>
              <w:ind w:left="633"/>
            </w:pPr>
            <w:r>
              <w:rPr>
                <w:spacing w:val="6"/>
              </w:rPr>
              <w:t>项目主要环境风险见下表</w:t>
            </w:r>
            <w:r>
              <w:rPr>
                <w:spacing w:val="-49"/>
              </w:rPr>
              <w:t xml:space="preserve"> </w:t>
            </w:r>
            <w:r>
              <w:rPr>
                <w:rFonts w:ascii="Times New Roman" w:hAnsi="Times New Roman" w:eastAsia="Times New Roman" w:cs="Times New Roman"/>
                <w:spacing w:val="6"/>
              </w:rPr>
              <w:t>4.2-22</w:t>
            </w:r>
            <w:r>
              <w:rPr>
                <w:spacing w:val="6"/>
              </w:rPr>
              <w:t>。</w:t>
            </w:r>
          </w:p>
          <w:p w14:paraId="4E87FB66">
            <w:pPr>
              <w:pStyle w:val="6"/>
              <w:spacing w:before="155" w:line="225" w:lineRule="auto"/>
              <w:ind w:left="2022"/>
            </w:pPr>
            <w:r>
              <w:rPr>
                <w:spacing w:val="6"/>
              </w:rPr>
              <w:t>表</w:t>
            </w:r>
            <w:r>
              <w:rPr>
                <w:spacing w:val="-50"/>
              </w:rPr>
              <w:t xml:space="preserve"> </w:t>
            </w:r>
            <w:r>
              <w:rPr>
                <w:rFonts w:ascii="Times New Roman" w:hAnsi="Times New Roman" w:eastAsia="Times New Roman" w:cs="Times New Roman"/>
                <w:spacing w:val="6"/>
              </w:rPr>
              <w:t xml:space="preserve">4.2-22    </w:t>
            </w:r>
            <w:r>
              <w:rPr>
                <w:spacing w:val="6"/>
              </w:rPr>
              <w:t>本项目主要环境风险特征</w:t>
            </w:r>
          </w:p>
          <w:p w14:paraId="03DB4EC5">
            <w:pPr>
              <w:spacing w:line="100" w:lineRule="auto"/>
              <w:rPr>
                <w:rFonts w:ascii="Arial"/>
                <w:sz w:val="2"/>
              </w:rPr>
            </w:pPr>
          </w:p>
          <w:tbl>
            <w:tblPr>
              <w:tblStyle w:val="5"/>
              <w:tblW w:w="7940"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1"/>
              <w:gridCol w:w="1461"/>
              <w:gridCol w:w="2522"/>
              <w:gridCol w:w="3226"/>
            </w:tblGrid>
            <w:tr w14:paraId="53878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731" w:type="dxa"/>
                  <w:vAlign w:val="top"/>
                </w:tcPr>
                <w:p w14:paraId="1674D109">
                  <w:pPr>
                    <w:pStyle w:val="6"/>
                    <w:spacing w:before="55" w:line="204" w:lineRule="auto"/>
                    <w:ind w:left="150"/>
                    <w:rPr>
                      <w:sz w:val="22"/>
                      <w:szCs w:val="22"/>
                    </w:rPr>
                  </w:pPr>
                  <w:r>
                    <w:rPr>
                      <w:spacing w:val="-3"/>
                      <w:sz w:val="22"/>
                      <w:szCs w:val="22"/>
                    </w:rPr>
                    <w:t>序号</w:t>
                  </w:r>
                </w:p>
              </w:tc>
              <w:tc>
                <w:tcPr>
                  <w:tcW w:w="1461" w:type="dxa"/>
                  <w:vAlign w:val="top"/>
                </w:tcPr>
                <w:p w14:paraId="5FB673ED">
                  <w:pPr>
                    <w:pStyle w:val="6"/>
                    <w:spacing w:before="55" w:line="204" w:lineRule="auto"/>
                    <w:ind w:left="297"/>
                    <w:rPr>
                      <w:sz w:val="22"/>
                      <w:szCs w:val="22"/>
                    </w:rPr>
                  </w:pPr>
                  <w:r>
                    <w:rPr>
                      <w:spacing w:val="-3"/>
                      <w:sz w:val="22"/>
                      <w:szCs w:val="22"/>
                    </w:rPr>
                    <w:t>风险类型</w:t>
                  </w:r>
                </w:p>
              </w:tc>
              <w:tc>
                <w:tcPr>
                  <w:tcW w:w="2522" w:type="dxa"/>
                  <w:vAlign w:val="top"/>
                </w:tcPr>
                <w:p w14:paraId="2FCEC20E">
                  <w:pPr>
                    <w:pStyle w:val="6"/>
                    <w:spacing w:before="55" w:line="204" w:lineRule="auto"/>
                    <w:ind w:left="1050"/>
                    <w:rPr>
                      <w:sz w:val="22"/>
                      <w:szCs w:val="22"/>
                    </w:rPr>
                  </w:pPr>
                  <w:r>
                    <w:rPr>
                      <w:spacing w:val="-5"/>
                      <w:sz w:val="22"/>
                      <w:szCs w:val="22"/>
                    </w:rPr>
                    <w:t>危害</w:t>
                  </w:r>
                </w:p>
              </w:tc>
              <w:tc>
                <w:tcPr>
                  <w:tcW w:w="3226" w:type="dxa"/>
                  <w:vAlign w:val="top"/>
                </w:tcPr>
                <w:p w14:paraId="159E981E">
                  <w:pPr>
                    <w:pStyle w:val="6"/>
                    <w:spacing w:before="55" w:line="204" w:lineRule="auto"/>
                    <w:ind w:left="1183"/>
                    <w:rPr>
                      <w:sz w:val="22"/>
                      <w:szCs w:val="22"/>
                    </w:rPr>
                  </w:pPr>
                  <w:r>
                    <w:rPr>
                      <w:spacing w:val="-4"/>
                      <w:sz w:val="22"/>
                      <w:szCs w:val="22"/>
                    </w:rPr>
                    <w:t>原因分析</w:t>
                  </w:r>
                </w:p>
              </w:tc>
            </w:tr>
            <w:tr w14:paraId="245B5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2" w:hRule="atLeast"/>
              </w:trPr>
              <w:tc>
                <w:tcPr>
                  <w:tcW w:w="731" w:type="dxa"/>
                  <w:vAlign w:val="top"/>
                </w:tcPr>
                <w:p w14:paraId="46BD2146">
                  <w:pPr>
                    <w:spacing w:line="472" w:lineRule="auto"/>
                    <w:rPr>
                      <w:rFonts w:ascii="Arial"/>
                      <w:sz w:val="21"/>
                    </w:rPr>
                  </w:pPr>
                </w:p>
                <w:p w14:paraId="00860366">
                  <w:pPr>
                    <w:spacing w:before="63" w:line="189" w:lineRule="auto"/>
                    <w:ind w:left="334"/>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461" w:type="dxa"/>
                  <w:vAlign w:val="top"/>
                </w:tcPr>
                <w:p w14:paraId="0A6032C1">
                  <w:pPr>
                    <w:spacing w:line="278" w:lineRule="auto"/>
                    <w:rPr>
                      <w:rFonts w:ascii="Arial"/>
                      <w:sz w:val="21"/>
                    </w:rPr>
                  </w:pPr>
                </w:p>
                <w:p w14:paraId="1EE94BEC">
                  <w:pPr>
                    <w:pStyle w:val="6"/>
                    <w:spacing w:before="71" w:line="221" w:lineRule="auto"/>
                    <w:jc w:val="right"/>
                    <w:rPr>
                      <w:sz w:val="22"/>
                      <w:szCs w:val="22"/>
                    </w:rPr>
                  </w:pPr>
                  <w:r>
                    <w:rPr>
                      <w:spacing w:val="-33"/>
                      <w:sz w:val="22"/>
                      <w:szCs w:val="22"/>
                    </w:rPr>
                    <w:t>溢油（跑、冒、</w:t>
                  </w:r>
                </w:p>
                <w:p w14:paraId="382B9E6A">
                  <w:pPr>
                    <w:pStyle w:val="6"/>
                    <w:spacing w:before="36" w:line="222" w:lineRule="auto"/>
                    <w:ind w:left="514"/>
                    <w:rPr>
                      <w:sz w:val="22"/>
                      <w:szCs w:val="22"/>
                    </w:rPr>
                  </w:pPr>
                  <w:r>
                    <w:rPr>
                      <w:spacing w:val="-4"/>
                      <w:sz w:val="22"/>
                      <w:szCs w:val="22"/>
                    </w:rPr>
                    <w:t>漏）</w:t>
                  </w:r>
                </w:p>
              </w:tc>
              <w:tc>
                <w:tcPr>
                  <w:tcW w:w="2522" w:type="dxa"/>
                  <w:vAlign w:val="top"/>
                </w:tcPr>
                <w:p w14:paraId="20A34F89">
                  <w:pPr>
                    <w:pStyle w:val="6"/>
                    <w:spacing w:before="51" w:line="220" w:lineRule="auto"/>
                    <w:ind w:left="718"/>
                    <w:rPr>
                      <w:sz w:val="22"/>
                      <w:szCs w:val="22"/>
                    </w:rPr>
                  </w:pPr>
                  <w:r>
                    <w:rPr>
                      <w:spacing w:val="-2"/>
                      <w:sz w:val="22"/>
                      <w:szCs w:val="22"/>
                    </w:rPr>
                    <w:t>污染地表水</w:t>
                  </w:r>
                </w:p>
                <w:p w14:paraId="4B09311C">
                  <w:pPr>
                    <w:pStyle w:val="6"/>
                    <w:spacing w:before="37" w:line="235" w:lineRule="auto"/>
                    <w:ind w:left="608" w:right="599" w:firstLine="110"/>
                    <w:jc w:val="both"/>
                    <w:rPr>
                      <w:sz w:val="22"/>
                      <w:szCs w:val="22"/>
                    </w:rPr>
                  </w:pPr>
                  <w:r>
                    <w:rPr>
                      <w:spacing w:val="-2"/>
                      <w:sz w:val="22"/>
                      <w:szCs w:val="22"/>
                    </w:rPr>
                    <w:t>污染地下水引起火灾爆炸污染环境空气</w:t>
                  </w:r>
                </w:p>
              </w:tc>
              <w:tc>
                <w:tcPr>
                  <w:tcW w:w="3226" w:type="dxa"/>
                  <w:vAlign w:val="top"/>
                </w:tcPr>
                <w:p w14:paraId="14A21B1D">
                  <w:pPr>
                    <w:pStyle w:val="6"/>
                    <w:spacing w:before="51" w:line="220" w:lineRule="auto"/>
                    <w:ind w:left="118"/>
                    <w:rPr>
                      <w:sz w:val="22"/>
                      <w:szCs w:val="22"/>
                    </w:rPr>
                  </w:pPr>
                  <w:r>
                    <w:rPr>
                      <w:spacing w:val="-6"/>
                      <w:sz w:val="22"/>
                      <w:szCs w:val="22"/>
                    </w:rPr>
                    <w:t>油罐及泵、管道破损阀门壳、盖</w:t>
                  </w:r>
                </w:p>
                <w:p w14:paraId="7147C6F6">
                  <w:pPr>
                    <w:pStyle w:val="6"/>
                    <w:spacing w:before="37" w:line="220" w:lineRule="auto"/>
                    <w:ind w:left="190"/>
                    <w:rPr>
                      <w:sz w:val="22"/>
                      <w:szCs w:val="22"/>
                    </w:rPr>
                  </w:pPr>
                  <w:r>
                    <w:rPr>
                      <w:spacing w:val="-1"/>
                      <w:sz w:val="22"/>
                      <w:szCs w:val="22"/>
                    </w:rPr>
                    <w:t>孔泄露或阀杆损坏油罐及管道</w:t>
                  </w:r>
                </w:p>
                <w:p w14:paraId="6A8181D3">
                  <w:pPr>
                    <w:pStyle w:val="6"/>
                    <w:spacing w:before="37" w:line="220" w:lineRule="auto"/>
                    <w:ind w:left="119"/>
                    <w:rPr>
                      <w:sz w:val="22"/>
                      <w:szCs w:val="22"/>
                    </w:rPr>
                  </w:pPr>
                  <w:r>
                    <w:rPr>
                      <w:spacing w:val="-1"/>
                      <w:sz w:val="22"/>
                      <w:szCs w:val="22"/>
                    </w:rPr>
                    <w:t>受腐蚀油罐液泛、突沸、渗漏、</w:t>
                  </w:r>
                </w:p>
                <w:p w14:paraId="2BE22E07">
                  <w:pPr>
                    <w:pStyle w:val="6"/>
                    <w:spacing w:before="37" w:line="202" w:lineRule="auto"/>
                    <w:ind w:left="1177"/>
                    <w:rPr>
                      <w:sz w:val="22"/>
                      <w:szCs w:val="22"/>
                    </w:rPr>
                  </w:pPr>
                  <w:r>
                    <w:rPr>
                      <w:spacing w:val="-2"/>
                      <w:sz w:val="22"/>
                      <w:szCs w:val="22"/>
                    </w:rPr>
                    <w:t>操作错误</w:t>
                  </w:r>
                </w:p>
              </w:tc>
            </w:tr>
            <w:tr w14:paraId="25F1E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731" w:type="dxa"/>
                  <w:vAlign w:val="top"/>
                </w:tcPr>
                <w:p w14:paraId="37649C08">
                  <w:pPr>
                    <w:spacing w:line="327" w:lineRule="auto"/>
                    <w:rPr>
                      <w:rFonts w:ascii="Arial"/>
                      <w:sz w:val="21"/>
                    </w:rPr>
                  </w:pPr>
                </w:p>
                <w:p w14:paraId="01235CC4">
                  <w:pPr>
                    <w:spacing w:before="63" w:line="189" w:lineRule="auto"/>
                    <w:ind w:left="312"/>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461" w:type="dxa"/>
                  <w:vAlign w:val="top"/>
                </w:tcPr>
                <w:p w14:paraId="602217E3">
                  <w:pPr>
                    <w:spacing w:line="280" w:lineRule="auto"/>
                    <w:rPr>
                      <w:rFonts w:ascii="Arial"/>
                      <w:sz w:val="21"/>
                    </w:rPr>
                  </w:pPr>
                </w:p>
                <w:p w14:paraId="01BC2BC7">
                  <w:pPr>
                    <w:pStyle w:val="6"/>
                    <w:spacing w:before="72" w:line="219" w:lineRule="auto"/>
                    <w:ind w:left="297"/>
                    <w:rPr>
                      <w:sz w:val="22"/>
                      <w:szCs w:val="22"/>
                    </w:rPr>
                  </w:pPr>
                  <w:r>
                    <w:rPr>
                      <w:spacing w:val="-3"/>
                      <w:sz w:val="22"/>
                      <w:szCs w:val="22"/>
                    </w:rPr>
                    <w:t>火灾爆炸</w:t>
                  </w:r>
                </w:p>
              </w:tc>
              <w:tc>
                <w:tcPr>
                  <w:tcW w:w="2522" w:type="dxa"/>
                  <w:vAlign w:val="top"/>
                </w:tcPr>
                <w:p w14:paraId="10C69D7C">
                  <w:pPr>
                    <w:pStyle w:val="6"/>
                    <w:spacing w:before="54" w:line="220" w:lineRule="auto"/>
                    <w:ind w:left="828"/>
                    <w:rPr>
                      <w:sz w:val="22"/>
                      <w:szCs w:val="22"/>
                    </w:rPr>
                  </w:pPr>
                  <w:r>
                    <w:rPr>
                      <w:spacing w:val="-3"/>
                      <w:sz w:val="22"/>
                      <w:szCs w:val="22"/>
                    </w:rPr>
                    <w:t>财产损失</w:t>
                  </w:r>
                </w:p>
                <w:p w14:paraId="37B36107">
                  <w:pPr>
                    <w:pStyle w:val="6"/>
                    <w:spacing w:before="37" w:line="220" w:lineRule="auto"/>
                    <w:ind w:left="828"/>
                    <w:rPr>
                      <w:sz w:val="22"/>
                      <w:szCs w:val="22"/>
                    </w:rPr>
                  </w:pPr>
                  <w:r>
                    <w:rPr>
                      <w:spacing w:val="-3"/>
                      <w:sz w:val="22"/>
                      <w:szCs w:val="22"/>
                    </w:rPr>
                    <w:t>人员伤亡</w:t>
                  </w:r>
                </w:p>
                <w:p w14:paraId="4856057F">
                  <w:pPr>
                    <w:pStyle w:val="6"/>
                    <w:spacing w:before="38" w:line="204" w:lineRule="auto"/>
                    <w:ind w:left="168"/>
                    <w:rPr>
                      <w:sz w:val="22"/>
                      <w:szCs w:val="22"/>
                    </w:rPr>
                  </w:pPr>
                  <w:r>
                    <w:rPr>
                      <w:spacing w:val="-1"/>
                      <w:sz w:val="22"/>
                      <w:szCs w:val="22"/>
                    </w:rPr>
                    <w:t>污染大气环境及水环境</w:t>
                  </w:r>
                </w:p>
              </w:tc>
              <w:tc>
                <w:tcPr>
                  <w:tcW w:w="3226" w:type="dxa"/>
                  <w:vAlign w:val="top"/>
                </w:tcPr>
                <w:p w14:paraId="5E656B1D">
                  <w:pPr>
                    <w:pStyle w:val="6"/>
                    <w:spacing w:before="54" w:line="221" w:lineRule="auto"/>
                    <w:ind w:left="1181"/>
                    <w:rPr>
                      <w:sz w:val="22"/>
                      <w:szCs w:val="22"/>
                    </w:rPr>
                  </w:pPr>
                  <w:r>
                    <w:rPr>
                      <w:spacing w:val="-3"/>
                      <w:sz w:val="22"/>
                      <w:szCs w:val="22"/>
                    </w:rPr>
                    <w:t>油品泄露</w:t>
                  </w:r>
                </w:p>
                <w:p w14:paraId="4AF74FBF">
                  <w:pPr>
                    <w:pStyle w:val="6"/>
                    <w:spacing w:before="37" w:line="219" w:lineRule="auto"/>
                    <w:ind w:left="113"/>
                    <w:rPr>
                      <w:sz w:val="22"/>
                      <w:szCs w:val="22"/>
                    </w:rPr>
                  </w:pPr>
                  <w:r>
                    <w:rPr>
                      <w:spacing w:val="-6"/>
                      <w:sz w:val="22"/>
                      <w:szCs w:val="22"/>
                    </w:rPr>
                    <w:t>存在机械、高温、电器、化学火</w:t>
                  </w:r>
                </w:p>
                <w:p w14:paraId="6AA46718">
                  <w:pPr>
                    <w:pStyle w:val="6"/>
                    <w:spacing w:before="39" w:line="204" w:lineRule="auto"/>
                    <w:ind w:left="1177"/>
                    <w:rPr>
                      <w:sz w:val="22"/>
                      <w:szCs w:val="22"/>
                    </w:rPr>
                  </w:pPr>
                  <w:r>
                    <w:rPr>
                      <w:spacing w:val="-2"/>
                      <w:sz w:val="22"/>
                      <w:szCs w:val="22"/>
                    </w:rPr>
                    <w:t>源、静电</w:t>
                  </w:r>
                </w:p>
              </w:tc>
            </w:tr>
          </w:tbl>
          <w:p w14:paraId="59333111">
            <w:pPr>
              <w:pStyle w:val="6"/>
              <w:spacing w:before="144" w:line="227" w:lineRule="auto"/>
              <w:ind w:left="623"/>
            </w:pPr>
            <w:r>
              <w:rPr>
                <w:rFonts w:ascii="Times New Roman" w:hAnsi="Times New Roman" w:eastAsia="Times New Roman" w:cs="Times New Roman"/>
                <w:spacing w:val="6"/>
              </w:rPr>
              <w:t xml:space="preserve">4.2.6.4 </w:t>
            </w:r>
            <w:r>
              <w:rPr>
                <w:spacing w:val="6"/>
              </w:rPr>
              <w:t>环境风险防范措施</w:t>
            </w:r>
          </w:p>
          <w:p w14:paraId="2A347ECF">
            <w:pPr>
              <w:pStyle w:val="6"/>
              <w:spacing w:before="154" w:line="320" w:lineRule="auto"/>
              <w:ind w:left="107" w:right="32" w:firstLine="521"/>
            </w:pPr>
            <w:r>
              <w:rPr>
                <w:spacing w:val="6"/>
              </w:rPr>
              <w:t>根据现场踏勘，现有工程已建立了风险防控</w:t>
            </w:r>
            <w:r>
              <w:rPr>
                <w:spacing w:val="5"/>
              </w:rPr>
              <w:t>及安全管理制度，定期</w:t>
            </w:r>
            <w:r>
              <w:rPr>
                <w:spacing w:val="8"/>
              </w:rPr>
              <w:t>对工作人员进行消防培训和操作培训，站内设置有高液位声光报警器、</w:t>
            </w:r>
            <w:r>
              <w:rPr>
                <w:spacing w:val="6"/>
              </w:rPr>
              <w:t>可燃气体报警系统、液位仪、油气渗漏在线检测系统、油气回收在线检测系统、液位仪、阻火呼吸阀、阻火通气帽以及避雷、静电消除系统等风险防范措施，本次改扩建后可直接利旧。加油站现状也设置配备有消</w:t>
            </w:r>
          </w:p>
        </w:tc>
      </w:tr>
    </w:tbl>
    <w:p w14:paraId="1B5A2780">
      <w:pPr>
        <w:pStyle w:val="2"/>
        <w:rPr>
          <w:sz w:val="21"/>
        </w:rPr>
      </w:pPr>
    </w:p>
    <w:p w14:paraId="7DBF5E5D">
      <w:pPr>
        <w:rPr>
          <w:sz w:val="21"/>
          <w:szCs w:val="21"/>
        </w:rPr>
        <w:sectPr>
          <w:footerReference r:id="rId99" w:type="default"/>
          <w:pgSz w:w="11907" w:h="16840"/>
          <w:pgMar w:top="400" w:right="1490" w:bottom="1008" w:left="1489" w:header="0" w:footer="770" w:gutter="0"/>
          <w:cols w:space="720" w:num="1"/>
        </w:sectPr>
      </w:pPr>
    </w:p>
    <w:p w14:paraId="122C1AE0">
      <w:pPr>
        <w:spacing w:before="19"/>
      </w:pPr>
    </w:p>
    <w:p w14:paraId="559F5C01">
      <w:pPr>
        <w:spacing w:before="19"/>
      </w:pPr>
    </w:p>
    <w:p w14:paraId="4053A10A">
      <w:pPr>
        <w:spacing w:before="19"/>
      </w:pPr>
    </w:p>
    <w:p w14:paraId="33194479">
      <w:pPr>
        <w:spacing w:before="18"/>
      </w:pPr>
    </w:p>
    <w:p w14:paraId="2EBE634F">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303D1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07" w:hRule="atLeast"/>
        </w:trPr>
        <w:tc>
          <w:tcPr>
            <w:tcW w:w="754" w:type="dxa"/>
            <w:tcBorders>
              <w:right w:val="single" w:color="000000" w:sz="2" w:space="0"/>
            </w:tcBorders>
            <w:vAlign w:val="top"/>
          </w:tcPr>
          <w:p w14:paraId="679822BF">
            <w:pPr>
              <w:rPr>
                <w:rFonts w:ascii="Arial"/>
                <w:sz w:val="21"/>
              </w:rPr>
            </w:pPr>
          </w:p>
        </w:tc>
        <w:tc>
          <w:tcPr>
            <w:tcW w:w="8158" w:type="dxa"/>
            <w:tcBorders>
              <w:left w:val="single" w:color="000000" w:sz="2" w:space="0"/>
            </w:tcBorders>
            <w:vAlign w:val="top"/>
          </w:tcPr>
          <w:p w14:paraId="79A269BF">
            <w:pPr>
              <w:pStyle w:val="6"/>
              <w:spacing w:before="150" w:line="226" w:lineRule="auto"/>
              <w:ind w:left="125"/>
            </w:pPr>
            <w:r>
              <w:rPr>
                <w:spacing w:val="8"/>
              </w:rPr>
              <w:t>防砂池、灭火器，灭火毯等消防措施和警示标牌等。</w:t>
            </w:r>
          </w:p>
          <w:p w14:paraId="19D536FE">
            <w:pPr>
              <w:pStyle w:val="6"/>
              <w:spacing w:before="155" w:line="339" w:lineRule="auto"/>
              <w:ind w:left="109" w:right="103" w:firstLine="520"/>
            </w:pPr>
            <w:r>
              <w:rPr>
                <w:spacing w:val="9"/>
              </w:rPr>
              <w:t>本次改扩建后，站内主要新增</w:t>
            </w:r>
            <w:r>
              <w:rPr>
                <w:rFonts w:ascii="Times New Roman" w:hAnsi="Times New Roman" w:eastAsia="Times New Roman" w:cs="Times New Roman"/>
                <w:spacing w:val="9"/>
              </w:rPr>
              <w:t>98#</w:t>
            </w:r>
            <w:r>
              <w:rPr>
                <w:spacing w:val="9"/>
              </w:rPr>
              <w:t>汽油储罐泄漏风险防范措施，其</w:t>
            </w:r>
            <w:r>
              <w:rPr>
                <w:spacing w:val="8"/>
              </w:rPr>
              <w:t>余措施均可依托采取如下已建环境风险措施：</w:t>
            </w:r>
          </w:p>
          <w:p w14:paraId="733621A9">
            <w:pPr>
              <w:pStyle w:val="6"/>
              <w:spacing w:line="226" w:lineRule="auto"/>
              <w:ind w:left="640"/>
            </w:pPr>
            <w:r>
              <w:rPr>
                <w:spacing w:val="7"/>
              </w:rPr>
              <w:t>（</w:t>
            </w:r>
            <w:r>
              <w:rPr>
                <w:rFonts w:ascii="Times New Roman" w:hAnsi="Times New Roman" w:eastAsia="Times New Roman" w:cs="Times New Roman"/>
                <w:spacing w:val="7"/>
              </w:rPr>
              <w:t>1</w:t>
            </w:r>
            <w:r>
              <w:rPr>
                <w:spacing w:val="7"/>
              </w:rPr>
              <w:t>）泄露风险防范措施</w:t>
            </w:r>
          </w:p>
          <w:p w14:paraId="59229EF9">
            <w:pPr>
              <w:pStyle w:val="6"/>
              <w:spacing w:before="149" w:line="340" w:lineRule="auto"/>
              <w:ind w:left="106" w:right="103" w:firstLine="521"/>
            </w:pPr>
            <w:r>
              <w:rPr>
                <w:spacing w:val="6"/>
              </w:rPr>
              <w:t>①本项目汽油罐和均采用双层钢制罐，满足防</w:t>
            </w:r>
            <w:r>
              <w:rPr>
                <w:spacing w:val="5"/>
              </w:rPr>
              <w:t>渗需求。每个油罐设</w:t>
            </w:r>
            <w:r>
              <w:rPr>
                <w:spacing w:val="8"/>
              </w:rPr>
              <w:t>置通气立管，通气管高出地面大于</w:t>
            </w:r>
            <w:r>
              <w:rPr>
                <w:spacing w:val="-40"/>
              </w:rPr>
              <w:t xml:space="preserve"> </w:t>
            </w:r>
            <w:r>
              <w:rPr>
                <w:rFonts w:ascii="Times New Roman" w:hAnsi="Times New Roman" w:eastAsia="Times New Roman" w:cs="Times New Roman"/>
                <w:spacing w:val="8"/>
              </w:rPr>
              <w:t>4m</w:t>
            </w:r>
            <w:r>
              <w:rPr>
                <w:rFonts w:ascii="Times New Roman" w:hAnsi="Times New Roman" w:eastAsia="Times New Roman" w:cs="Times New Roman"/>
                <w:spacing w:val="-28"/>
              </w:rPr>
              <w:t xml:space="preserve"> </w:t>
            </w:r>
            <w:r>
              <w:rPr>
                <w:spacing w:val="8"/>
              </w:rPr>
              <w:t>，并安装阻火器。油罐人孔操作</w:t>
            </w:r>
            <w:r>
              <w:rPr>
                <w:spacing w:val="6"/>
              </w:rPr>
              <w:t>井、卸油口井、加油机底槽等可能发生油品渗漏的部位，均采用相应的</w:t>
            </w:r>
            <w:r>
              <w:rPr>
                <w:spacing w:val="13"/>
              </w:rPr>
              <w:t>防渗措施。油罐采用取卸油时的防满溢措施，油料达到</w:t>
            </w:r>
            <w:r>
              <w:rPr>
                <w:spacing w:val="12"/>
              </w:rPr>
              <w:t>油罐容量</w:t>
            </w:r>
            <w:r>
              <w:rPr>
                <w:spacing w:val="-45"/>
              </w:rPr>
              <w:t xml:space="preserve"> </w:t>
            </w:r>
            <w:r>
              <w:rPr>
                <w:rFonts w:ascii="Times New Roman" w:hAnsi="Times New Roman" w:eastAsia="Times New Roman" w:cs="Times New Roman"/>
                <w:spacing w:val="12"/>
              </w:rPr>
              <w:t>95%</w:t>
            </w:r>
            <w:r>
              <w:rPr>
                <w:spacing w:val="6"/>
              </w:rPr>
              <w:t>时，触动高液位报警装置，自动停止油料继续进罐。每个油罐各自设置卸油管道和卸油接口，各卸油接口及油气回收接口，有明显的标识，卸</w:t>
            </w:r>
            <w:r>
              <w:rPr>
                <w:spacing w:val="8"/>
              </w:rPr>
              <w:t>油接口装设快速接头及密封盖。</w:t>
            </w:r>
          </w:p>
          <w:p w14:paraId="23AA4E00">
            <w:pPr>
              <w:pStyle w:val="6"/>
              <w:spacing w:before="3" w:line="339" w:lineRule="auto"/>
              <w:ind w:left="110" w:right="103" w:firstLine="516"/>
            </w:pPr>
            <w:r>
              <w:rPr>
                <w:spacing w:val="6"/>
              </w:rPr>
              <w:t>②储油罐设带有高液位报警功能的液位计，避免</w:t>
            </w:r>
            <w:r>
              <w:rPr>
                <w:spacing w:val="5"/>
              </w:rPr>
              <w:t>卸油时计量失误使</w:t>
            </w:r>
            <w:r>
              <w:rPr>
                <w:spacing w:val="6"/>
              </w:rPr>
              <w:t>罐内液位过高造成冒油。卸油时有专人监督和监控设施，若出</w:t>
            </w:r>
            <w:r>
              <w:rPr>
                <w:spacing w:val="5"/>
              </w:rPr>
              <w:t>现泄漏事故，一般可在</w:t>
            </w:r>
            <w:r>
              <w:rPr>
                <w:spacing w:val="-17"/>
              </w:rPr>
              <w:t xml:space="preserve"> </w:t>
            </w:r>
            <w:r>
              <w:rPr>
                <w:rFonts w:ascii="Times New Roman" w:hAnsi="Times New Roman" w:eastAsia="Times New Roman" w:cs="Times New Roman"/>
                <w:spacing w:val="5"/>
              </w:rPr>
              <w:t>1</w:t>
            </w:r>
            <w:r>
              <w:rPr>
                <w:rFonts w:ascii="Times New Roman" w:hAnsi="Times New Roman" w:eastAsia="Times New Roman" w:cs="Times New Roman"/>
              </w:rPr>
              <w:t>min</w:t>
            </w:r>
            <w:r>
              <w:rPr>
                <w:rFonts w:ascii="Times New Roman" w:hAnsi="Times New Roman" w:eastAsia="Times New Roman" w:cs="Times New Roman"/>
                <w:spacing w:val="46"/>
                <w:w w:val="101"/>
              </w:rPr>
              <w:t xml:space="preserve"> </w:t>
            </w:r>
            <w:r>
              <w:rPr>
                <w:spacing w:val="5"/>
              </w:rPr>
              <w:t>内关闭阀门并进行控制处理。</w:t>
            </w:r>
          </w:p>
          <w:p w14:paraId="6201D68B">
            <w:pPr>
              <w:pStyle w:val="6"/>
              <w:spacing w:before="4" w:line="339" w:lineRule="auto"/>
              <w:ind w:left="110" w:right="103" w:firstLine="516"/>
            </w:pPr>
            <w:r>
              <w:rPr>
                <w:spacing w:val="6"/>
              </w:rPr>
              <w:t>③定期对油品储存、输送、零售环节的设备、阀</w:t>
            </w:r>
            <w:r>
              <w:rPr>
                <w:spacing w:val="5"/>
              </w:rPr>
              <w:t>门、法兰盘、管道</w:t>
            </w:r>
            <w:r>
              <w:rPr>
                <w:spacing w:val="6"/>
              </w:rPr>
              <w:t>等进行检修、维护和保养，输油管道为埋地双层无缝钢管，采</w:t>
            </w:r>
            <w:r>
              <w:rPr>
                <w:spacing w:val="5"/>
              </w:rPr>
              <w:t>用防锈漆</w:t>
            </w:r>
            <w:r>
              <w:rPr>
                <w:spacing w:val="6"/>
              </w:rPr>
              <w:t>防锈、聚乙烯胶粘带加强绝缘防腐，由于采取严格防范措施，</w:t>
            </w:r>
            <w:r>
              <w:rPr>
                <w:spacing w:val="5"/>
              </w:rPr>
              <w:t>埋地管道</w:t>
            </w:r>
            <w:r>
              <w:rPr>
                <w:spacing w:val="7"/>
              </w:rPr>
              <w:t>发生泄漏事故情况极少。</w:t>
            </w:r>
          </w:p>
          <w:p w14:paraId="57FF8890">
            <w:pPr>
              <w:pStyle w:val="6"/>
              <w:spacing w:before="2" w:line="225" w:lineRule="auto"/>
              <w:ind w:left="640"/>
            </w:pPr>
            <w:r>
              <w:rPr>
                <w:spacing w:val="7"/>
              </w:rPr>
              <w:t>（</w:t>
            </w:r>
            <w:r>
              <w:rPr>
                <w:rFonts w:ascii="Times New Roman" w:hAnsi="Times New Roman" w:eastAsia="Times New Roman" w:cs="Times New Roman"/>
                <w:spacing w:val="7"/>
              </w:rPr>
              <w:t>2</w:t>
            </w:r>
            <w:r>
              <w:rPr>
                <w:spacing w:val="7"/>
              </w:rPr>
              <w:t>）火灾事故风险防范措施</w:t>
            </w:r>
          </w:p>
          <w:p w14:paraId="53E5BAA1">
            <w:pPr>
              <w:pStyle w:val="6"/>
              <w:spacing w:before="153" w:line="340" w:lineRule="auto"/>
              <w:ind w:left="108" w:right="103" w:firstLine="519"/>
            </w:pPr>
            <w:r>
              <w:rPr>
                <w:spacing w:val="6"/>
              </w:rPr>
              <w:t>①本项目已设有截水沟，在站内发生火灾时，</w:t>
            </w:r>
            <w:r>
              <w:rPr>
                <w:spacing w:val="5"/>
              </w:rPr>
              <w:t>消防水及场地清洗废</w:t>
            </w:r>
            <w:r>
              <w:rPr>
                <w:spacing w:val="6"/>
              </w:rPr>
              <w:t>水经排水沟收集后进入隔油池处理后排入市政污水管网，对地表水环境</w:t>
            </w:r>
            <w:r>
              <w:rPr>
                <w:spacing w:val="4"/>
              </w:rPr>
              <w:t>影响小。</w:t>
            </w:r>
          </w:p>
          <w:p w14:paraId="77B22CA6">
            <w:pPr>
              <w:pStyle w:val="6"/>
              <w:spacing w:before="3" w:line="339" w:lineRule="auto"/>
              <w:ind w:left="108" w:firstLine="518"/>
            </w:pPr>
            <w:r>
              <w:rPr>
                <w:spacing w:val="-1"/>
              </w:rPr>
              <w:t>②加油站严格按《汽车加油加气加氢站技术标准》（</w:t>
            </w:r>
            <w:r>
              <w:rPr>
                <w:rFonts w:ascii="Times New Roman" w:hAnsi="Times New Roman" w:eastAsia="Times New Roman" w:cs="Times New Roman"/>
                <w:spacing w:val="-1"/>
              </w:rPr>
              <w:t>GB50156-2021</w:t>
            </w:r>
            <w:r>
              <w:rPr>
                <w:spacing w:val="-1"/>
              </w:rPr>
              <w:t>）</w:t>
            </w:r>
            <w:r>
              <w:rPr>
                <w:spacing w:val="9"/>
              </w:rPr>
              <w:t>中</w:t>
            </w:r>
            <w:r>
              <w:rPr>
                <w:spacing w:val="-10"/>
              </w:rPr>
              <w:t xml:space="preserve"> </w:t>
            </w:r>
            <w:r>
              <w:rPr>
                <w:rFonts w:ascii="Times New Roman" w:hAnsi="Times New Roman" w:eastAsia="Times New Roman" w:cs="Times New Roman"/>
                <w:spacing w:val="9"/>
              </w:rPr>
              <w:t xml:space="preserve">12.1.1  </w:t>
            </w:r>
            <w:r>
              <w:rPr>
                <w:spacing w:val="9"/>
              </w:rPr>
              <w:t>条款的要求在加油机、卸油口和储油罐等危险部位配备灭火</w:t>
            </w:r>
            <w:r>
              <w:rPr>
                <w:spacing w:val="8"/>
              </w:rPr>
              <w:t>器、灭火毯和消防沙等消防器材。</w:t>
            </w:r>
          </w:p>
          <w:p w14:paraId="6B2C03AF">
            <w:pPr>
              <w:pStyle w:val="6"/>
              <w:spacing w:before="1" w:line="225" w:lineRule="auto"/>
              <w:ind w:left="640"/>
            </w:pPr>
            <w:r>
              <w:rPr>
                <w:spacing w:val="8"/>
              </w:rPr>
              <w:t>（</w:t>
            </w:r>
            <w:r>
              <w:rPr>
                <w:rFonts w:ascii="Times New Roman" w:hAnsi="Times New Roman" w:eastAsia="Times New Roman" w:cs="Times New Roman"/>
                <w:spacing w:val="8"/>
              </w:rPr>
              <w:t>3</w:t>
            </w:r>
            <w:r>
              <w:rPr>
                <w:spacing w:val="8"/>
              </w:rPr>
              <w:t>）油罐车卸油过程中环境风险防范措施</w:t>
            </w:r>
          </w:p>
          <w:p w14:paraId="46CBD58D">
            <w:pPr>
              <w:pStyle w:val="6"/>
              <w:spacing w:before="152" w:line="291" w:lineRule="auto"/>
              <w:ind w:left="113" w:right="103" w:firstLine="514"/>
            </w:pPr>
            <w:r>
              <w:rPr>
                <w:spacing w:val="6"/>
              </w:rPr>
              <w:t>①必须设置带有明显标识、与油罐车卸油软管</w:t>
            </w:r>
            <w:r>
              <w:rPr>
                <w:spacing w:val="5"/>
              </w:rPr>
              <w:t>匹配的专用快速接头</w:t>
            </w:r>
            <w:r>
              <w:rPr>
                <w:spacing w:val="7"/>
              </w:rPr>
              <w:t>卸油口，减少连接失误；</w:t>
            </w:r>
          </w:p>
        </w:tc>
      </w:tr>
    </w:tbl>
    <w:p w14:paraId="78832590">
      <w:pPr>
        <w:pStyle w:val="2"/>
        <w:rPr>
          <w:sz w:val="21"/>
        </w:rPr>
      </w:pPr>
    </w:p>
    <w:p w14:paraId="257CBF62">
      <w:pPr>
        <w:rPr>
          <w:sz w:val="21"/>
          <w:szCs w:val="21"/>
        </w:rPr>
        <w:sectPr>
          <w:footerReference r:id="rId100" w:type="default"/>
          <w:pgSz w:w="11907" w:h="16840"/>
          <w:pgMar w:top="400" w:right="1490" w:bottom="1008" w:left="1489" w:header="0" w:footer="770" w:gutter="0"/>
          <w:cols w:space="720" w:num="1"/>
        </w:sectPr>
      </w:pPr>
    </w:p>
    <w:p w14:paraId="14E45C4F">
      <w:pPr>
        <w:spacing w:before="19"/>
      </w:pPr>
    </w:p>
    <w:p w14:paraId="004B6842">
      <w:pPr>
        <w:spacing w:before="19"/>
      </w:pPr>
    </w:p>
    <w:p w14:paraId="6CCC0D7B">
      <w:pPr>
        <w:spacing w:before="19"/>
      </w:pPr>
    </w:p>
    <w:p w14:paraId="2C8B69EF">
      <w:pPr>
        <w:spacing w:before="18"/>
      </w:pPr>
    </w:p>
    <w:p w14:paraId="43A8C715">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435E2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07" w:hRule="atLeast"/>
        </w:trPr>
        <w:tc>
          <w:tcPr>
            <w:tcW w:w="754" w:type="dxa"/>
            <w:tcBorders>
              <w:right w:val="single" w:color="000000" w:sz="2" w:space="0"/>
            </w:tcBorders>
            <w:vAlign w:val="top"/>
          </w:tcPr>
          <w:p w14:paraId="068ABEB7">
            <w:pPr>
              <w:rPr>
                <w:rFonts w:ascii="Arial"/>
                <w:sz w:val="21"/>
              </w:rPr>
            </w:pPr>
          </w:p>
        </w:tc>
        <w:tc>
          <w:tcPr>
            <w:tcW w:w="8158" w:type="dxa"/>
            <w:tcBorders>
              <w:left w:val="single" w:color="000000" w:sz="2" w:space="0"/>
            </w:tcBorders>
            <w:vAlign w:val="top"/>
          </w:tcPr>
          <w:p w14:paraId="6E1BC1EB">
            <w:pPr>
              <w:pStyle w:val="6"/>
              <w:spacing w:before="151" w:line="339" w:lineRule="auto"/>
              <w:ind w:left="107" w:right="103" w:firstLine="519"/>
            </w:pPr>
            <w:r>
              <w:rPr>
                <w:spacing w:val="6"/>
              </w:rPr>
              <w:t>②设置防溢流措施，如防溢阀、液位监测、油气</w:t>
            </w:r>
            <w:r>
              <w:rPr>
                <w:spacing w:val="5"/>
              </w:rPr>
              <w:t>回收系统以及紧急切断阀等；</w:t>
            </w:r>
          </w:p>
          <w:p w14:paraId="3ABC0D15">
            <w:pPr>
              <w:pStyle w:val="6"/>
              <w:spacing w:line="340" w:lineRule="auto"/>
              <w:ind w:left="108" w:right="103" w:firstLine="518"/>
            </w:pPr>
            <w:r>
              <w:rPr>
                <w:spacing w:val="7"/>
              </w:rPr>
              <w:t>③对卸油区已进行封闭硬化，四周设置收集沟（槽</w:t>
            </w:r>
            <w:r>
              <w:rPr>
                <w:spacing w:val="-9"/>
              </w:rPr>
              <w:t>），</w:t>
            </w:r>
            <w:r>
              <w:rPr>
                <w:spacing w:val="6"/>
              </w:rPr>
              <w:t>并于隔油池</w:t>
            </w:r>
            <w:r>
              <w:rPr>
                <w:spacing w:val="9"/>
              </w:rPr>
              <w:t>相连通，坡向排水沟的坡度，确保泄漏物被限制在区域内。</w:t>
            </w:r>
          </w:p>
          <w:p w14:paraId="401F3F9D">
            <w:pPr>
              <w:pStyle w:val="6"/>
              <w:spacing w:before="1" w:line="339" w:lineRule="auto"/>
              <w:ind w:left="109" w:right="103" w:firstLine="517"/>
            </w:pPr>
            <w:r>
              <w:rPr>
                <w:spacing w:val="6"/>
              </w:rPr>
              <w:t>④卸油作业过程中应进行实时监控与阻断，如进</w:t>
            </w:r>
            <w:r>
              <w:rPr>
                <w:spacing w:val="5"/>
              </w:rPr>
              <w:t>入静电消除、过程</w:t>
            </w:r>
            <w:r>
              <w:rPr>
                <w:spacing w:val="8"/>
              </w:rPr>
              <w:t>监控双确认，并做好通讯与紧急响应准备；</w:t>
            </w:r>
          </w:p>
          <w:p w14:paraId="4C1B66FA">
            <w:pPr>
              <w:pStyle w:val="6"/>
              <w:spacing w:before="2" w:line="339" w:lineRule="auto"/>
              <w:ind w:left="109" w:right="35" w:firstLine="517"/>
            </w:pPr>
            <w:r>
              <w:rPr>
                <w:spacing w:val="6"/>
              </w:rPr>
              <w:t>⑤卸油作业结束后应进行确认和复位，如先关后</w:t>
            </w:r>
            <w:r>
              <w:rPr>
                <w:spacing w:val="5"/>
              </w:rPr>
              <w:t>拆、处理残油以及</w:t>
            </w:r>
            <w:r>
              <w:t>盖紧密封，检查确认无泄漏后，收回静电接地线，引导油罐车安全离站，</w:t>
            </w:r>
            <w:r>
              <w:rPr>
                <w:spacing w:val="8"/>
              </w:rPr>
              <w:t>并如实、详细填写卸油作业记录。</w:t>
            </w:r>
          </w:p>
          <w:p w14:paraId="703CC378">
            <w:pPr>
              <w:pStyle w:val="6"/>
              <w:spacing w:before="1" w:line="226" w:lineRule="auto"/>
              <w:ind w:left="640"/>
            </w:pPr>
            <w:r>
              <w:rPr>
                <w:spacing w:val="7"/>
              </w:rPr>
              <w:t>（</w:t>
            </w:r>
            <w:r>
              <w:rPr>
                <w:rFonts w:ascii="Times New Roman" w:hAnsi="Times New Roman" w:eastAsia="Times New Roman" w:cs="Times New Roman"/>
                <w:spacing w:val="7"/>
              </w:rPr>
              <w:t>4</w:t>
            </w:r>
            <w:r>
              <w:rPr>
                <w:spacing w:val="7"/>
              </w:rPr>
              <w:t>）风险应急措施</w:t>
            </w:r>
          </w:p>
          <w:p w14:paraId="38EEB3A7">
            <w:pPr>
              <w:pStyle w:val="6"/>
              <w:spacing w:before="152" w:line="340" w:lineRule="auto"/>
              <w:ind w:left="111" w:right="103" w:firstLine="516"/>
            </w:pPr>
            <w:r>
              <w:rPr>
                <w:spacing w:val="6"/>
              </w:rPr>
              <w:t>①事故如可能波及周围环境时，应及时通知影</w:t>
            </w:r>
            <w:r>
              <w:rPr>
                <w:spacing w:val="5"/>
              </w:rPr>
              <w:t>响区域的周围居民和</w:t>
            </w:r>
            <w:r>
              <w:rPr>
                <w:spacing w:val="6"/>
              </w:rPr>
              <w:t>工作人员撤离到安全地带或采取有效的保护措施，使事故的</w:t>
            </w:r>
            <w:r>
              <w:rPr>
                <w:spacing w:val="5"/>
              </w:rPr>
              <w:t>危害和影响</w:t>
            </w:r>
            <w:r>
              <w:rPr>
                <w:spacing w:val="9"/>
              </w:rPr>
              <w:t>降到最低限度，并设立安全警戒线，保证救援车辆进出站道路畅通。</w:t>
            </w:r>
          </w:p>
          <w:p w14:paraId="15BEECA2">
            <w:pPr>
              <w:pStyle w:val="6"/>
              <w:spacing w:before="2" w:line="339" w:lineRule="auto"/>
              <w:ind w:left="107" w:right="103" w:firstLine="519"/>
            </w:pPr>
            <w:r>
              <w:rPr>
                <w:spacing w:val="15"/>
              </w:rPr>
              <w:t>②若发生火灾事故，现场操作人员应充分利用公</w:t>
            </w:r>
            <w:r>
              <w:rPr>
                <w:spacing w:val="14"/>
              </w:rPr>
              <w:t>司配备的消防设</w:t>
            </w:r>
            <w:r>
              <w:rPr>
                <w:spacing w:val="6"/>
              </w:rPr>
              <w:t>施，进行初期灭火，将火灾附近的易燃、易爆、有毒、腐蚀性的物品及单据、账本等尽快转移至安全地点，同时迅速发出报警信号，让有关部</w:t>
            </w:r>
            <w:r>
              <w:rPr>
                <w:spacing w:val="9"/>
              </w:rPr>
              <w:t>门（消防队、急救中心、环境监测站等）前来扑救、救护和监测。</w:t>
            </w:r>
          </w:p>
          <w:p w14:paraId="6A1AD638">
            <w:pPr>
              <w:pStyle w:val="6"/>
              <w:spacing w:before="7" w:line="339" w:lineRule="auto"/>
              <w:ind w:left="108" w:right="103" w:firstLine="518"/>
            </w:pPr>
            <w:r>
              <w:rPr>
                <w:spacing w:val="6"/>
              </w:rPr>
              <w:t>③发生溢油事故时，应紧急采取防火措施，并收</w:t>
            </w:r>
            <w:r>
              <w:rPr>
                <w:spacing w:val="5"/>
              </w:rPr>
              <w:t>集溢出的油品；隔</w:t>
            </w:r>
            <w:r>
              <w:rPr>
                <w:spacing w:val="6"/>
              </w:rPr>
              <w:t>油池立即关闭切换阀，使用吸油毡及时回收泄漏油品；在发生油罐车大</w:t>
            </w:r>
            <w:r>
              <w:rPr>
                <w:spacing w:val="12"/>
              </w:rPr>
              <w:t>量泄漏事故时，沙袋（约</w:t>
            </w:r>
            <w:r>
              <w:rPr>
                <w:rFonts w:ascii="Times New Roman" w:hAnsi="Times New Roman" w:eastAsia="Times New Roman" w:cs="Times New Roman"/>
                <w:spacing w:val="12"/>
              </w:rPr>
              <w:t xml:space="preserve">20 </w:t>
            </w:r>
            <w:r>
              <w:rPr>
                <w:spacing w:val="12"/>
              </w:rPr>
              <w:t>袋，具体数量</w:t>
            </w:r>
            <w:r>
              <w:rPr>
                <w:spacing w:val="11"/>
              </w:rPr>
              <w:t>以能在加油站出入口处分别</w:t>
            </w:r>
            <w:r>
              <w:rPr>
                <w:spacing w:val="5"/>
              </w:rPr>
              <w:t>设置临时挡墙为准）分别在加油站入口处和出口处各设置</w:t>
            </w:r>
            <w:r>
              <w:rPr>
                <w:spacing w:val="-38"/>
              </w:rPr>
              <w:t xml:space="preserve"> </w:t>
            </w:r>
            <w:r>
              <w:rPr>
                <w:rFonts w:ascii="Times New Roman" w:hAnsi="Times New Roman" w:eastAsia="Times New Roman" w:cs="Times New Roman"/>
                <w:spacing w:val="5"/>
              </w:rPr>
              <w:t xml:space="preserve">2 </w:t>
            </w:r>
            <w:r>
              <w:rPr>
                <w:spacing w:val="5"/>
              </w:rPr>
              <w:t>道临时挡墙</w:t>
            </w:r>
            <w:r>
              <w:rPr>
                <w:spacing w:val="9"/>
              </w:rPr>
              <w:t>且与站内路沿形成一个临时围堰，用于拦截泄漏油品并及时回收。</w:t>
            </w:r>
          </w:p>
          <w:p w14:paraId="1668631A">
            <w:pPr>
              <w:pStyle w:val="6"/>
              <w:spacing w:before="1" w:line="225" w:lineRule="auto"/>
              <w:ind w:left="640"/>
            </w:pPr>
            <w:r>
              <w:rPr>
                <w:spacing w:val="6"/>
              </w:rPr>
              <w:t>（</w:t>
            </w:r>
            <w:r>
              <w:rPr>
                <w:rFonts w:ascii="Times New Roman" w:hAnsi="Times New Roman" w:eastAsia="Times New Roman" w:cs="Times New Roman"/>
                <w:spacing w:val="6"/>
              </w:rPr>
              <w:t>5</w:t>
            </w:r>
            <w:r>
              <w:rPr>
                <w:spacing w:val="6"/>
              </w:rPr>
              <w:t>）风险管理</w:t>
            </w:r>
          </w:p>
          <w:p w14:paraId="2A565900">
            <w:pPr>
              <w:pStyle w:val="6"/>
              <w:spacing w:before="152" w:line="340" w:lineRule="auto"/>
              <w:ind w:left="108" w:right="52" w:firstLine="521"/>
              <w:jc w:val="both"/>
            </w:pPr>
            <w:r>
              <w:rPr>
                <w:spacing w:val="5"/>
              </w:rPr>
              <w:t>开展全面、全员、全过程的系统安全管理，把环境安全工作的重点</w:t>
            </w:r>
            <w:r>
              <w:rPr>
                <w:spacing w:val="6"/>
              </w:rPr>
              <w:t>放在消除系统的潜在危险上，并从整体和全局上促进该项目各个环</w:t>
            </w:r>
            <w:r>
              <w:rPr>
                <w:spacing w:val="5"/>
              </w:rPr>
              <w:t>节的</w:t>
            </w:r>
            <w:r>
              <w:rPr>
                <w:spacing w:val="7"/>
              </w:rPr>
              <w:t>环境安全运作，并建立监察、管理、检测、信息系统和科学决策体系，</w:t>
            </w:r>
            <w:r>
              <w:rPr>
                <w:spacing w:val="8"/>
              </w:rPr>
              <w:t>实行环境安全目标管理。</w:t>
            </w:r>
          </w:p>
          <w:p w14:paraId="11C9A5AE">
            <w:pPr>
              <w:pStyle w:val="6"/>
              <w:spacing w:line="224" w:lineRule="auto"/>
              <w:jc w:val="right"/>
            </w:pPr>
            <w:r>
              <w:rPr>
                <w:spacing w:val="7"/>
              </w:rPr>
              <w:t>按照《企业突发环境事件风险评估指南（施行）》（环办〔</w:t>
            </w:r>
            <w:r>
              <w:rPr>
                <w:rFonts w:ascii="Times New Roman" w:hAnsi="Times New Roman" w:eastAsia="Times New Roman" w:cs="Times New Roman"/>
                <w:spacing w:val="7"/>
              </w:rPr>
              <w:t>2014</w:t>
            </w:r>
            <w:r>
              <w:rPr>
                <w:spacing w:val="7"/>
              </w:rPr>
              <w:t>〕</w:t>
            </w:r>
          </w:p>
        </w:tc>
      </w:tr>
    </w:tbl>
    <w:p w14:paraId="3CCE68DE">
      <w:pPr>
        <w:pStyle w:val="2"/>
        <w:rPr>
          <w:sz w:val="21"/>
        </w:rPr>
      </w:pPr>
    </w:p>
    <w:p w14:paraId="753BA992">
      <w:pPr>
        <w:rPr>
          <w:sz w:val="21"/>
          <w:szCs w:val="21"/>
        </w:rPr>
        <w:sectPr>
          <w:footerReference r:id="rId101" w:type="default"/>
          <w:pgSz w:w="11907" w:h="16840"/>
          <w:pgMar w:top="400" w:right="1490" w:bottom="1008" w:left="1489" w:header="0" w:footer="770" w:gutter="0"/>
          <w:cols w:space="720" w:num="1"/>
        </w:sectPr>
      </w:pPr>
    </w:p>
    <w:p w14:paraId="0EBE7F1F">
      <w:pPr>
        <w:spacing w:before="19"/>
      </w:pPr>
    </w:p>
    <w:p w14:paraId="1A9646E2">
      <w:pPr>
        <w:spacing w:before="19"/>
      </w:pPr>
    </w:p>
    <w:p w14:paraId="336D6686">
      <w:pPr>
        <w:spacing w:before="19"/>
      </w:pPr>
    </w:p>
    <w:p w14:paraId="1912A952">
      <w:pPr>
        <w:spacing w:before="18"/>
      </w:pPr>
    </w:p>
    <w:p w14:paraId="116BC502">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18668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19" w:hRule="atLeast"/>
        </w:trPr>
        <w:tc>
          <w:tcPr>
            <w:tcW w:w="754" w:type="dxa"/>
            <w:tcBorders>
              <w:right w:val="single" w:color="000000" w:sz="2" w:space="0"/>
            </w:tcBorders>
            <w:vAlign w:val="top"/>
          </w:tcPr>
          <w:p w14:paraId="270298EB">
            <w:pPr>
              <w:rPr>
                <w:rFonts w:ascii="Arial"/>
                <w:sz w:val="21"/>
              </w:rPr>
            </w:pPr>
          </w:p>
        </w:tc>
        <w:tc>
          <w:tcPr>
            <w:tcW w:w="8158" w:type="dxa"/>
            <w:tcBorders>
              <w:left w:val="single" w:color="000000" w:sz="2" w:space="0"/>
            </w:tcBorders>
            <w:vAlign w:val="top"/>
          </w:tcPr>
          <w:p w14:paraId="3713493A">
            <w:pPr>
              <w:pStyle w:val="6"/>
              <w:spacing w:before="149" w:line="340" w:lineRule="auto"/>
              <w:ind w:left="108" w:right="103"/>
              <w:jc w:val="both"/>
            </w:pPr>
            <w:r>
              <w:rPr>
                <w:rFonts w:ascii="Times New Roman" w:hAnsi="Times New Roman" w:eastAsia="Times New Roman" w:cs="Times New Roman"/>
                <w:spacing w:val="8"/>
              </w:rPr>
              <w:t>34</w:t>
            </w:r>
            <w:r>
              <w:rPr>
                <w:rFonts w:ascii="Times New Roman" w:hAnsi="Times New Roman" w:eastAsia="Times New Roman" w:cs="Times New Roman"/>
                <w:spacing w:val="42"/>
              </w:rPr>
              <w:t xml:space="preserve"> </w:t>
            </w:r>
            <w:r>
              <w:rPr>
                <w:spacing w:val="8"/>
              </w:rPr>
              <w:t>号）、《企业突发环境事件风险分级方法》</w:t>
            </w:r>
            <w:r>
              <w:rPr>
                <w:spacing w:val="-104"/>
              </w:rPr>
              <w:t xml:space="preserve"> </w:t>
            </w:r>
            <w:r>
              <w:rPr>
                <w:spacing w:val="8"/>
              </w:rPr>
              <w:t>（</w:t>
            </w:r>
            <w:r>
              <w:rPr>
                <w:rFonts w:ascii="Times New Roman" w:hAnsi="Times New Roman" w:eastAsia="Times New Roman" w:cs="Times New Roman"/>
              </w:rPr>
              <w:t>HJ</w:t>
            </w:r>
            <w:r>
              <w:rPr>
                <w:rFonts w:ascii="Times New Roman" w:hAnsi="Times New Roman" w:eastAsia="Times New Roman" w:cs="Times New Roman"/>
                <w:spacing w:val="8"/>
              </w:rPr>
              <w:t>941-2018</w:t>
            </w:r>
            <w:r>
              <w:rPr>
                <w:spacing w:val="8"/>
              </w:rPr>
              <w:t>）</w:t>
            </w:r>
            <w:r>
              <w:rPr>
                <w:spacing w:val="-75"/>
              </w:rPr>
              <w:t xml:space="preserve"> </w:t>
            </w:r>
            <w:r>
              <w:rPr>
                <w:spacing w:val="8"/>
              </w:rPr>
              <w:t>的相关</w:t>
            </w:r>
            <w:r>
              <w:rPr>
                <w:spacing w:val="6"/>
              </w:rPr>
              <w:t>要求，本次改扩建后，风险物质发生变化，需按期开展本项目突发</w:t>
            </w:r>
            <w:r>
              <w:rPr>
                <w:spacing w:val="5"/>
              </w:rPr>
              <w:t>环境</w:t>
            </w:r>
            <w:r>
              <w:rPr>
                <w:spacing w:val="8"/>
              </w:rPr>
              <w:t>事件风险评估及应急预案修订工作。</w:t>
            </w:r>
          </w:p>
          <w:p w14:paraId="6063A2A4">
            <w:pPr>
              <w:pStyle w:val="6"/>
              <w:spacing w:before="2" w:line="340" w:lineRule="auto"/>
              <w:ind w:left="109" w:right="35" w:firstLine="522"/>
              <w:jc w:val="both"/>
            </w:pPr>
            <w:r>
              <w:rPr>
                <w:spacing w:val="5"/>
              </w:rPr>
              <w:t>综上所述，本项目风险物质为汽油，项目可能发生的环境风险主要</w:t>
            </w:r>
            <w:r>
              <w:rPr>
                <w:spacing w:val="6"/>
              </w:rPr>
              <w:t>为风险物质在使用过程中发生的泄漏、火灾及爆炸等事故。通过采</w:t>
            </w:r>
            <w:r>
              <w:rPr>
                <w:spacing w:val="5"/>
              </w:rPr>
              <w:t>取评</w:t>
            </w:r>
            <w:r>
              <w:t>价提出的风险防范措施，能有效预防事故的发生，将项目风险降至最低，</w:t>
            </w:r>
            <w:r>
              <w:rPr>
                <w:spacing w:val="9"/>
              </w:rPr>
              <w:t>可使项目在运营中的环境风险控制在可接受的范围内。</w:t>
            </w:r>
          </w:p>
        </w:tc>
      </w:tr>
    </w:tbl>
    <w:p w14:paraId="6AB486FE">
      <w:pPr>
        <w:pStyle w:val="2"/>
        <w:rPr>
          <w:sz w:val="21"/>
        </w:rPr>
      </w:pPr>
    </w:p>
    <w:p w14:paraId="25DE4CC3">
      <w:pPr>
        <w:rPr>
          <w:sz w:val="21"/>
          <w:szCs w:val="21"/>
        </w:rPr>
        <w:sectPr>
          <w:footerReference r:id="rId102" w:type="default"/>
          <w:pgSz w:w="11907" w:h="16840"/>
          <w:pgMar w:top="400" w:right="1490" w:bottom="1008" w:left="1489" w:header="0" w:footer="770" w:gutter="0"/>
          <w:cols w:space="720" w:num="1"/>
        </w:sectPr>
      </w:pPr>
    </w:p>
    <w:p w14:paraId="06F4B014">
      <w:pPr>
        <w:pStyle w:val="2"/>
        <w:spacing w:line="248" w:lineRule="auto"/>
        <w:rPr>
          <w:sz w:val="21"/>
        </w:rPr>
      </w:pPr>
    </w:p>
    <w:p w14:paraId="3B8CC351">
      <w:pPr>
        <w:pStyle w:val="2"/>
        <w:spacing w:line="248" w:lineRule="auto"/>
        <w:rPr>
          <w:sz w:val="21"/>
        </w:rPr>
      </w:pPr>
    </w:p>
    <w:p w14:paraId="14681FE5">
      <w:pPr>
        <w:pStyle w:val="2"/>
        <w:spacing w:line="248" w:lineRule="auto"/>
        <w:rPr>
          <w:sz w:val="21"/>
        </w:rPr>
      </w:pPr>
    </w:p>
    <w:p w14:paraId="5EA9F7D7">
      <w:pPr>
        <w:pStyle w:val="2"/>
        <w:spacing w:line="248" w:lineRule="auto"/>
        <w:rPr>
          <w:sz w:val="21"/>
        </w:rPr>
      </w:pPr>
    </w:p>
    <w:p w14:paraId="67404746">
      <w:pPr>
        <w:pStyle w:val="2"/>
        <w:spacing w:line="249" w:lineRule="auto"/>
        <w:rPr>
          <w:sz w:val="21"/>
        </w:rPr>
      </w:pPr>
    </w:p>
    <w:p w14:paraId="38AF1BB8">
      <w:pPr>
        <w:spacing w:before="98" w:line="211" w:lineRule="auto"/>
        <w:ind w:left="2328"/>
        <w:outlineLvl w:val="0"/>
        <w:rPr>
          <w:rFonts w:ascii="黑体" w:hAnsi="黑体" w:eastAsia="黑体" w:cs="黑体"/>
          <w:sz w:val="30"/>
          <w:szCs w:val="30"/>
        </w:rPr>
      </w:pPr>
      <w:r>
        <w:rPr>
          <w:rFonts w:ascii="黑体" w:hAnsi="黑体" w:eastAsia="黑体" w:cs="黑体"/>
          <w:spacing w:val="-2"/>
          <w:sz w:val="30"/>
          <w:szCs w:val="30"/>
        </w:rPr>
        <w:t>五、环境保护措施监督检查清单</w:t>
      </w:r>
    </w:p>
    <w:tbl>
      <w:tblPr>
        <w:tblStyle w:val="5"/>
        <w:tblW w:w="880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8"/>
        <w:gridCol w:w="1623"/>
        <w:gridCol w:w="1216"/>
        <w:gridCol w:w="2231"/>
        <w:gridCol w:w="2286"/>
      </w:tblGrid>
      <w:tr w14:paraId="55673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trPr>
        <w:tc>
          <w:tcPr>
            <w:tcW w:w="1448" w:type="dxa"/>
            <w:tcBorders>
              <w:top w:val="single" w:color="000000" w:sz="6" w:space="0"/>
              <w:left w:val="single" w:color="000000" w:sz="6" w:space="0"/>
              <w:tl2br w:val="single" w:color="000000" w:sz="4" w:space="0"/>
            </w:tcBorders>
            <w:vAlign w:val="top"/>
          </w:tcPr>
          <w:p w14:paraId="26575CE1">
            <w:pPr>
              <w:pStyle w:val="6"/>
              <w:spacing w:before="100" w:line="298" w:lineRule="auto"/>
              <w:ind w:left="113" w:right="111" w:firstLine="735"/>
            </w:pPr>
            <w:r>
              <w:rPr>
                <w:spacing w:val="-12"/>
              </w:rPr>
              <w:t>内容</w:t>
            </w:r>
            <w:r>
              <w:rPr>
                <w:spacing w:val="3"/>
              </w:rPr>
              <w:t>要素</w:t>
            </w:r>
          </w:p>
        </w:tc>
        <w:tc>
          <w:tcPr>
            <w:tcW w:w="1623" w:type="dxa"/>
            <w:tcBorders>
              <w:top w:val="single" w:color="000000" w:sz="6" w:space="0"/>
            </w:tcBorders>
            <w:vAlign w:val="top"/>
          </w:tcPr>
          <w:p w14:paraId="07EDAB4F">
            <w:pPr>
              <w:pStyle w:val="6"/>
              <w:spacing w:before="102" w:line="219" w:lineRule="auto"/>
              <w:ind w:left="251"/>
            </w:pPr>
            <w:r>
              <w:rPr>
                <w:spacing w:val="6"/>
              </w:rPr>
              <w:t>排放口</w:t>
            </w:r>
            <w:r>
              <w:rPr>
                <w:rFonts w:ascii="Times New Roman" w:hAnsi="Times New Roman" w:eastAsia="Times New Roman" w:cs="Times New Roman"/>
                <w:spacing w:val="6"/>
              </w:rPr>
              <w:t>(</w:t>
            </w:r>
            <w:r>
              <w:rPr>
                <w:spacing w:val="6"/>
              </w:rPr>
              <w:t>编</w:t>
            </w:r>
          </w:p>
          <w:p w14:paraId="57C73B94">
            <w:pPr>
              <w:pStyle w:val="6"/>
              <w:spacing w:before="104" w:line="219" w:lineRule="auto"/>
              <w:ind w:left="221"/>
              <w:rPr>
                <w:rFonts w:ascii="Times New Roman" w:hAnsi="Times New Roman" w:eastAsia="Times New Roman" w:cs="Times New Roman"/>
              </w:rPr>
            </w:pPr>
            <w:r>
              <w:rPr>
                <w:spacing w:val="5"/>
              </w:rPr>
              <w:t>号、名称</w:t>
            </w:r>
            <w:r>
              <w:rPr>
                <w:rFonts w:ascii="Times New Roman" w:hAnsi="Times New Roman" w:eastAsia="Times New Roman" w:cs="Times New Roman"/>
                <w:spacing w:val="5"/>
              </w:rPr>
              <w:t>)/</w:t>
            </w:r>
          </w:p>
          <w:p w14:paraId="15D55D46">
            <w:pPr>
              <w:pStyle w:val="6"/>
              <w:spacing w:before="101" w:line="219" w:lineRule="auto"/>
              <w:ind w:left="428"/>
            </w:pPr>
            <w:r>
              <w:rPr>
                <w:spacing w:val="5"/>
              </w:rPr>
              <w:t>污染源</w:t>
            </w:r>
          </w:p>
        </w:tc>
        <w:tc>
          <w:tcPr>
            <w:tcW w:w="1216" w:type="dxa"/>
            <w:tcBorders>
              <w:top w:val="single" w:color="000000" w:sz="6" w:space="0"/>
            </w:tcBorders>
            <w:vAlign w:val="top"/>
          </w:tcPr>
          <w:p w14:paraId="452EF6C7">
            <w:pPr>
              <w:pStyle w:val="6"/>
              <w:spacing w:before="301" w:line="298" w:lineRule="auto"/>
              <w:ind w:left="357" w:right="217" w:hanging="131"/>
            </w:pPr>
            <w:r>
              <w:rPr>
                <w:spacing w:val="5"/>
              </w:rPr>
              <w:t>污染物</w:t>
            </w:r>
            <w:r>
              <w:rPr>
                <w:spacing w:val="1"/>
              </w:rPr>
              <w:t>项目</w:t>
            </w:r>
          </w:p>
        </w:tc>
        <w:tc>
          <w:tcPr>
            <w:tcW w:w="2231" w:type="dxa"/>
            <w:tcBorders>
              <w:top w:val="single" w:color="000000" w:sz="6" w:space="0"/>
            </w:tcBorders>
            <w:vAlign w:val="top"/>
          </w:tcPr>
          <w:p w14:paraId="06157FBD">
            <w:pPr>
              <w:spacing w:line="418" w:lineRule="auto"/>
              <w:rPr>
                <w:rFonts w:ascii="Arial"/>
                <w:sz w:val="21"/>
              </w:rPr>
            </w:pPr>
          </w:p>
          <w:p w14:paraId="70D064E6">
            <w:pPr>
              <w:pStyle w:val="6"/>
              <w:spacing w:before="82" w:line="227" w:lineRule="auto"/>
              <w:ind w:left="344"/>
            </w:pPr>
            <w:r>
              <w:rPr>
                <w:spacing w:val="8"/>
              </w:rPr>
              <w:t>环境保护措施</w:t>
            </w:r>
          </w:p>
        </w:tc>
        <w:tc>
          <w:tcPr>
            <w:tcW w:w="2286" w:type="dxa"/>
            <w:tcBorders>
              <w:top w:val="single" w:color="000000" w:sz="6" w:space="0"/>
              <w:right w:val="single" w:color="000000" w:sz="6" w:space="0"/>
            </w:tcBorders>
            <w:vAlign w:val="top"/>
          </w:tcPr>
          <w:p w14:paraId="12EB191C">
            <w:pPr>
              <w:spacing w:line="419" w:lineRule="auto"/>
              <w:rPr>
                <w:rFonts w:ascii="Arial"/>
                <w:sz w:val="21"/>
              </w:rPr>
            </w:pPr>
          </w:p>
          <w:p w14:paraId="554B8B1E">
            <w:pPr>
              <w:pStyle w:val="6"/>
              <w:spacing w:before="81" w:line="226" w:lineRule="auto"/>
              <w:ind w:left="631"/>
            </w:pPr>
            <w:r>
              <w:rPr>
                <w:spacing w:val="7"/>
              </w:rPr>
              <w:t>执行标准</w:t>
            </w:r>
          </w:p>
        </w:tc>
      </w:tr>
      <w:tr w14:paraId="1815F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1448" w:type="dxa"/>
            <w:vMerge w:val="restart"/>
            <w:tcBorders>
              <w:left w:val="single" w:color="000000" w:sz="6" w:space="0"/>
              <w:bottom w:val="nil"/>
            </w:tcBorders>
            <w:vAlign w:val="top"/>
          </w:tcPr>
          <w:p w14:paraId="61F875CD">
            <w:pPr>
              <w:spacing w:line="241" w:lineRule="auto"/>
              <w:rPr>
                <w:rFonts w:ascii="Arial"/>
                <w:sz w:val="21"/>
              </w:rPr>
            </w:pPr>
          </w:p>
          <w:p w14:paraId="04C20014">
            <w:pPr>
              <w:spacing w:line="241" w:lineRule="auto"/>
              <w:rPr>
                <w:rFonts w:ascii="Arial"/>
                <w:sz w:val="21"/>
              </w:rPr>
            </w:pPr>
          </w:p>
          <w:p w14:paraId="214E724B">
            <w:pPr>
              <w:spacing w:line="241" w:lineRule="auto"/>
              <w:rPr>
                <w:rFonts w:ascii="Arial"/>
                <w:sz w:val="21"/>
              </w:rPr>
            </w:pPr>
          </w:p>
          <w:p w14:paraId="45316854">
            <w:pPr>
              <w:spacing w:line="241" w:lineRule="auto"/>
              <w:rPr>
                <w:rFonts w:ascii="Arial"/>
                <w:sz w:val="21"/>
              </w:rPr>
            </w:pPr>
          </w:p>
          <w:p w14:paraId="77041A67">
            <w:pPr>
              <w:spacing w:line="241" w:lineRule="auto"/>
              <w:rPr>
                <w:rFonts w:ascii="Arial"/>
                <w:sz w:val="21"/>
              </w:rPr>
            </w:pPr>
          </w:p>
          <w:p w14:paraId="58EE73BB">
            <w:pPr>
              <w:spacing w:line="241" w:lineRule="auto"/>
              <w:rPr>
                <w:rFonts w:ascii="Arial"/>
                <w:sz w:val="21"/>
              </w:rPr>
            </w:pPr>
          </w:p>
          <w:p w14:paraId="42294683">
            <w:pPr>
              <w:spacing w:line="241" w:lineRule="auto"/>
              <w:rPr>
                <w:rFonts w:ascii="Arial"/>
                <w:sz w:val="21"/>
              </w:rPr>
            </w:pPr>
          </w:p>
          <w:p w14:paraId="29DAE36C">
            <w:pPr>
              <w:spacing w:line="241" w:lineRule="auto"/>
              <w:rPr>
                <w:rFonts w:ascii="Arial"/>
                <w:sz w:val="21"/>
              </w:rPr>
            </w:pPr>
          </w:p>
          <w:p w14:paraId="6EDE1DE1">
            <w:pPr>
              <w:spacing w:line="241" w:lineRule="auto"/>
              <w:rPr>
                <w:rFonts w:ascii="Arial"/>
                <w:sz w:val="21"/>
              </w:rPr>
            </w:pPr>
          </w:p>
          <w:p w14:paraId="6CB3AD1B">
            <w:pPr>
              <w:spacing w:line="242" w:lineRule="auto"/>
              <w:rPr>
                <w:rFonts w:ascii="Arial"/>
                <w:sz w:val="21"/>
              </w:rPr>
            </w:pPr>
          </w:p>
          <w:p w14:paraId="0CC20420">
            <w:pPr>
              <w:pStyle w:val="6"/>
              <w:spacing w:before="82" w:line="227" w:lineRule="auto"/>
              <w:ind w:left="206"/>
            </w:pPr>
            <w:r>
              <w:rPr>
                <w:spacing w:val="6"/>
              </w:rPr>
              <w:t>大气环境</w:t>
            </w:r>
          </w:p>
        </w:tc>
        <w:tc>
          <w:tcPr>
            <w:tcW w:w="1623" w:type="dxa"/>
            <w:vAlign w:val="top"/>
          </w:tcPr>
          <w:p w14:paraId="139E3E02">
            <w:pPr>
              <w:pStyle w:val="6"/>
              <w:spacing w:before="241" w:line="298" w:lineRule="auto"/>
              <w:ind w:left="561" w:right="165" w:hanging="397"/>
            </w:pPr>
            <w:r>
              <w:rPr>
                <w:spacing w:val="7"/>
              </w:rPr>
              <w:t>通气立管边</w:t>
            </w:r>
            <w:r>
              <w:t>界处</w:t>
            </w:r>
          </w:p>
        </w:tc>
        <w:tc>
          <w:tcPr>
            <w:tcW w:w="1216" w:type="dxa"/>
            <w:vMerge w:val="restart"/>
            <w:tcBorders>
              <w:bottom w:val="nil"/>
            </w:tcBorders>
            <w:vAlign w:val="top"/>
          </w:tcPr>
          <w:p w14:paraId="3961AD46">
            <w:pPr>
              <w:spacing w:line="282" w:lineRule="auto"/>
              <w:rPr>
                <w:rFonts w:ascii="Arial"/>
                <w:sz w:val="21"/>
              </w:rPr>
            </w:pPr>
          </w:p>
          <w:p w14:paraId="289FE6E3">
            <w:pPr>
              <w:spacing w:line="282" w:lineRule="auto"/>
              <w:rPr>
                <w:rFonts w:ascii="Arial"/>
                <w:sz w:val="21"/>
              </w:rPr>
            </w:pPr>
          </w:p>
          <w:p w14:paraId="49D7F435">
            <w:pPr>
              <w:spacing w:line="282" w:lineRule="auto"/>
              <w:rPr>
                <w:rFonts w:ascii="Arial"/>
                <w:sz w:val="21"/>
              </w:rPr>
            </w:pPr>
          </w:p>
          <w:p w14:paraId="77467DE6">
            <w:pPr>
              <w:spacing w:line="282" w:lineRule="auto"/>
              <w:rPr>
                <w:rFonts w:ascii="Arial"/>
                <w:sz w:val="21"/>
              </w:rPr>
            </w:pPr>
          </w:p>
          <w:p w14:paraId="29926220">
            <w:pPr>
              <w:spacing w:line="282" w:lineRule="auto"/>
              <w:rPr>
                <w:rFonts w:ascii="Arial"/>
                <w:sz w:val="21"/>
              </w:rPr>
            </w:pPr>
          </w:p>
          <w:p w14:paraId="2D9BEEC7">
            <w:pPr>
              <w:pStyle w:val="6"/>
              <w:spacing w:before="82" w:line="296" w:lineRule="auto"/>
              <w:ind w:left="360" w:right="217" w:hanging="132"/>
            </w:pPr>
            <w:r>
              <w:rPr>
                <w:spacing w:val="5"/>
              </w:rPr>
              <w:t>非甲烷</w:t>
            </w:r>
            <w:r>
              <w:t>总烃</w:t>
            </w:r>
          </w:p>
        </w:tc>
        <w:tc>
          <w:tcPr>
            <w:tcW w:w="2231" w:type="dxa"/>
            <w:vMerge w:val="restart"/>
            <w:tcBorders>
              <w:bottom w:val="nil"/>
            </w:tcBorders>
            <w:vAlign w:val="top"/>
          </w:tcPr>
          <w:p w14:paraId="5632E64F">
            <w:pPr>
              <w:pStyle w:val="6"/>
              <w:spacing w:before="99" w:line="225" w:lineRule="auto"/>
              <w:ind w:left="214"/>
            </w:pPr>
            <w:r>
              <w:rPr>
                <w:spacing w:val="8"/>
              </w:rPr>
              <w:t>采用自流卸油和</w:t>
            </w:r>
          </w:p>
          <w:p w14:paraId="2E333996">
            <w:pPr>
              <w:pStyle w:val="6"/>
              <w:spacing w:before="96" w:line="227" w:lineRule="auto"/>
              <w:ind w:left="115"/>
            </w:pPr>
            <w:r>
              <w:rPr>
                <w:spacing w:val="1"/>
              </w:rPr>
              <w:t>密闭卸油方式、油</w:t>
            </w:r>
          </w:p>
          <w:p w14:paraId="19CD5DCE">
            <w:pPr>
              <w:pStyle w:val="6"/>
              <w:spacing w:before="92" w:line="226" w:lineRule="auto"/>
              <w:ind w:left="116"/>
            </w:pPr>
            <w:r>
              <w:t>罐埋地设置；汽油</w:t>
            </w:r>
          </w:p>
          <w:p w14:paraId="7D8E99B9">
            <w:pPr>
              <w:pStyle w:val="6"/>
              <w:spacing w:before="92" w:line="227" w:lineRule="auto"/>
              <w:jc w:val="right"/>
            </w:pPr>
            <w:r>
              <w:rPr>
                <w:spacing w:val="-17"/>
              </w:rPr>
              <w:t>加（卸）油设置一、</w:t>
            </w:r>
          </w:p>
          <w:p w14:paraId="3D5696C7">
            <w:pPr>
              <w:pStyle w:val="6"/>
              <w:spacing w:before="93" w:line="226" w:lineRule="auto"/>
              <w:ind w:left="118"/>
            </w:pPr>
            <w:r>
              <w:t>二次、三次油气回</w:t>
            </w:r>
          </w:p>
          <w:p w14:paraId="3543CDF1">
            <w:pPr>
              <w:pStyle w:val="6"/>
              <w:spacing w:before="94" w:line="226" w:lineRule="auto"/>
              <w:ind w:left="123"/>
            </w:pPr>
            <w:r>
              <w:rPr>
                <w:spacing w:val="-1"/>
              </w:rPr>
              <w:t>收系统；设置通气</w:t>
            </w:r>
          </w:p>
          <w:p w14:paraId="4CE84DB4">
            <w:pPr>
              <w:pStyle w:val="6"/>
              <w:spacing w:before="93" w:line="226" w:lineRule="auto"/>
              <w:ind w:left="114"/>
            </w:pPr>
            <w:r>
              <w:rPr>
                <w:spacing w:val="-1"/>
              </w:rPr>
              <w:t>立管</w:t>
            </w:r>
            <w:r>
              <w:rPr>
                <w:spacing w:val="-47"/>
              </w:rPr>
              <w:t xml:space="preserve"> </w:t>
            </w:r>
            <w:r>
              <w:rPr>
                <w:rFonts w:ascii="Times New Roman" w:hAnsi="Times New Roman" w:eastAsia="Times New Roman" w:cs="Times New Roman"/>
                <w:spacing w:val="-1"/>
              </w:rPr>
              <w:t xml:space="preserve">4 </w:t>
            </w:r>
            <w:r>
              <w:rPr>
                <w:spacing w:val="-1"/>
              </w:rPr>
              <w:t>根（含紧急</w:t>
            </w:r>
          </w:p>
          <w:p w14:paraId="373B43A7">
            <w:pPr>
              <w:pStyle w:val="6"/>
              <w:spacing w:before="95" w:line="226" w:lineRule="auto"/>
              <w:ind w:left="114"/>
            </w:pPr>
            <w:r>
              <w:t>放空阀</w:t>
            </w:r>
            <w:r>
              <w:rPr>
                <w:spacing w:val="-26"/>
              </w:rPr>
              <w:t xml:space="preserve"> </w:t>
            </w:r>
            <w:r>
              <w:rPr>
                <w:rFonts w:ascii="Times New Roman" w:hAnsi="Times New Roman" w:eastAsia="Times New Roman" w:cs="Times New Roman"/>
              </w:rPr>
              <w:t xml:space="preserve">1 </w:t>
            </w:r>
            <w:r>
              <w:t>根</w:t>
            </w:r>
            <w:r>
              <w:rPr>
                <w:spacing w:val="-11"/>
              </w:rPr>
              <w:t>），</w:t>
            </w:r>
            <w:r>
              <w:t>高</w:t>
            </w:r>
          </w:p>
          <w:p w14:paraId="6739A0C7">
            <w:pPr>
              <w:pStyle w:val="6"/>
              <w:spacing w:before="94" w:line="215" w:lineRule="auto"/>
              <w:ind w:left="756"/>
              <w:rPr>
                <w:rFonts w:ascii="Times New Roman" w:hAnsi="Times New Roman" w:eastAsia="Times New Roman" w:cs="Times New Roman"/>
              </w:rPr>
            </w:pPr>
            <w:r>
              <w:rPr>
                <w:spacing w:val="4"/>
              </w:rPr>
              <w:t>度</w:t>
            </w:r>
            <w:r>
              <w:rPr>
                <w:rFonts w:ascii="Times New Roman" w:hAnsi="Times New Roman" w:eastAsia="Times New Roman" w:cs="Times New Roman"/>
                <w:spacing w:val="4"/>
              </w:rPr>
              <w:t>≥4m</w:t>
            </w:r>
          </w:p>
        </w:tc>
        <w:tc>
          <w:tcPr>
            <w:tcW w:w="2286" w:type="dxa"/>
            <w:vMerge w:val="restart"/>
            <w:tcBorders>
              <w:bottom w:val="nil"/>
              <w:right w:val="single" w:color="000000" w:sz="6" w:space="0"/>
            </w:tcBorders>
            <w:vAlign w:val="top"/>
          </w:tcPr>
          <w:p w14:paraId="0CF3D119">
            <w:pPr>
              <w:spacing w:line="416" w:lineRule="auto"/>
              <w:rPr>
                <w:rFonts w:ascii="Arial"/>
                <w:sz w:val="21"/>
              </w:rPr>
            </w:pPr>
          </w:p>
          <w:p w14:paraId="54043353">
            <w:pPr>
              <w:pStyle w:val="6"/>
              <w:spacing w:before="81" w:line="295" w:lineRule="auto"/>
              <w:ind w:left="246" w:right="224" w:firstLine="1"/>
            </w:pPr>
            <w:r>
              <w:rPr>
                <w:spacing w:val="7"/>
              </w:rPr>
              <w:t>《加油站大气污</w:t>
            </w:r>
            <w:r>
              <w:rPr>
                <w:spacing w:val="6"/>
              </w:rPr>
              <w:t>染物排放标准》</w:t>
            </w:r>
          </w:p>
          <w:p w14:paraId="4DCB7F4E">
            <w:pPr>
              <w:pStyle w:val="6"/>
              <w:spacing w:before="1" w:line="238" w:lineRule="auto"/>
              <w:ind w:left="851"/>
              <w:rPr>
                <w:rFonts w:ascii="Times New Roman" w:hAnsi="Times New Roman" w:eastAsia="Times New Roman" w:cs="Times New Roman"/>
              </w:rPr>
            </w:pPr>
            <w:r>
              <w:rPr>
                <w:spacing w:val="-1"/>
              </w:rPr>
              <w:t>（</w:t>
            </w:r>
            <w:r>
              <w:rPr>
                <w:rFonts w:ascii="Times New Roman" w:hAnsi="Times New Roman" w:eastAsia="Times New Roman" w:cs="Times New Roman"/>
                <w:spacing w:val="-1"/>
              </w:rPr>
              <w:t>GB</w:t>
            </w:r>
          </w:p>
          <w:p w14:paraId="4C20C4B8">
            <w:pPr>
              <w:pStyle w:val="6"/>
              <w:spacing w:before="78" w:line="299" w:lineRule="auto"/>
              <w:ind w:left="123" w:right="51" w:hanging="8"/>
            </w:pPr>
            <w:r>
              <w:rPr>
                <w:rFonts w:ascii="Times New Roman" w:hAnsi="Times New Roman" w:eastAsia="Times New Roman" w:cs="Times New Roman"/>
                <w:spacing w:val="-11"/>
              </w:rPr>
              <w:t>20952-2020</w:t>
            </w:r>
            <w:r>
              <w:rPr>
                <w:spacing w:val="-11"/>
              </w:rPr>
              <w:t>）、《挥</w:t>
            </w:r>
            <w:r>
              <w:rPr>
                <w:spacing w:val="25"/>
              </w:rPr>
              <w:t>发性有机物无组</w:t>
            </w:r>
            <w:r>
              <w:rPr>
                <w:spacing w:val="6"/>
              </w:rPr>
              <w:t>织排放控制标准》</w:t>
            </w:r>
            <w:r>
              <w:t xml:space="preserve"> </w:t>
            </w:r>
            <w:r>
              <w:rPr>
                <w:spacing w:val="3"/>
              </w:rPr>
              <w:t>（</w:t>
            </w:r>
            <w:r>
              <w:rPr>
                <w:rFonts w:ascii="Times New Roman" w:hAnsi="Times New Roman" w:eastAsia="Times New Roman" w:cs="Times New Roman"/>
              </w:rPr>
              <w:t>GB</w:t>
            </w:r>
            <w:r>
              <w:rPr>
                <w:rFonts w:ascii="Times New Roman" w:hAnsi="Times New Roman" w:eastAsia="Times New Roman" w:cs="Times New Roman"/>
                <w:spacing w:val="3"/>
              </w:rPr>
              <w:t>37822-2019</w:t>
            </w:r>
            <w:r>
              <w:rPr>
                <w:spacing w:val="3"/>
              </w:rPr>
              <w:t>）</w:t>
            </w:r>
          </w:p>
        </w:tc>
      </w:tr>
      <w:tr w14:paraId="74F49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8" w:hRule="atLeast"/>
        </w:trPr>
        <w:tc>
          <w:tcPr>
            <w:tcW w:w="1448" w:type="dxa"/>
            <w:vMerge w:val="continue"/>
            <w:tcBorders>
              <w:top w:val="nil"/>
              <w:left w:val="single" w:color="000000" w:sz="6" w:space="0"/>
              <w:bottom w:val="nil"/>
            </w:tcBorders>
            <w:vAlign w:val="top"/>
          </w:tcPr>
          <w:p w14:paraId="14A8D15B">
            <w:pPr>
              <w:rPr>
                <w:rFonts w:ascii="Arial"/>
                <w:sz w:val="21"/>
              </w:rPr>
            </w:pPr>
          </w:p>
        </w:tc>
        <w:tc>
          <w:tcPr>
            <w:tcW w:w="1623" w:type="dxa"/>
            <w:vAlign w:val="top"/>
          </w:tcPr>
          <w:p w14:paraId="24E826B7">
            <w:pPr>
              <w:spacing w:line="266" w:lineRule="auto"/>
              <w:rPr>
                <w:rFonts w:ascii="Arial"/>
                <w:sz w:val="21"/>
              </w:rPr>
            </w:pPr>
          </w:p>
          <w:p w14:paraId="19A266CD">
            <w:pPr>
              <w:spacing w:line="266" w:lineRule="auto"/>
              <w:rPr>
                <w:rFonts w:ascii="Arial"/>
                <w:sz w:val="21"/>
              </w:rPr>
            </w:pPr>
          </w:p>
          <w:p w14:paraId="06C4833B">
            <w:pPr>
              <w:spacing w:line="266" w:lineRule="auto"/>
              <w:rPr>
                <w:rFonts w:ascii="Arial"/>
                <w:sz w:val="21"/>
              </w:rPr>
            </w:pPr>
          </w:p>
          <w:p w14:paraId="42730FE3">
            <w:pPr>
              <w:spacing w:line="267" w:lineRule="auto"/>
              <w:rPr>
                <w:rFonts w:ascii="Arial"/>
                <w:sz w:val="21"/>
              </w:rPr>
            </w:pPr>
          </w:p>
          <w:p w14:paraId="09B3E0CE">
            <w:pPr>
              <w:pStyle w:val="6"/>
              <w:spacing w:before="81" w:line="227" w:lineRule="auto"/>
              <w:ind w:left="558"/>
            </w:pPr>
            <w:r>
              <w:rPr>
                <w:spacing w:val="2"/>
              </w:rPr>
              <w:t>厂界</w:t>
            </w:r>
          </w:p>
        </w:tc>
        <w:tc>
          <w:tcPr>
            <w:tcW w:w="1216" w:type="dxa"/>
            <w:vMerge w:val="continue"/>
            <w:tcBorders>
              <w:top w:val="nil"/>
            </w:tcBorders>
            <w:vAlign w:val="top"/>
          </w:tcPr>
          <w:p w14:paraId="1B0C34BC">
            <w:pPr>
              <w:rPr>
                <w:rFonts w:ascii="Arial"/>
                <w:sz w:val="21"/>
              </w:rPr>
            </w:pPr>
          </w:p>
        </w:tc>
        <w:tc>
          <w:tcPr>
            <w:tcW w:w="2231" w:type="dxa"/>
            <w:vMerge w:val="continue"/>
            <w:tcBorders>
              <w:top w:val="nil"/>
            </w:tcBorders>
            <w:vAlign w:val="top"/>
          </w:tcPr>
          <w:p w14:paraId="136AA40A">
            <w:pPr>
              <w:rPr>
                <w:rFonts w:ascii="Arial"/>
                <w:sz w:val="21"/>
              </w:rPr>
            </w:pPr>
          </w:p>
        </w:tc>
        <w:tc>
          <w:tcPr>
            <w:tcW w:w="2286" w:type="dxa"/>
            <w:vMerge w:val="continue"/>
            <w:tcBorders>
              <w:top w:val="nil"/>
              <w:right w:val="single" w:color="000000" w:sz="6" w:space="0"/>
            </w:tcBorders>
            <w:vAlign w:val="top"/>
          </w:tcPr>
          <w:p w14:paraId="7CC5D630">
            <w:pPr>
              <w:rPr>
                <w:rFonts w:ascii="Arial"/>
                <w:sz w:val="21"/>
              </w:rPr>
            </w:pPr>
          </w:p>
        </w:tc>
      </w:tr>
      <w:tr w14:paraId="4F057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448" w:type="dxa"/>
            <w:vMerge w:val="continue"/>
            <w:tcBorders>
              <w:top w:val="nil"/>
              <w:left w:val="single" w:color="000000" w:sz="6" w:space="0"/>
              <w:bottom w:val="nil"/>
            </w:tcBorders>
            <w:vAlign w:val="top"/>
          </w:tcPr>
          <w:p w14:paraId="28F16349">
            <w:pPr>
              <w:rPr>
                <w:rFonts w:ascii="Arial"/>
                <w:sz w:val="21"/>
              </w:rPr>
            </w:pPr>
          </w:p>
        </w:tc>
        <w:tc>
          <w:tcPr>
            <w:tcW w:w="1623" w:type="dxa"/>
            <w:vAlign w:val="top"/>
          </w:tcPr>
          <w:p w14:paraId="6590860F">
            <w:pPr>
              <w:pStyle w:val="6"/>
              <w:spacing w:before="304" w:line="226" w:lineRule="auto"/>
              <w:ind w:left="166"/>
            </w:pPr>
            <w:r>
              <w:rPr>
                <w:spacing w:val="7"/>
              </w:rPr>
              <w:t>生化池臭气</w:t>
            </w:r>
          </w:p>
        </w:tc>
        <w:tc>
          <w:tcPr>
            <w:tcW w:w="1216" w:type="dxa"/>
            <w:vAlign w:val="top"/>
          </w:tcPr>
          <w:p w14:paraId="235A67C4">
            <w:pPr>
              <w:spacing w:line="271" w:lineRule="auto"/>
              <w:rPr>
                <w:rFonts w:ascii="Arial"/>
                <w:sz w:val="21"/>
              </w:rPr>
            </w:pPr>
          </w:p>
          <w:p w14:paraId="6BA7B8BE">
            <w:pPr>
              <w:spacing w:before="71" w:line="197" w:lineRule="auto"/>
              <w:ind w:left="569"/>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w:t>
            </w:r>
          </w:p>
        </w:tc>
        <w:tc>
          <w:tcPr>
            <w:tcW w:w="2231" w:type="dxa"/>
            <w:vAlign w:val="top"/>
          </w:tcPr>
          <w:p w14:paraId="42BF61FC">
            <w:pPr>
              <w:pStyle w:val="6"/>
              <w:spacing w:before="103" w:line="255" w:lineRule="auto"/>
              <w:ind w:left="117" w:right="101" w:firstLine="97"/>
            </w:pPr>
            <w:r>
              <w:rPr>
                <w:spacing w:val="8"/>
              </w:rPr>
              <w:t>地埋式，封闭管</w:t>
            </w:r>
            <w:r>
              <w:t>理，加强周边绿化</w:t>
            </w:r>
          </w:p>
        </w:tc>
        <w:tc>
          <w:tcPr>
            <w:tcW w:w="2286" w:type="dxa"/>
            <w:tcBorders>
              <w:right w:val="single" w:color="000000" w:sz="6" w:space="0"/>
            </w:tcBorders>
            <w:vAlign w:val="top"/>
          </w:tcPr>
          <w:p w14:paraId="3796980C">
            <w:pPr>
              <w:spacing w:line="271" w:lineRule="auto"/>
              <w:rPr>
                <w:rFonts w:ascii="Arial"/>
                <w:sz w:val="21"/>
              </w:rPr>
            </w:pPr>
          </w:p>
          <w:p w14:paraId="76D79B24">
            <w:pPr>
              <w:spacing w:before="71" w:line="197" w:lineRule="auto"/>
              <w:ind w:left="1106"/>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w:t>
            </w:r>
          </w:p>
        </w:tc>
      </w:tr>
      <w:tr w14:paraId="4ABE3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448" w:type="dxa"/>
            <w:vMerge w:val="continue"/>
            <w:tcBorders>
              <w:top w:val="nil"/>
              <w:left w:val="single" w:color="000000" w:sz="6" w:space="0"/>
            </w:tcBorders>
            <w:vAlign w:val="top"/>
          </w:tcPr>
          <w:p w14:paraId="6B13BF89">
            <w:pPr>
              <w:rPr>
                <w:rFonts w:ascii="Arial"/>
                <w:sz w:val="21"/>
              </w:rPr>
            </w:pPr>
          </w:p>
        </w:tc>
        <w:tc>
          <w:tcPr>
            <w:tcW w:w="1623" w:type="dxa"/>
            <w:vAlign w:val="top"/>
          </w:tcPr>
          <w:p w14:paraId="41636724">
            <w:pPr>
              <w:pStyle w:val="6"/>
              <w:spacing w:before="103" w:line="255" w:lineRule="auto"/>
              <w:ind w:left="554" w:right="165" w:hanging="390"/>
            </w:pPr>
            <w:r>
              <w:rPr>
                <w:spacing w:val="7"/>
              </w:rPr>
              <w:t>柴油发电机</w:t>
            </w:r>
            <w:r>
              <w:rPr>
                <w:spacing w:val="4"/>
              </w:rPr>
              <w:t>废气</w:t>
            </w:r>
          </w:p>
        </w:tc>
        <w:tc>
          <w:tcPr>
            <w:tcW w:w="1216" w:type="dxa"/>
            <w:vAlign w:val="top"/>
          </w:tcPr>
          <w:p w14:paraId="4450E75C">
            <w:pPr>
              <w:pStyle w:val="6"/>
              <w:spacing w:before="148" w:line="253" w:lineRule="auto"/>
              <w:ind w:left="351" w:right="266" w:hanging="133"/>
              <w:rPr>
                <w:rFonts w:ascii="Times New Roman" w:hAnsi="Times New Roman" w:eastAsia="Times New Roman" w:cs="Times New Roman"/>
              </w:rPr>
            </w:pPr>
            <w:r>
              <w:rPr>
                <w:rFonts w:ascii="Times New Roman" w:hAnsi="Times New Roman" w:eastAsia="Times New Roman" w:cs="Times New Roman"/>
                <w:spacing w:val="-3"/>
              </w:rPr>
              <w:t>NOx</w:t>
            </w:r>
            <w:r>
              <w:rPr>
                <w:spacing w:val="-3"/>
              </w:rPr>
              <w:t>、</w:t>
            </w:r>
            <w:r>
              <w:rPr>
                <w:spacing w:val="1"/>
              </w:rPr>
              <w:t xml:space="preserve"> </w:t>
            </w:r>
            <w:r>
              <w:rPr>
                <w:rFonts w:ascii="Times New Roman" w:hAnsi="Times New Roman" w:eastAsia="Times New Roman" w:cs="Times New Roman"/>
                <w:spacing w:val="3"/>
              </w:rPr>
              <w:t>THC</w:t>
            </w:r>
          </w:p>
        </w:tc>
        <w:tc>
          <w:tcPr>
            <w:tcW w:w="2231" w:type="dxa"/>
            <w:vAlign w:val="top"/>
          </w:tcPr>
          <w:p w14:paraId="21DE741F">
            <w:pPr>
              <w:pStyle w:val="6"/>
              <w:spacing w:before="103" w:line="255" w:lineRule="auto"/>
              <w:ind w:left="345" w:right="201" w:hanging="128"/>
            </w:pPr>
            <w:r>
              <w:rPr>
                <w:spacing w:val="8"/>
              </w:rPr>
              <w:t>经专用管道引至站房屋顶排放</w:t>
            </w:r>
          </w:p>
        </w:tc>
        <w:tc>
          <w:tcPr>
            <w:tcW w:w="2286" w:type="dxa"/>
            <w:tcBorders>
              <w:right w:val="single" w:color="000000" w:sz="6" w:space="0"/>
            </w:tcBorders>
            <w:vAlign w:val="top"/>
          </w:tcPr>
          <w:p w14:paraId="44D40879">
            <w:pPr>
              <w:spacing w:line="273" w:lineRule="auto"/>
              <w:rPr>
                <w:rFonts w:ascii="Arial"/>
                <w:sz w:val="21"/>
              </w:rPr>
            </w:pPr>
          </w:p>
          <w:p w14:paraId="75D9D808">
            <w:pPr>
              <w:spacing w:before="72" w:line="197" w:lineRule="auto"/>
              <w:ind w:left="1106"/>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w:t>
            </w:r>
          </w:p>
        </w:tc>
      </w:tr>
      <w:tr w14:paraId="2531B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1" w:hRule="atLeast"/>
        </w:trPr>
        <w:tc>
          <w:tcPr>
            <w:tcW w:w="1448" w:type="dxa"/>
            <w:vMerge w:val="restart"/>
            <w:tcBorders>
              <w:left w:val="single" w:color="000000" w:sz="6" w:space="0"/>
              <w:bottom w:val="nil"/>
            </w:tcBorders>
            <w:vAlign w:val="top"/>
          </w:tcPr>
          <w:p w14:paraId="5D8B53C2">
            <w:pPr>
              <w:spacing w:line="255" w:lineRule="auto"/>
              <w:rPr>
                <w:rFonts w:ascii="Arial"/>
                <w:sz w:val="21"/>
              </w:rPr>
            </w:pPr>
          </w:p>
          <w:p w14:paraId="1F2EE44C">
            <w:pPr>
              <w:spacing w:line="255" w:lineRule="auto"/>
              <w:rPr>
                <w:rFonts w:ascii="Arial"/>
                <w:sz w:val="21"/>
              </w:rPr>
            </w:pPr>
          </w:p>
          <w:p w14:paraId="3751B8C6">
            <w:pPr>
              <w:spacing w:line="255" w:lineRule="auto"/>
              <w:rPr>
                <w:rFonts w:ascii="Arial"/>
                <w:sz w:val="21"/>
              </w:rPr>
            </w:pPr>
          </w:p>
          <w:p w14:paraId="4D0D58C1">
            <w:pPr>
              <w:spacing w:line="255" w:lineRule="auto"/>
              <w:rPr>
                <w:rFonts w:ascii="Arial"/>
                <w:sz w:val="21"/>
              </w:rPr>
            </w:pPr>
          </w:p>
          <w:p w14:paraId="517E46F7">
            <w:pPr>
              <w:spacing w:line="255" w:lineRule="auto"/>
              <w:rPr>
                <w:rFonts w:ascii="Arial"/>
                <w:sz w:val="21"/>
              </w:rPr>
            </w:pPr>
          </w:p>
          <w:p w14:paraId="499BE3B7">
            <w:pPr>
              <w:spacing w:line="256" w:lineRule="auto"/>
              <w:rPr>
                <w:rFonts w:ascii="Arial"/>
                <w:sz w:val="21"/>
              </w:rPr>
            </w:pPr>
          </w:p>
          <w:p w14:paraId="6890B6AF">
            <w:pPr>
              <w:spacing w:line="256" w:lineRule="auto"/>
              <w:rPr>
                <w:rFonts w:ascii="Arial"/>
                <w:sz w:val="21"/>
              </w:rPr>
            </w:pPr>
          </w:p>
          <w:p w14:paraId="3FBDC8A9">
            <w:pPr>
              <w:spacing w:line="256" w:lineRule="auto"/>
              <w:rPr>
                <w:rFonts w:ascii="Arial"/>
                <w:sz w:val="21"/>
              </w:rPr>
            </w:pPr>
          </w:p>
          <w:p w14:paraId="03BA0B33">
            <w:pPr>
              <w:spacing w:line="256" w:lineRule="auto"/>
              <w:rPr>
                <w:rFonts w:ascii="Arial"/>
                <w:sz w:val="21"/>
              </w:rPr>
            </w:pPr>
          </w:p>
          <w:p w14:paraId="4B89E85D">
            <w:pPr>
              <w:spacing w:line="256" w:lineRule="auto"/>
              <w:rPr>
                <w:rFonts w:ascii="Arial"/>
                <w:sz w:val="21"/>
              </w:rPr>
            </w:pPr>
          </w:p>
          <w:p w14:paraId="1FBC740E">
            <w:pPr>
              <w:spacing w:line="256" w:lineRule="auto"/>
              <w:rPr>
                <w:rFonts w:ascii="Arial"/>
                <w:sz w:val="21"/>
              </w:rPr>
            </w:pPr>
          </w:p>
          <w:p w14:paraId="5E2EF4A2">
            <w:pPr>
              <w:pStyle w:val="6"/>
              <w:spacing w:before="81" w:line="298" w:lineRule="auto"/>
              <w:ind w:left="595" w:right="205" w:hanging="392"/>
            </w:pPr>
            <w:r>
              <w:rPr>
                <w:spacing w:val="7"/>
              </w:rPr>
              <w:t>地表水环</w:t>
            </w:r>
            <w:r>
              <w:t>境</w:t>
            </w:r>
          </w:p>
        </w:tc>
        <w:tc>
          <w:tcPr>
            <w:tcW w:w="1623" w:type="dxa"/>
            <w:vAlign w:val="top"/>
          </w:tcPr>
          <w:p w14:paraId="003050F8">
            <w:pPr>
              <w:spacing w:line="269" w:lineRule="auto"/>
              <w:rPr>
                <w:rFonts w:ascii="Arial"/>
                <w:sz w:val="21"/>
              </w:rPr>
            </w:pPr>
          </w:p>
          <w:p w14:paraId="102F730A">
            <w:pPr>
              <w:spacing w:line="269" w:lineRule="auto"/>
              <w:rPr>
                <w:rFonts w:ascii="Arial"/>
                <w:sz w:val="21"/>
              </w:rPr>
            </w:pPr>
          </w:p>
          <w:p w14:paraId="197C1E7C">
            <w:pPr>
              <w:spacing w:line="269" w:lineRule="auto"/>
              <w:rPr>
                <w:rFonts w:ascii="Arial"/>
                <w:sz w:val="21"/>
              </w:rPr>
            </w:pPr>
          </w:p>
          <w:p w14:paraId="0A9FEADC">
            <w:pPr>
              <w:spacing w:line="269" w:lineRule="auto"/>
              <w:rPr>
                <w:rFonts w:ascii="Arial"/>
                <w:sz w:val="21"/>
              </w:rPr>
            </w:pPr>
          </w:p>
          <w:p w14:paraId="5BCDD8B0">
            <w:pPr>
              <w:spacing w:line="269" w:lineRule="auto"/>
              <w:rPr>
                <w:rFonts w:ascii="Arial"/>
                <w:sz w:val="21"/>
              </w:rPr>
            </w:pPr>
          </w:p>
          <w:p w14:paraId="170D4043">
            <w:pPr>
              <w:spacing w:line="269" w:lineRule="auto"/>
              <w:rPr>
                <w:rFonts w:ascii="Arial"/>
                <w:sz w:val="21"/>
              </w:rPr>
            </w:pPr>
          </w:p>
          <w:p w14:paraId="6AEEF335">
            <w:pPr>
              <w:pStyle w:val="6"/>
              <w:spacing w:before="81" w:line="226" w:lineRule="auto"/>
              <w:ind w:left="298"/>
            </w:pPr>
            <w:r>
              <w:rPr>
                <w:spacing w:val="6"/>
              </w:rPr>
              <w:t>生活污水</w:t>
            </w:r>
          </w:p>
        </w:tc>
        <w:tc>
          <w:tcPr>
            <w:tcW w:w="1216" w:type="dxa"/>
            <w:vAlign w:val="top"/>
          </w:tcPr>
          <w:p w14:paraId="02E6174B">
            <w:pPr>
              <w:spacing w:line="252" w:lineRule="auto"/>
              <w:rPr>
                <w:rFonts w:ascii="Arial"/>
                <w:sz w:val="21"/>
              </w:rPr>
            </w:pPr>
          </w:p>
          <w:p w14:paraId="09ADC2BC">
            <w:pPr>
              <w:spacing w:line="252" w:lineRule="auto"/>
              <w:rPr>
                <w:rFonts w:ascii="Arial"/>
                <w:sz w:val="21"/>
              </w:rPr>
            </w:pPr>
          </w:p>
          <w:p w14:paraId="6479B3CB">
            <w:pPr>
              <w:spacing w:line="252" w:lineRule="auto"/>
              <w:rPr>
                <w:rFonts w:ascii="Arial"/>
                <w:sz w:val="21"/>
              </w:rPr>
            </w:pPr>
          </w:p>
          <w:p w14:paraId="7D7D4D70">
            <w:pPr>
              <w:spacing w:line="253" w:lineRule="auto"/>
              <w:rPr>
                <w:rFonts w:ascii="Arial"/>
                <w:sz w:val="21"/>
              </w:rPr>
            </w:pPr>
          </w:p>
          <w:p w14:paraId="38121791">
            <w:pPr>
              <w:spacing w:line="253" w:lineRule="auto"/>
              <w:rPr>
                <w:rFonts w:ascii="Arial"/>
                <w:sz w:val="21"/>
              </w:rPr>
            </w:pPr>
          </w:p>
          <w:p w14:paraId="0C342DF7">
            <w:pPr>
              <w:pStyle w:val="6"/>
              <w:spacing w:before="81" w:line="185" w:lineRule="auto"/>
              <w:ind w:left="208"/>
            </w:pPr>
            <w:r>
              <w:rPr>
                <w:rFonts w:ascii="Times New Roman" w:hAnsi="Times New Roman" w:eastAsia="Times New Roman" w:cs="Times New Roman"/>
              </w:rPr>
              <w:t>COD</w:t>
            </w:r>
            <w:r>
              <w:rPr>
                <w:spacing w:val="9"/>
              </w:rPr>
              <w:t>、</w:t>
            </w:r>
          </w:p>
          <w:p w14:paraId="3FC7265B">
            <w:pPr>
              <w:pStyle w:val="6"/>
              <w:spacing w:before="147" w:line="194" w:lineRule="auto"/>
              <w:ind w:left="160"/>
            </w:pPr>
            <w:r>
              <w:rPr>
                <w:rFonts w:ascii="Times New Roman" w:hAnsi="Times New Roman" w:eastAsia="Times New Roman" w:cs="Times New Roman"/>
              </w:rPr>
              <w:t>BOD</w:t>
            </w:r>
            <w:r>
              <w:rPr>
                <w:rFonts w:ascii="Times New Roman" w:hAnsi="Times New Roman" w:eastAsia="Times New Roman" w:cs="Times New Roman"/>
                <w:spacing w:val="10"/>
                <w:position w:val="-1"/>
                <w:sz w:val="16"/>
                <w:szCs w:val="16"/>
              </w:rPr>
              <w:t>5</w:t>
            </w:r>
            <w:r>
              <w:rPr>
                <w:spacing w:val="10"/>
              </w:rPr>
              <w:t>、</w:t>
            </w:r>
          </w:p>
          <w:p w14:paraId="137AF156">
            <w:pPr>
              <w:pStyle w:val="6"/>
              <w:spacing w:before="94" w:line="225" w:lineRule="auto"/>
              <w:ind w:left="119"/>
            </w:pPr>
            <w:r>
              <w:rPr>
                <w:rFonts w:ascii="Times New Roman" w:hAnsi="Times New Roman" w:eastAsia="Times New Roman" w:cs="Times New Roman"/>
                <w:spacing w:val="-9"/>
              </w:rPr>
              <w:t>SS</w:t>
            </w:r>
            <w:r>
              <w:rPr>
                <w:spacing w:val="-9"/>
              </w:rPr>
              <w:t>、氨氮</w:t>
            </w:r>
          </w:p>
        </w:tc>
        <w:tc>
          <w:tcPr>
            <w:tcW w:w="2231" w:type="dxa"/>
            <w:vAlign w:val="top"/>
          </w:tcPr>
          <w:p w14:paraId="33F8458F">
            <w:pPr>
              <w:pStyle w:val="6"/>
              <w:spacing w:before="104" w:line="226" w:lineRule="auto"/>
              <w:ind w:left="215"/>
            </w:pPr>
            <w:r>
              <w:rPr>
                <w:spacing w:val="8"/>
              </w:rPr>
              <w:t>通过处理规模为</w:t>
            </w:r>
          </w:p>
          <w:p w14:paraId="546EFCC5">
            <w:pPr>
              <w:pStyle w:val="6"/>
              <w:spacing w:before="95" w:line="227" w:lineRule="auto"/>
              <w:ind w:left="218"/>
            </w:pPr>
            <w:r>
              <w:rPr>
                <w:rFonts w:ascii="Times New Roman" w:hAnsi="Times New Roman" w:eastAsia="Times New Roman" w:cs="Times New Roman"/>
              </w:rPr>
              <w:t>15m</w:t>
            </w:r>
            <w:r>
              <w:rPr>
                <w:rFonts w:ascii="Times New Roman" w:hAnsi="Times New Roman" w:eastAsia="Times New Roman" w:cs="Times New Roman"/>
                <w:position w:val="8"/>
                <w:sz w:val="16"/>
                <w:szCs w:val="16"/>
              </w:rPr>
              <w:t>3</w:t>
            </w:r>
            <w:r>
              <w:rPr>
                <w:rFonts w:ascii="Times New Roman" w:hAnsi="Times New Roman" w:eastAsia="Times New Roman" w:cs="Times New Roman"/>
              </w:rPr>
              <w:t>/d</w:t>
            </w:r>
            <w:r>
              <w:rPr>
                <w:rFonts w:ascii="Times New Roman" w:hAnsi="Times New Roman" w:eastAsia="Times New Roman" w:cs="Times New Roman"/>
                <w:spacing w:val="39"/>
                <w:w w:val="101"/>
              </w:rPr>
              <w:t xml:space="preserve"> </w:t>
            </w:r>
            <w:r>
              <w:t>的生化池</w:t>
            </w:r>
          </w:p>
          <w:p w14:paraId="5C7531B7">
            <w:pPr>
              <w:pStyle w:val="6"/>
              <w:spacing w:before="92" w:line="226" w:lineRule="auto"/>
              <w:ind w:left="119"/>
            </w:pPr>
            <w:r>
              <w:t>处理达《污水综合</w:t>
            </w:r>
          </w:p>
          <w:p w14:paraId="1D73A73C">
            <w:pPr>
              <w:pStyle w:val="6"/>
              <w:spacing w:before="91" w:line="227" w:lineRule="auto"/>
              <w:ind w:left="474"/>
            </w:pPr>
            <w:r>
              <w:rPr>
                <w:spacing w:val="5"/>
              </w:rPr>
              <w:t>排放标准》</w:t>
            </w:r>
          </w:p>
          <w:p w14:paraId="516D37BF">
            <w:pPr>
              <w:pStyle w:val="6"/>
              <w:spacing w:before="94" w:line="238" w:lineRule="auto"/>
              <w:ind w:left="133"/>
            </w:pPr>
            <w:r>
              <w:rPr>
                <w:spacing w:val="1"/>
              </w:rPr>
              <w:t>（</w:t>
            </w:r>
            <w:r>
              <w:rPr>
                <w:rFonts w:ascii="Times New Roman" w:hAnsi="Times New Roman" w:eastAsia="Times New Roman" w:cs="Times New Roman"/>
              </w:rPr>
              <w:t>GB</w:t>
            </w:r>
            <w:r>
              <w:rPr>
                <w:rFonts w:ascii="Times New Roman" w:hAnsi="Times New Roman" w:eastAsia="Times New Roman" w:cs="Times New Roman"/>
                <w:spacing w:val="1"/>
              </w:rPr>
              <w:t>8978-</w:t>
            </w:r>
            <w:r>
              <w:rPr>
                <w:rFonts w:ascii="Times New Roman" w:hAnsi="Times New Roman" w:eastAsia="Times New Roman" w:cs="Times New Roman"/>
                <w:spacing w:val="-33"/>
              </w:rPr>
              <w:t xml:space="preserve"> </w:t>
            </w:r>
            <w:r>
              <w:rPr>
                <w:rFonts w:ascii="Times New Roman" w:hAnsi="Times New Roman" w:eastAsia="Times New Roman" w:cs="Times New Roman"/>
                <w:spacing w:val="1"/>
              </w:rPr>
              <w:t>1996</w:t>
            </w:r>
            <w:r>
              <w:rPr>
                <w:spacing w:val="1"/>
              </w:rPr>
              <w:t>）</w:t>
            </w:r>
          </w:p>
          <w:p w14:paraId="01F51C4E">
            <w:pPr>
              <w:pStyle w:val="6"/>
              <w:spacing w:before="78" w:line="227" w:lineRule="auto"/>
              <w:ind w:left="215"/>
            </w:pPr>
            <w:r>
              <w:rPr>
                <w:spacing w:val="8"/>
              </w:rPr>
              <w:t>三级标准后通过</w:t>
            </w:r>
          </w:p>
          <w:p w14:paraId="78DABAE3">
            <w:pPr>
              <w:pStyle w:val="6"/>
              <w:spacing w:before="91" w:line="226" w:lineRule="auto"/>
              <w:ind w:left="222"/>
            </w:pPr>
            <w:r>
              <w:rPr>
                <w:spacing w:val="7"/>
              </w:rPr>
              <w:t>市政污水管网进</w:t>
            </w:r>
          </w:p>
          <w:p w14:paraId="3AD8AB08">
            <w:pPr>
              <w:pStyle w:val="6"/>
              <w:spacing w:before="95" w:line="226" w:lineRule="auto"/>
              <w:ind w:left="214"/>
            </w:pPr>
            <w:r>
              <w:rPr>
                <w:spacing w:val="8"/>
              </w:rPr>
              <w:t>入大九污水处理</w:t>
            </w:r>
          </w:p>
          <w:p w14:paraId="3F9ED309">
            <w:pPr>
              <w:pStyle w:val="6"/>
              <w:spacing w:before="95" w:line="210" w:lineRule="auto"/>
              <w:ind w:left="998"/>
            </w:pPr>
            <w:r>
              <w:t>厂</w:t>
            </w:r>
          </w:p>
        </w:tc>
        <w:tc>
          <w:tcPr>
            <w:tcW w:w="2286" w:type="dxa"/>
            <w:vMerge w:val="restart"/>
            <w:tcBorders>
              <w:bottom w:val="nil"/>
              <w:right w:val="single" w:color="000000" w:sz="6" w:space="0"/>
            </w:tcBorders>
            <w:vAlign w:val="top"/>
          </w:tcPr>
          <w:p w14:paraId="1B92B4FD">
            <w:pPr>
              <w:spacing w:line="284" w:lineRule="auto"/>
              <w:rPr>
                <w:rFonts w:ascii="Arial"/>
                <w:sz w:val="21"/>
              </w:rPr>
            </w:pPr>
          </w:p>
          <w:p w14:paraId="769FB15E">
            <w:pPr>
              <w:spacing w:line="284" w:lineRule="auto"/>
              <w:rPr>
                <w:rFonts w:ascii="Arial"/>
                <w:sz w:val="21"/>
              </w:rPr>
            </w:pPr>
          </w:p>
          <w:p w14:paraId="0E10F65F">
            <w:pPr>
              <w:spacing w:line="284" w:lineRule="auto"/>
              <w:rPr>
                <w:rFonts w:ascii="Arial"/>
                <w:sz w:val="21"/>
              </w:rPr>
            </w:pPr>
          </w:p>
          <w:p w14:paraId="09E8271E">
            <w:pPr>
              <w:spacing w:line="284" w:lineRule="auto"/>
              <w:rPr>
                <w:rFonts w:ascii="Arial"/>
                <w:sz w:val="21"/>
              </w:rPr>
            </w:pPr>
          </w:p>
          <w:p w14:paraId="0B6E0C29">
            <w:pPr>
              <w:spacing w:line="284" w:lineRule="auto"/>
              <w:rPr>
                <w:rFonts w:ascii="Arial"/>
                <w:sz w:val="21"/>
              </w:rPr>
            </w:pPr>
          </w:p>
          <w:p w14:paraId="2878DC0A">
            <w:pPr>
              <w:pStyle w:val="6"/>
              <w:spacing w:before="82" w:line="226" w:lineRule="auto"/>
              <w:ind w:left="248"/>
            </w:pPr>
            <w:r>
              <w:rPr>
                <w:spacing w:val="7"/>
              </w:rPr>
              <w:t>《污水综合排放</w:t>
            </w:r>
          </w:p>
          <w:p w14:paraId="3CF1B1EB">
            <w:pPr>
              <w:pStyle w:val="6"/>
              <w:spacing w:before="92" w:line="227" w:lineRule="auto"/>
              <w:ind w:left="762"/>
            </w:pPr>
            <w:r>
              <w:rPr>
                <w:spacing w:val="2"/>
              </w:rPr>
              <w:t>标准》</w:t>
            </w:r>
          </w:p>
          <w:p w14:paraId="145B9F88">
            <w:pPr>
              <w:pStyle w:val="6"/>
              <w:spacing w:before="94" w:line="238" w:lineRule="auto"/>
              <w:ind w:left="158"/>
            </w:pPr>
            <w:r>
              <w:rPr>
                <w:spacing w:val="1"/>
              </w:rPr>
              <w:t>（</w:t>
            </w:r>
            <w:r>
              <w:rPr>
                <w:rFonts w:ascii="Times New Roman" w:hAnsi="Times New Roman" w:eastAsia="Times New Roman" w:cs="Times New Roman"/>
              </w:rPr>
              <w:t>GB</w:t>
            </w:r>
            <w:r>
              <w:rPr>
                <w:rFonts w:ascii="Times New Roman" w:hAnsi="Times New Roman" w:eastAsia="Times New Roman" w:cs="Times New Roman"/>
                <w:spacing w:val="1"/>
              </w:rPr>
              <w:t>8978-</w:t>
            </w:r>
            <w:r>
              <w:rPr>
                <w:rFonts w:ascii="Times New Roman" w:hAnsi="Times New Roman" w:eastAsia="Times New Roman" w:cs="Times New Roman"/>
                <w:spacing w:val="-30"/>
              </w:rPr>
              <w:t xml:space="preserve"> </w:t>
            </w:r>
            <w:r>
              <w:rPr>
                <w:rFonts w:ascii="Times New Roman" w:hAnsi="Times New Roman" w:eastAsia="Times New Roman" w:cs="Times New Roman"/>
                <w:spacing w:val="1"/>
              </w:rPr>
              <w:t>1996</w:t>
            </w:r>
            <w:r>
              <w:rPr>
                <w:spacing w:val="1"/>
              </w:rPr>
              <w:t>）</w:t>
            </w:r>
          </w:p>
          <w:p w14:paraId="49E7EF92">
            <w:pPr>
              <w:pStyle w:val="6"/>
              <w:spacing w:before="77" w:line="227" w:lineRule="auto"/>
              <w:ind w:left="501"/>
            </w:pPr>
            <w:r>
              <w:rPr>
                <w:spacing w:val="5"/>
              </w:rPr>
              <w:t>三级标准；</w:t>
            </w:r>
          </w:p>
          <w:p w14:paraId="46FA62E6">
            <w:pPr>
              <w:pStyle w:val="6"/>
              <w:spacing w:before="91" w:line="226" w:lineRule="auto"/>
              <w:ind w:left="248"/>
            </w:pPr>
            <w:r>
              <w:rPr>
                <w:spacing w:val="7"/>
              </w:rPr>
              <w:t>《城镇污水处理</w:t>
            </w:r>
          </w:p>
          <w:p w14:paraId="6EFD9E93">
            <w:pPr>
              <w:pStyle w:val="6"/>
              <w:spacing w:before="94" w:line="227" w:lineRule="auto"/>
              <w:ind w:left="245"/>
            </w:pPr>
            <w:r>
              <w:rPr>
                <w:spacing w:val="7"/>
              </w:rPr>
              <w:t>厂污染物排放标</w:t>
            </w:r>
          </w:p>
          <w:p w14:paraId="5A75DAF4">
            <w:pPr>
              <w:pStyle w:val="6"/>
              <w:spacing w:before="94" w:line="227" w:lineRule="auto"/>
              <w:ind w:left="892"/>
            </w:pPr>
            <w:r>
              <w:rPr>
                <w:spacing w:val="-2"/>
              </w:rPr>
              <w:t>准》</w:t>
            </w:r>
          </w:p>
          <w:p w14:paraId="4279EBF2">
            <w:pPr>
              <w:pStyle w:val="6"/>
              <w:spacing w:before="90" w:line="298" w:lineRule="auto"/>
              <w:ind w:left="476" w:right="51" w:hanging="345"/>
            </w:pPr>
            <w:r>
              <w:rPr>
                <w:spacing w:val="3"/>
              </w:rPr>
              <w:t>（</w:t>
            </w:r>
            <w:r>
              <w:rPr>
                <w:rFonts w:ascii="Times New Roman" w:hAnsi="Times New Roman" w:eastAsia="Times New Roman" w:cs="Times New Roman"/>
              </w:rPr>
              <w:t>GB</w:t>
            </w:r>
            <w:r>
              <w:rPr>
                <w:rFonts w:ascii="Times New Roman" w:hAnsi="Times New Roman" w:eastAsia="Times New Roman" w:cs="Times New Roman"/>
                <w:spacing w:val="3"/>
              </w:rPr>
              <w:t>18918-2002</w:t>
            </w:r>
            <w:r>
              <w:rPr>
                <w:spacing w:val="3"/>
              </w:rPr>
              <w:t>）一级</w:t>
            </w:r>
            <w:r>
              <w:rPr>
                <w:spacing w:val="-56"/>
              </w:rPr>
              <w:t xml:space="preserve"> </w:t>
            </w:r>
            <w:r>
              <w:rPr>
                <w:rFonts w:ascii="Times New Roman" w:hAnsi="Times New Roman" w:eastAsia="Times New Roman" w:cs="Times New Roman"/>
                <w:spacing w:val="3"/>
              </w:rPr>
              <w:t>A</w:t>
            </w:r>
            <w:r>
              <w:rPr>
                <w:rFonts w:ascii="Times New Roman" w:hAnsi="Times New Roman" w:eastAsia="Times New Roman" w:cs="Times New Roman"/>
                <w:spacing w:val="13"/>
              </w:rPr>
              <w:t xml:space="preserve"> </w:t>
            </w:r>
            <w:r>
              <w:rPr>
                <w:spacing w:val="3"/>
              </w:rPr>
              <w:t>标准</w:t>
            </w:r>
          </w:p>
        </w:tc>
      </w:tr>
      <w:tr w14:paraId="718CF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4" w:hRule="atLeast"/>
        </w:trPr>
        <w:tc>
          <w:tcPr>
            <w:tcW w:w="1448" w:type="dxa"/>
            <w:vMerge w:val="continue"/>
            <w:tcBorders>
              <w:top w:val="nil"/>
              <w:left w:val="single" w:color="000000" w:sz="6" w:space="0"/>
              <w:bottom w:val="single" w:color="000000" w:sz="6" w:space="0"/>
            </w:tcBorders>
            <w:vAlign w:val="top"/>
          </w:tcPr>
          <w:p w14:paraId="10980087">
            <w:pPr>
              <w:rPr>
                <w:rFonts w:ascii="Arial"/>
                <w:sz w:val="21"/>
              </w:rPr>
            </w:pPr>
          </w:p>
        </w:tc>
        <w:tc>
          <w:tcPr>
            <w:tcW w:w="1623" w:type="dxa"/>
            <w:tcBorders>
              <w:bottom w:val="single" w:color="000000" w:sz="6" w:space="0"/>
            </w:tcBorders>
            <w:vAlign w:val="top"/>
          </w:tcPr>
          <w:p w14:paraId="4582A982">
            <w:pPr>
              <w:spacing w:line="274" w:lineRule="auto"/>
              <w:rPr>
                <w:rFonts w:ascii="Arial"/>
                <w:sz w:val="21"/>
              </w:rPr>
            </w:pPr>
          </w:p>
          <w:p w14:paraId="10F0C3C7">
            <w:pPr>
              <w:spacing w:line="274" w:lineRule="auto"/>
              <w:rPr>
                <w:rFonts w:ascii="Arial"/>
                <w:sz w:val="21"/>
              </w:rPr>
            </w:pPr>
          </w:p>
          <w:p w14:paraId="7CBD4430">
            <w:pPr>
              <w:spacing w:line="275" w:lineRule="auto"/>
              <w:rPr>
                <w:rFonts w:ascii="Arial"/>
                <w:sz w:val="21"/>
              </w:rPr>
            </w:pPr>
          </w:p>
          <w:p w14:paraId="371671BB">
            <w:pPr>
              <w:pStyle w:val="6"/>
              <w:spacing w:before="82" w:line="296" w:lineRule="auto"/>
              <w:ind w:left="167" w:right="162" w:hanging="4"/>
              <w:jc w:val="both"/>
            </w:pPr>
            <w:r>
              <w:rPr>
                <w:spacing w:val="7"/>
              </w:rPr>
              <w:t>场地冲洗废水、外初期</w:t>
            </w:r>
            <w:r>
              <w:rPr>
                <w:spacing w:val="39"/>
              </w:rPr>
              <w:t>地面雨水</w:t>
            </w:r>
          </w:p>
        </w:tc>
        <w:tc>
          <w:tcPr>
            <w:tcW w:w="1216" w:type="dxa"/>
            <w:tcBorders>
              <w:bottom w:val="single" w:color="000000" w:sz="6" w:space="0"/>
            </w:tcBorders>
            <w:vAlign w:val="top"/>
          </w:tcPr>
          <w:p w14:paraId="6B72CDC9">
            <w:pPr>
              <w:spacing w:line="255" w:lineRule="auto"/>
              <w:rPr>
                <w:rFonts w:ascii="Arial"/>
                <w:sz w:val="21"/>
              </w:rPr>
            </w:pPr>
          </w:p>
          <w:p w14:paraId="74474303">
            <w:pPr>
              <w:spacing w:line="255" w:lineRule="auto"/>
              <w:rPr>
                <w:rFonts w:ascii="Arial"/>
                <w:sz w:val="21"/>
              </w:rPr>
            </w:pPr>
          </w:p>
          <w:p w14:paraId="7C3AC28E">
            <w:pPr>
              <w:spacing w:line="255" w:lineRule="auto"/>
              <w:rPr>
                <w:rFonts w:ascii="Arial"/>
                <w:sz w:val="21"/>
              </w:rPr>
            </w:pPr>
          </w:p>
          <w:p w14:paraId="66FC920E">
            <w:pPr>
              <w:spacing w:line="255" w:lineRule="auto"/>
              <w:rPr>
                <w:rFonts w:ascii="Arial"/>
                <w:sz w:val="21"/>
              </w:rPr>
            </w:pPr>
          </w:p>
          <w:p w14:paraId="426CFC01">
            <w:pPr>
              <w:pStyle w:val="6"/>
              <w:spacing w:before="81" w:line="298" w:lineRule="auto"/>
              <w:ind w:left="484" w:right="106" w:hanging="365"/>
            </w:pPr>
            <w:r>
              <w:rPr>
                <w:rFonts w:ascii="Times New Roman" w:hAnsi="Times New Roman" w:eastAsia="Times New Roman" w:cs="Times New Roman"/>
                <w:spacing w:val="-9"/>
              </w:rPr>
              <w:t>SS</w:t>
            </w:r>
            <w:r>
              <w:rPr>
                <w:spacing w:val="-9"/>
              </w:rPr>
              <w:t>、石油</w:t>
            </w:r>
            <w:r>
              <w:t>类</w:t>
            </w:r>
          </w:p>
        </w:tc>
        <w:tc>
          <w:tcPr>
            <w:tcW w:w="2231" w:type="dxa"/>
            <w:tcBorders>
              <w:bottom w:val="single" w:color="000000" w:sz="6" w:space="0"/>
            </w:tcBorders>
            <w:vAlign w:val="top"/>
          </w:tcPr>
          <w:p w14:paraId="67AE1F7B">
            <w:pPr>
              <w:pStyle w:val="6"/>
              <w:spacing w:before="110" w:line="226" w:lineRule="auto"/>
              <w:ind w:left="215"/>
            </w:pPr>
            <w:r>
              <w:rPr>
                <w:spacing w:val="8"/>
              </w:rPr>
              <w:t>通过处理规模为</w:t>
            </w:r>
          </w:p>
          <w:p w14:paraId="1B85EFF5">
            <w:pPr>
              <w:pStyle w:val="6"/>
              <w:spacing w:before="92" w:line="227" w:lineRule="auto"/>
              <w:ind w:left="199"/>
            </w:pPr>
            <w:r>
              <w:rPr>
                <w:rFonts w:ascii="Times New Roman" w:hAnsi="Times New Roman" w:eastAsia="Times New Roman" w:cs="Times New Roman"/>
                <w:spacing w:val="2"/>
              </w:rPr>
              <w:t>30m</w:t>
            </w:r>
            <w:r>
              <w:rPr>
                <w:rFonts w:ascii="Times New Roman" w:hAnsi="Times New Roman" w:eastAsia="Times New Roman" w:cs="Times New Roman"/>
                <w:spacing w:val="2"/>
                <w:position w:val="8"/>
                <w:sz w:val="16"/>
                <w:szCs w:val="16"/>
              </w:rPr>
              <w:t>3</w:t>
            </w:r>
            <w:r>
              <w:rPr>
                <w:rFonts w:ascii="Times New Roman" w:hAnsi="Times New Roman" w:eastAsia="Times New Roman" w:cs="Times New Roman"/>
                <w:spacing w:val="2"/>
              </w:rPr>
              <w:t>/d</w:t>
            </w:r>
            <w:r>
              <w:rPr>
                <w:rFonts w:ascii="Times New Roman" w:hAnsi="Times New Roman" w:eastAsia="Times New Roman" w:cs="Times New Roman"/>
                <w:spacing w:val="39"/>
              </w:rPr>
              <w:t xml:space="preserve"> </w:t>
            </w:r>
            <w:r>
              <w:rPr>
                <w:spacing w:val="2"/>
              </w:rPr>
              <w:t>的隔油池</w:t>
            </w:r>
          </w:p>
          <w:p w14:paraId="105C9ADC">
            <w:pPr>
              <w:pStyle w:val="6"/>
              <w:spacing w:before="92" w:line="226" w:lineRule="auto"/>
              <w:ind w:left="119"/>
            </w:pPr>
            <w:r>
              <w:t>处理达《污水综合</w:t>
            </w:r>
          </w:p>
          <w:p w14:paraId="0B3FD009">
            <w:pPr>
              <w:pStyle w:val="6"/>
              <w:spacing w:before="94" w:line="227" w:lineRule="auto"/>
              <w:ind w:left="474"/>
            </w:pPr>
            <w:r>
              <w:rPr>
                <w:spacing w:val="5"/>
              </w:rPr>
              <w:t>排放标准》</w:t>
            </w:r>
          </w:p>
          <w:p w14:paraId="19E9BE79">
            <w:pPr>
              <w:pStyle w:val="6"/>
              <w:spacing w:before="92" w:line="238" w:lineRule="auto"/>
              <w:ind w:left="133"/>
            </w:pPr>
            <w:r>
              <w:rPr>
                <w:spacing w:val="1"/>
              </w:rPr>
              <w:t>（</w:t>
            </w:r>
            <w:r>
              <w:rPr>
                <w:rFonts w:ascii="Times New Roman" w:hAnsi="Times New Roman" w:eastAsia="Times New Roman" w:cs="Times New Roman"/>
              </w:rPr>
              <w:t>GB</w:t>
            </w:r>
            <w:r>
              <w:rPr>
                <w:rFonts w:ascii="Times New Roman" w:hAnsi="Times New Roman" w:eastAsia="Times New Roman" w:cs="Times New Roman"/>
                <w:spacing w:val="1"/>
              </w:rPr>
              <w:t>8978-</w:t>
            </w:r>
            <w:r>
              <w:rPr>
                <w:rFonts w:ascii="Times New Roman" w:hAnsi="Times New Roman" w:eastAsia="Times New Roman" w:cs="Times New Roman"/>
                <w:spacing w:val="-33"/>
              </w:rPr>
              <w:t xml:space="preserve"> </w:t>
            </w:r>
            <w:r>
              <w:rPr>
                <w:rFonts w:ascii="Times New Roman" w:hAnsi="Times New Roman" w:eastAsia="Times New Roman" w:cs="Times New Roman"/>
                <w:spacing w:val="1"/>
              </w:rPr>
              <w:t>1996</w:t>
            </w:r>
            <w:r>
              <w:rPr>
                <w:spacing w:val="1"/>
              </w:rPr>
              <w:t>）</w:t>
            </w:r>
          </w:p>
          <w:p w14:paraId="1248E2C5">
            <w:pPr>
              <w:pStyle w:val="6"/>
              <w:spacing w:before="78" w:line="227" w:lineRule="auto"/>
              <w:ind w:left="215"/>
            </w:pPr>
            <w:r>
              <w:rPr>
                <w:spacing w:val="8"/>
              </w:rPr>
              <w:t>三级标准后通过</w:t>
            </w:r>
          </w:p>
          <w:p w14:paraId="2CAB8EA2">
            <w:pPr>
              <w:pStyle w:val="6"/>
              <w:spacing w:before="93" w:line="217" w:lineRule="auto"/>
              <w:ind w:left="222"/>
            </w:pPr>
            <w:r>
              <w:rPr>
                <w:spacing w:val="7"/>
              </w:rPr>
              <w:t>市政污水管网进</w:t>
            </w:r>
          </w:p>
        </w:tc>
        <w:tc>
          <w:tcPr>
            <w:tcW w:w="2286" w:type="dxa"/>
            <w:vMerge w:val="continue"/>
            <w:tcBorders>
              <w:top w:val="nil"/>
              <w:bottom w:val="single" w:color="000000" w:sz="6" w:space="0"/>
              <w:right w:val="single" w:color="000000" w:sz="6" w:space="0"/>
            </w:tcBorders>
            <w:vAlign w:val="top"/>
          </w:tcPr>
          <w:p w14:paraId="60BE213D">
            <w:pPr>
              <w:rPr>
                <w:rFonts w:ascii="Arial"/>
                <w:sz w:val="21"/>
              </w:rPr>
            </w:pPr>
          </w:p>
        </w:tc>
      </w:tr>
    </w:tbl>
    <w:p w14:paraId="10756763">
      <w:pPr>
        <w:pStyle w:val="2"/>
        <w:rPr>
          <w:sz w:val="21"/>
        </w:rPr>
      </w:pPr>
    </w:p>
    <w:p w14:paraId="354C2761">
      <w:pPr>
        <w:rPr>
          <w:sz w:val="21"/>
          <w:szCs w:val="21"/>
        </w:rPr>
        <w:sectPr>
          <w:footerReference r:id="rId103" w:type="default"/>
          <w:pgSz w:w="11906" w:h="16839"/>
          <w:pgMar w:top="400" w:right="1535" w:bottom="1009" w:left="1543" w:header="0" w:footer="770" w:gutter="0"/>
          <w:cols w:space="720" w:num="1"/>
        </w:sectPr>
      </w:pPr>
    </w:p>
    <w:p w14:paraId="45EC1D91">
      <w:pPr>
        <w:spacing w:before="19"/>
      </w:pPr>
    </w:p>
    <w:p w14:paraId="5DE8F347">
      <w:pPr>
        <w:spacing w:before="19"/>
      </w:pPr>
    </w:p>
    <w:p w14:paraId="3229CD89">
      <w:pPr>
        <w:spacing w:before="19"/>
      </w:pPr>
    </w:p>
    <w:p w14:paraId="409ECA2A">
      <w:pPr>
        <w:spacing w:before="18"/>
      </w:pPr>
    </w:p>
    <w:p w14:paraId="359BAB86">
      <w:pPr>
        <w:spacing w:before="18"/>
      </w:pPr>
    </w:p>
    <w:tbl>
      <w:tblPr>
        <w:tblStyle w:val="5"/>
        <w:tblW w:w="8804"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8"/>
        <w:gridCol w:w="1623"/>
        <w:gridCol w:w="1216"/>
        <w:gridCol w:w="2231"/>
        <w:gridCol w:w="2286"/>
      </w:tblGrid>
      <w:tr w14:paraId="36C53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1448" w:type="dxa"/>
            <w:tcBorders>
              <w:top w:val="single" w:color="000000" w:sz="6" w:space="0"/>
              <w:left w:val="single" w:color="000000" w:sz="6" w:space="0"/>
            </w:tcBorders>
            <w:vAlign w:val="top"/>
          </w:tcPr>
          <w:p w14:paraId="0F33970F">
            <w:pPr>
              <w:rPr>
                <w:rFonts w:ascii="Arial"/>
                <w:sz w:val="21"/>
              </w:rPr>
            </w:pPr>
          </w:p>
        </w:tc>
        <w:tc>
          <w:tcPr>
            <w:tcW w:w="1623" w:type="dxa"/>
            <w:tcBorders>
              <w:top w:val="single" w:color="000000" w:sz="6" w:space="0"/>
            </w:tcBorders>
            <w:vAlign w:val="top"/>
          </w:tcPr>
          <w:p w14:paraId="2C032353">
            <w:pPr>
              <w:rPr>
                <w:rFonts w:ascii="Arial"/>
                <w:sz w:val="21"/>
              </w:rPr>
            </w:pPr>
          </w:p>
        </w:tc>
        <w:tc>
          <w:tcPr>
            <w:tcW w:w="1216" w:type="dxa"/>
            <w:tcBorders>
              <w:top w:val="single" w:color="000000" w:sz="6" w:space="0"/>
            </w:tcBorders>
            <w:vAlign w:val="top"/>
          </w:tcPr>
          <w:p w14:paraId="13EA91DB">
            <w:pPr>
              <w:rPr>
                <w:rFonts w:ascii="Arial"/>
                <w:sz w:val="21"/>
              </w:rPr>
            </w:pPr>
          </w:p>
        </w:tc>
        <w:tc>
          <w:tcPr>
            <w:tcW w:w="2231" w:type="dxa"/>
            <w:tcBorders>
              <w:top w:val="single" w:color="000000" w:sz="6" w:space="0"/>
            </w:tcBorders>
            <w:vAlign w:val="top"/>
          </w:tcPr>
          <w:p w14:paraId="541A03D9">
            <w:pPr>
              <w:pStyle w:val="6"/>
              <w:spacing w:before="93" w:line="296" w:lineRule="auto"/>
              <w:ind w:left="998" w:right="201" w:hanging="784"/>
            </w:pPr>
            <w:r>
              <w:rPr>
                <w:spacing w:val="8"/>
              </w:rPr>
              <w:t>入大九污水处理</w:t>
            </w:r>
            <w:r>
              <w:t>厂</w:t>
            </w:r>
          </w:p>
        </w:tc>
        <w:tc>
          <w:tcPr>
            <w:tcW w:w="2286" w:type="dxa"/>
            <w:tcBorders>
              <w:top w:val="single" w:color="000000" w:sz="6" w:space="0"/>
              <w:right w:val="single" w:color="000000" w:sz="6" w:space="0"/>
            </w:tcBorders>
            <w:vAlign w:val="top"/>
          </w:tcPr>
          <w:p w14:paraId="36FDFE52">
            <w:pPr>
              <w:rPr>
                <w:rFonts w:ascii="Arial"/>
                <w:sz w:val="21"/>
              </w:rPr>
            </w:pPr>
          </w:p>
        </w:tc>
      </w:tr>
      <w:tr w14:paraId="0BE09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1" w:hRule="atLeast"/>
        </w:trPr>
        <w:tc>
          <w:tcPr>
            <w:tcW w:w="1448" w:type="dxa"/>
            <w:tcBorders>
              <w:left w:val="single" w:color="000000" w:sz="6" w:space="0"/>
            </w:tcBorders>
            <w:vAlign w:val="top"/>
          </w:tcPr>
          <w:p w14:paraId="2F054781">
            <w:pPr>
              <w:spacing w:line="267" w:lineRule="auto"/>
              <w:rPr>
                <w:rFonts w:ascii="Arial"/>
                <w:sz w:val="21"/>
              </w:rPr>
            </w:pPr>
          </w:p>
          <w:p w14:paraId="043FDD1B">
            <w:pPr>
              <w:spacing w:line="267" w:lineRule="auto"/>
              <w:rPr>
                <w:rFonts w:ascii="Arial"/>
                <w:sz w:val="21"/>
              </w:rPr>
            </w:pPr>
          </w:p>
          <w:p w14:paraId="28AF5676">
            <w:pPr>
              <w:spacing w:line="268" w:lineRule="auto"/>
              <w:rPr>
                <w:rFonts w:ascii="Arial"/>
                <w:sz w:val="21"/>
              </w:rPr>
            </w:pPr>
          </w:p>
          <w:p w14:paraId="76DAAF77">
            <w:pPr>
              <w:spacing w:line="268" w:lineRule="auto"/>
              <w:rPr>
                <w:rFonts w:ascii="Arial"/>
                <w:sz w:val="21"/>
              </w:rPr>
            </w:pPr>
          </w:p>
          <w:p w14:paraId="72C8E511">
            <w:pPr>
              <w:spacing w:line="268" w:lineRule="auto"/>
              <w:rPr>
                <w:rFonts w:ascii="Arial"/>
                <w:sz w:val="21"/>
              </w:rPr>
            </w:pPr>
          </w:p>
          <w:p w14:paraId="7165674E">
            <w:pPr>
              <w:spacing w:line="268" w:lineRule="auto"/>
              <w:rPr>
                <w:rFonts w:ascii="Arial"/>
                <w:sz w:val="21"/>
              </w:rPr>
            </w:pPr>
          </w:p>
          <w:p w14:paraId="73BFA1D1">
            <w:pPr>
              <w:pStyle w:val="6"/>
              <w:spacing w:before="82" w:line="227" w:lineRule="auto"/>
              <w:ind w:left="340"/>
            </w:pPr>
            <w:r>
              <w:rPr>
                <w:spacing w:val="4"/>
              </w:rPr>
              <w:t>声环境</w:t>
            </w:r>
          </w:p>
        </w:tc>
        <w:tc>
          <w:tcPr>
            <w:tcW w:w="1623" w:type="dxa"/>
            <w:vAlign w:val="top"/>
          </w:tcPr>
          <w:p w14:paraId="6EBAEC7F">
            <w:pPr>
              <w:spacing w:line="281" w:lineRule="auto"/>
              <w:rPr>
                <w:rFonts w:ascii="Arial"/>
                <w:sz w:val="21"/>
              </w:rPr>
            </w:pPr>
          </w:p>
          <w:p w14:paraId="00DBA039">
            <w:pPr>
              <w:spacing w:line="281" w:lineRule="auto"/>
              <w:rPr>
                <w:rFonts w:ascii="Arial"/>
                <w:sz w:val="21"/>
              </w:rPr>
            </w:pPr>
          </w:p>
          <w:p w14:paraId="3B26657D">
            <w:pPr>
              <w:spacing w:line="281" w:lineRule="auto"/>
              <w:rPr>
                <w:rFonts w:ascii="Arial"/>
                <w:sz w:val="21"/>
              </w:rPr>
            </w:pPr>
          </w:p>
          <w:p w14:paraId="742CB4FA">
            <w:pPr>
              <w:spacing w:line="282" w:lineRule="auto"/>
              <w:rPr>
                <w:rFonts w:ascii="Arial"/>
                <w:sz w:val="21"/>
              </w:rPr>
            </w:pPr>
          </w:p>
          <w:p w14:paraId="62616F68">
            <w:pPr>
              <w:spacing w:line="282" w:lineRule="auto"/>
              <w:rPr>
                <w:rFonts w:ascii="Arial"/>
                <w:sz w:val="21"/>
              </w:rPr>
            </w:pPr>
          </w:p>
          <w:p w14:paraId="3C656CE5">
            <w:pPr>
              <w:pStyle w:val="6"/>
              <w:spacing w:before="82" w:line="298" w:lineRule="auto"/>
              <w:ind w:left="427" w:right="165" w:hanging="259"/>
            </w:pPr>
            <w:r>
              <w:rPr>
                <w:spacing w:val="6"/>
              </w:rPr>
              <w:t>设备、运输</w:t>
            </w:r>
            <w:r>
              <w:rPr>
                <w:spacing w:val="5"/>
              </w:rPr>
              <w:t>车辆等</w:t>
            </w:r>
          </w:p>
        </w:tc>
        <w:tc>
          <w:tcPr>
            <w:tcW w:w="1216" w:type="dxa"/>
            <w:vAlign w:val="top"/>
          </w:tcPr>
          <w:p w14:paraId="489B3041">
            <w:pPr>
              <w:spacing w:line="267" w:lineRule="auto"/>
              <w:rPr>
                <w:rFonts w:ascii="Arial"/>
                <w:sz w:val="21"/>
              </w:rPr>
            </w:pPr>
          </w:p>
          <w:p w14:paraId="1E4BFDC2">
            <w:pPr>
              <w:spacing w:line="267" w:lineRule="auto"/>
              <w:rPr>
                <w:rFonts w:ascii="Arial"/>
                <w:sz w:val="21"/>
              </w:rPr>
            </w:pPr>
          </w:p>
          <w:p w14:paraId="45402EF9">
            <w:pPr>
              <w:spacing w:line="268" w:lineRule="auto"/>
              <w:rPr>
                <w:rFonts w:ascii="Arial"/>
                <w:sz w:val="21"/>
              </w:rPr>
            </w:pPr>
          </w:p>
          <w:p w14:paraId="32E1E451">
            <w:pPr>
              <w:spacing w:line="268" w:lineRule="auto"/>
              <w:rPr>
                <w:rFonts w:ascii="Arial"/>
                <w:sz w:val="21"/>
              </w:rPr>
            </w:pPr>
          </w:p>
          <w:p w14:paraId="1DD967D2">
            <w:pPr>
              <w:spacing w:line="268" w:lineRule="auto"/>
              <w:rPr>
                <w:rFonts w:ascii="Arial"/>
                <w:sz w:val="21"/>
              </w:rPr>
            </w:pPr>
          </w:p>
          <w:p w14:paraId="2EB55DF5">
            <w:pPr>
              <w:spacing w:line="268" w:lineRule="auto"/>
              <w:rPr>
                <w:rFonts w:ascii="Arial"/>
                <w:sz w:val="21"/>
              </w:rPr>
            </w:pPr>
          </w:p>
          <w:p w14:paraId="7B971791">
            <w:pPr>
              <w:pStyle w:val="6"/>
              <w:spacing w:before="82" w:line="227" w:lineRule="auto"/>
              <w:ind w:left="365"/>
            </w:pPr>
            <w:r>
              <w:rPr>
                <w:spacing w:val="-3"/>
              </w:rPr>
              <w:t>噪声</w:t>
            </w:r>
          </w:p>
        </w:tc>
        <w:tc>
          <w:tcPr>
            <w:tcW w:w="2231" w:type="dxa"/>
            <w:vAlign w:val="top"/>
          </w:tcPr>
          <w:p w14:paraId="7AF145F8">
            <w:pPr>
              <w:spacing w:line="270" w:lineRule="auto"/>
              <w:rPr>
                <w:rFonts w:ascii="Arial"/>
                <w:sz w:val="21"/>
              </w:rPr>
            </w:pPr>
          </w:p>
          <w:p w14:paraId="4F6B0FA9">
            <w:pPr>
              <w:spacing w:line="271" w:lineRule="auto"/>
              <w:rPr>
                <w:rFonts w:ascii="Arial"/>
                <w:sz w:val="21"/>
              </w:rPr>
            </w:pPr>
          </w:p>
          <w:p w14:paraId="69C0A845">
            <w:pPr>
              <w:spacing w:line="271" w:lineRule="auto"/>
              <w:rPr>
                <w:rFonts w:ascii="Arial"/>
                <w:sz w:val="21"/>
              </w:rPr>
            </w:pPr>
          </w:p>
          <w:p w14:paraId="554E5CDB">
            <w:pPr>
              <w:pStyle w:val="6"/>
              <w:spacing w:before="82" w:line="226" w:lineRule="auto"/>
              <w:ind w:left="214"/>
            </w:pPr>
            <w:r>
              <w:rPr>
                <w:spacing w:val="8"/>
              </w:rPr>
              <w:t>选用先进低噪设</w:t>
            </w:r>
          </w:p>
          <w:p w14:paraId="35732F20">
            <w:pPr>
              <w:pStyle w:val="6"/>
              <w:spacing w:before="94" w:line="226" w:lineRule="auto"/>
              <w:ind w:left="218"/>
            </w:pPr>
            <w:r>
              <w:rPr>
                <w:spacing w:val="7"/>
              </w:rPr>
              <w:t>备，加强站内管</w:t>
            </w:r>
          </w:p>
          <w:p w14:paraId="27C53F05">
            <w:pPr>
              <w:pStyle w:val="6"/>
              <w:spacing w:before="92" w:line="228" w:lineRule="auto"/>
              <w:ind w:left="117"/>
            </w:pPr>
            <w:r>
              <w:t>理；加油站进出口</w:t>
            </w:r>
          </w:p>
          <w:p w14:paraId="5754F0C0">
            <w:pPr>
              <w:pStyle w:val="6"/>
              <w:spacing w:before="91" w:line="226" w:lineRule="auto"/>
              <w:ind w:left="219"/>
            </w:pPr>
            <w:r>
              <w:rPr>
                <w:spacing w:val="7"/>
              </w:rPr>
              <w:t>设置禁鸣及减速</w:t>
            </w:r>
          </w:p>
          <w:p w14:paraId="40DCCC24">
            <w:pPr>
              <w:pStyle w:val="6"/>
              <w:spacing w:before="94" w:line="227" w:lineRule="auto"/>
              <w:ind w:left="866"/>
            </w:pPr>
            <w:r>
              <w:rPr>
                <w:spacing w:val="3"/>
              </w:rPr>
              <w:t>标志</w:t>
            </w:r>
          </w:p>
        </w:tc>
        <w:tc>
          <w:tcPr>
            <w:tcW w:w="2286" w:type="dxa"/>
            <w:tcBorders>
              <w:right w:val="single" w:color="000000" w:sz="6" w:space="0"/>
            </w:tcBorders>
            <w:vAlign w:val="top"/>
          </w:tcPr>
          <w:p w14:paraId="123CEEF9">
            <w:pPr>
              <w:pStyle w:val="6"/>
              <w:spacing w:before="99" w:line="227" w:lineRule="auto"/>
              <w:ind w:left="248"/>
            </w:pPr>
            <w:r>
              <w:rPr>
                <w:spacing w:val="7"/>
              </w:rPr>
              <w:t>《工业企业厂界</w:t>
            </w:r>
          </w:p>
          <w:p w14:paraId="51030B2C">
            <w:pPr>
              <w:pStyle w:val="6"/>
              <w:spacing w:before="91" w:line="227" w:lineRule="auto"/>
              <w:ind w:left="242"/>
            </w:pPr>
            <w:r>
              <w:rPr>
                <w:spacing w:val="8"/>
              </w:rPr>
              <w:t>环境噪声排放标</w:t>
            </w:r>
          </w:p>
          <w:p w14:paraId="2D9DA8BF">
            <w:pPr>
              <w:pStyle w:val="6"/>
              <w:spacing w:before="94" w:line="227" w:lineRule="auto"/>
              <w:ind w:left="892"/>
            </w:pPr>
            <w:r>
              <w:rPr>
                <w:spacing w:val="-2"/>
              </w:rPr>
              <w:t>准》</w:t>
            </w:r>
          </w:p>
          <w:p w14:paraId="7E1E71E6">
            <w:pPr>
              <w:pStyle w:val="6"/>
              <w:spacing w:before="93" w:line="238" w:lineRule="auto"/>
              <w:ind w:left="131"/>
            </w:pPr>
            <w:r>
              <w:rPr>
                <w:spacing w:val="3"/>
              </w:rPr>
              <w:t>（</w:t>
            </w:r>
            <w:r>
              <w:rPr>
                <w:rFonts w:ascii="Times New Roman" w:hAnsi="Times New Roman" w:eastAsia="Times New Roman" w:cs="Times New Roman"/>
              </w:rPr>
              <w:t>GB</w:t>
            </w:r>
            <w:r>
              <w:rPr>
                <w:rFonts w:ascii="Times New Roman" w:hAnsi="Times New Roman" w:eastAsia="Times New Roman" w:cs="Times New Roman"/>
                <w:spacing w:val="3"/>
              </w:rPr>
              <w:t>12348-2008</w:t>
            </w:r>
            <w:r>
              <w:rPr>
                <w:spacing w:val="3"/>
              </w:rPr>
              <w:t>）</w:t>
            </w:r>
          </w:p>
          <w:p w14:paraId="1DF8ED4F">
            <w:pPr>
              <w:pStyle w:val="6"/>
              <w:spacing w:before="75" w:line="226" w:lineRule="auto"/>
              <w:ind w:left="267"/>
            </w:pPr>
            <w:r>
              <w:rPr>
                <w:rFonts w:ascii="Times New Roman" w:hAnsi="Times New Roman" w:eastAsia="Times New Roman" w:cs="Times New Roman"/>
                <w:spacing w:val="7"/>
              </w:rPr>
              <w:t xml:space="preserve">4 </w:t>
            </w:r>
            <w:r>
              <w:rPr>
                <w:spacing w:val="7"/>
              </w:rPr>
              <w:t>类标准，昼间</w:t>
            </w:r>
          </w:p>
          <w:p w14:paraId="36E9FD0C">
            <w:pPr>
              <w:pStyle w:val="6"/>
              <w:spacing w:before="94" w:line="226" w:lineRule="auto"/>
              <w:ind w:left="401"/>
            </w:pPr>
            <w:r>
              <w:rPr>
                <w:rFonts w:ascii="Times New Roman" w:hAnsi="Times New Roman" w:eastAsia="Times New Roman" w:cs="Times New Roman"/>
                <w:spacing w:val="3"/>
              </w:rPr>
              <w:t>≤70</w:t>
            </w:r>
            <w:r>
              <w:rPr>
                <w:rFonts w:ascii="Times New Roman" w:hAnsi="Times New Roman" w:eastAsia="Times New Roman" w:cs="Times New Roman"/>
              </w:rPr>
              <w:t>dB</w:t>
            </w:r>
            <w:r>
              <w:rPr>
                <w:rFonts w:ascii="Times New Roman" w:hAnsi="Times New Roman" w:eastAsia="Times New Roman" w:cs="Times New Roman"/>
                <w:spacing w:val="-29"/>
              </w:rPr>
              <w:t xml:space="preserve"> </w:t>
            </w:r>
            <w:r>
              <w:rPr>
                <w:spacing w:val="3"/>
              </w:rPr>
              <w:t>，夜间</w:t>
            </w:r>
          </w:p>
          <w:p w14:paraId="744E5AE2">
            <w:pPr>
              <w:pStyle w:val="6"/>
              <w:spacing w:before="95" w:line="226" w:lineRule="auto"/>
              <w:jc w:val="right"/>
            </w:pPr>
            <w:r>
              <w:rPr>
                <w:rFonts w:ascii="Times New Roman" w:hAnsi="Times New Roman" w:eastAsia="Times New Roman" w:cs="Times New Roman"/>
                <w:spacing w:val="1"/>
              </w:rPr>
              <w:t>≤55</w:t>
            </w:r>
            <w:r>
              <w:rPr>
                <w:rFonts w:ascii="Times New Roman" w:hAnsi="Times New Roman" w:eastAsia="Times New Roman" w:cs="Times New Roman"/>
              </w:rPr>
              <w:t>dB</w:t>
            </w:r>
            <w:r>
              <w:rPr>
                <w:spacing w:val="1"/>
              </w:rPr>
              <w:t>；</w:t>
            </w:r>
            <w:r>
              <w:rPr>
                <w:rFonts w:ascii="Times New Roman" w:hAnsi="Times New Roman" w:eastAsia="Times New Roman" w:cs="Times New Roman"/>
                <w:spacing w:val="1"/>
              </w:rPr>
              <w:t xml:space="preserve">2 </w:t>
            </w:r>
            <w:r>
              <w:rPr>
                <w:spacing w:val="1"/>
              </w:rPr>
              <w:t>类标准，</w:t>
            </w:r>
          </w:p>
          <w:p w14:paraId="4F8D1130">
            <w:pPr>
              <w:pStyle w:val="6"/>
              <w:spacing w:before="92" w:line="226" w:lineRule="auto"/>
              <w:ind w:left="148"/>
            </w:pPr>
            <w:r>
              <w:rPr>
                <w:spacing w:val="4"/>
              </w:rPr>
              <w:t>昼间</w:t>
            </w:r>
            <w:r>
              <w:rPr>
                <w:rFonts w:ascii="Times New Roman" w:hAnsi="Times New Roman" w:eastAsia="Times New Roman" w:cs="Times New Roman"/>
                <w:spacing w:val="4"/>
              </w:rPr>
              <w:t>≤60</w:t>
            </w:r>
            <w:r>
              <w:rPr>
                <w:rFonts w:ascii="Times New Roman" w:hAnsi="Times New Roman" w:eastAsia="Times New Roman" w:cs="Times New Roman"/>
              </w:rPr>
              <w:t>dB</w:t>
            </w:r>
            <w:r>
              <w:rPr>
                <w:rFonts w:ascii="Times New Roman" w:hAnsi="Times New Roman" w:eastAsia="Times New Roman" w:cs="Times New Roman"/>
                <w:spacing w:val="-28"/>
              </w:rPr>
              <w:t xml:space="preserve"> </w:t>
            </w:r>
            <w:r>
              <w:rPr>
                <w:spacing w:val="4"/>
              </w:rPr>
              <w:t>，夜间</w:t>
            </w:r>
          </w:p>
          <w:p w14:paraId="4BF94876">
            <w:pPr>
              <w:spacing w:before="137" w:line="198" w:lineRule="auto"/>
              <w:ind w:left="792"/>
              <w:rPr>
                <w:rFonts w:ascii="Times New Roman" w:hAnsi="Times New Roman" w:eastAsia="Times New Roman" w:cs="Times New Roman"/>
                <w:sz w:val="25"/>
                <w:szCs w:val="25"/>
              </w:rPr>
            </w:pPr>
            <w:r>
              <w:rPr>
                <w:rFonts w:ascii="Times New Roman" w:hAnsi="Times New Roman" w:eastAsia="Times New Roman" w:cs="Times New Roman"/>
                <w:spacing w:val="6"/>
                <w:sz w:val="25"/>
                <w:szCs w:val="25"/>
              </w:rPr>
              <w:t>≤50</w:t>
            </w:r>
            <w:r>
              <w:rPr>
                <w:rFonts w:ascii="Times New Roman" w:hAnsi="Times New Roman" w:eastAsia="Times New Roman" w:cs="Times New Roman"/>
                <w:sz w:val="25"/>
                <w:szCs w:val="25"/>
              </w:rPr>
              <w:t>dB</w:t>
            </w:r>
          </w:p>
        </w:tc>
      </w:tr>
      <w:tr w14:paraId="0A8E9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448" w:type="dxa"/>
            <w:tcBorders>
              <w:left w:val="single" w:color="000000" w:sz="6" w:space="0"/>
            </w:tcBorders>
            <w:vAlign w:val="top"/>
          </w:tcPr>
          <w:p w14:paraId="6334ED96">
            <w:pPr>
              <w:pStyle w:val="6"/>
              <w:spacing w:before="115" w:line="224" w:lineRule="auto"/>
              <w:ind w:left="234"/>
            </w:pPr>
            <w:r>
              <w:rPr>
                <w:spacing w:val="-1"/>
              </w:rPr>
              <w:t>电磁辐射</w:t>
            </w:r>
          </w:p>
        </w:tc>
        <w:tc>
          <w:tcPr>
            <w:tcW w:w="1623" w:type="dxa"/>
            <w:vAlign w:val="top"/>
          </w:tcPr>
          <w:p w14:paraId="2A591EBD">
            <w:pPr>
              <w:spacing w:before="156" w:line="197" w:lineRule="auto"/>
              <w:ind w:left="769"/>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w:t>
            </w:r>
          </w:p>
        </w:tc>
        <w:tc>
          <w:tcPr>
            <w:tcW w:w="1216" w:type="dxa"/>
            <w:vAlign w:val="top"/>
          </w:tcPr>
          <w:p w14:paraId="557F8E69">
            <w:pPr>
              <w:spacing w:before="156" w:line="197" w:lineRule="auto"/>
              <w:ind w:left="569"/>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w:t>
            </w:r>
          </w:p>
        </w:tc>
        <w:tc>
          <w:tcPr>
            <w:tcW w:w="2231" w:type="dxa"/>
            <w:vAlign w:val="top"/>
          </w:tcPr>
          <w:p w14:paraId="7AC6FBB7">
            <w:pPr>
              <w:spacing w:before="156" w:line="197" w:lineRule="auto"/>
              <w:ind w:left="1079"/>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w:t>
            </w:r>
          </w:p>
        </w:tc>
        <w:tc>
          <w:tcPr>
            <w:tcW w:w="2286" w:type="dxa"/>
            <w:tcBorders>
              <w:right w:val="single" w:color="000000" w:sz="6" w:space="0"/>
            </w:tcBorders>
            <w:vAlign w:val="top"/>
          </w:tcPr>
          <w:p w14:paraId="0A35D9DB">
            <w:pPr>
              <w:spacing w:before="156" w:line="197" w:lineRule="auto"/>
              <w:ind w:left="1106"/>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w:t>
            </w:r>
          </w:p>
        </w:tc>
      </w:tr>
      <w:tr w14:paraId="7BFFA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2" w:hRule="atLeast"/>
        </w:trPr>
        <w:tc>
          <w:tcPr>
            <w:tcW w:w="1448" w:type="dxa"/>
            <w:tcBorders>
              <w:left w:val="single" w:color="000000" w:sz="6" w:space="0"/>
            </w:tcBorders>
            <w:vAlign w:val="top"/>
          </w:tcPr>
          <w:p w14:paraId="7CA1277A">
            <w:pPr>
              <w:spacing w:line="242" w:lineRule="auto"/>
              <w:rPr>
                <w:rFonts w:ascii="Arial"/>
                <w:sz w:val="21"/>
              </w:rPr>
            </w:pPr>
          </w:p>
          <w:p w14:paraId="5ED9D2D2">
            <w:pPr>
              <w:spacing w:line="243" w:lineRule="auto"/>
              <w:rPr>
                <w:rFonts w:ascii="Arial"/>
                <w:sz w:val="21"/>
              </w:rPr>
            </w:pPr>
          </w:p>
          <w:p w14:paraId="6D1BAD0A">
            <w:pPr>
              <w:spacing w:line="243" w:lineRule="auto"/>
              <w:rPr>
                <w:rFonts w:ascii="Arial"/>
                <w:sz w:val="21"/>
              </w:rPr>
            </w:pPr>
          </w:p>
          <w:p w14:paraId="67046ECC">
            <w:pPr>
              <w:spacing w:line="243" w:lineRule="auto"/>
              <w:rPr>
                <w:rFonts w:ascii="Arial"/>
                <w:sz w:val="21"/>
              </w:rPr>
            </w:pPr>
          </w:p>
          <w:p w14:paraId="0F1DA5FF">
            <w:pPr>
              <w:spacing w:line="243" w:lineRule="auto"/>
              <w:rPr>
                <w:rFonts w:ascii="Arial"/>
                <w:sz w:val="21"/>
              </w:rPr>
            </w:pPr>
          </w:p>
          <w:p w14:paraId="2600ECB4">
            <w:pPr>
              <w:pStyle w:val="6"/>
              <w:spacing w:before="82" w:line="227" w:lineRule="auto"/>
              <w:ind w:left="225"/>
            </w:pPr>
            <w:r>
              <w:rPr>
                <w:spacing w:val="1"/>
              </w:rPr>
              <w:t>固体废物</w:t>
            </w:r>
          </w:p>
        </w:tc>
        <w:tc>
          <w:tcPr>
            <w:tcW w:w="7356" w:type="dxa"/>
            <w:gridSpan w:val="4"/>
            <w:tcBorders>
              <w:right w:val="single" w:color="000000" w:sz="6" w:space="0"/>
            </w:tcBorders>
            <w:vAlign w:val="top"/>
          </w:tcPr>
          <w:p w14:paraId="52CA1395">
            <w:pPr>
              <w:pStyle w:val="6"/>
              <w:spacing w:before="99" w:line="284" w:lineRule="auto"/>
              <w:ind w:left="107" w:right="34" w:firstLine="1"/>
              <w:jc w:val="both"/>
            </w:pPr>
            <w:r>
              <w:rPr>
                <w:spacing w:val="7"/>
              </w:rPr>
              <w:t>在站区东南侧设置了</w:t>
            </w:r>
            <w:r>
              <w:rPr>
                <w:spacing w:val="-21"/>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38"/>
              </w:rPr>
              <w:t xml:space="preserve"> </w:t>
            </w:r>
            <w:r>
              <w:rPr>
                <w:spacing w:val="7"/>
              </w:rPr>
              <w:t>间占地面积约</w:t>
            </w:r>
            <w:r>
              <w:rPr>
                <w:spacing w:val="-48"/>
              </w:rPr>
              <w:t xml:space="preserve"> </w:t>
            </w:r>
            <w:r>
              <w:rPr>
                <w:rFonts w:ascii="Times New Roman" w:hAnsi="Times New Roman" w:eastAsia="Times New Roman" w:cs="Times New Roman"/>
                <w:spacing w:val="7"/>
              </w:rPr>
              <w:t>2m</w:t>
            </w:r>
            <w:r>
              <w:rPr>
                <w:rFonts w:ascii="Times New Roman" w:hAnsi="Times New Roman" w:eastAsia="Times New Roman" w:cs="Times New Roman"/>
                <w:spacing w:val="7"/>
                <w:position w:val="8"/>
                <w:sz w:val="16"/>
                <w:szCs w:val="16"/>
              </w:rPr>
              <w:t>2</w:t>
            </w:r>
            <w:r>
              <w:rPr>
                <w:rFonts w:ascii="Times New Roman" w:hAnsi="Times New Roman" w:eastAsia="Times New Roman" w:cs="Times New Roman"/>
                <w:spacing w:val="37"/>
                <w:w w:val="102"/>
                <w:position w:val="8"/>
                <w:sz w:val="16"/>
                <w:szCs w:val="16"/>
              </w:rPr>
              <w:t xml:space="preserve"> </w:t>
            </w:r>
            <w:r>
              <w:rPr>
                <w:spacing w:val="7"/>
              </w:rPr>
              <w:t>的危废贮存点，</w:t>
            </w:r>
            <w:r>
              <w:rPr>
                <w:spacing w:val="-73"/>
              </w:rPr>
              <w:t xml:space="preserve"> </w:t>
            </w:r>
            <w:r>
              <w:rPr>
                <w:spacing w:val="7"/>
              </w:rPr>
              <w:t>已做</w:t>
            </w:r>
            <w:r>
              <w:rPr>
                <w:spacing w:val="14"/>
              </w:rPr>
              <w:t>好防风、防晒、防雨、防漏、防渗、防腐等措施，进行分区贮</w:t>
            </w:r>
            <w:r>
              <w:rPr>
                <w:spacing w:val="9"/>
              </w:rPr>
              <w:t>存，满足《危险废物贮存污染控制标准》</w:t>
            </w:r>
            <w:r>
              <w:rPr>
                <w:spacing w:val="-103"/>
              </w:rPr>
              <w:t xml:space="preserve"> </w:t>
            </w:r>
            <w:r>
              <w:rPr>
                <w:spacing w:val="9"/>
              </w:rPr>
              <w:t>（</w:t>
            </w:r>
            <w:r>
              <w:rPr>
                <w:rFonts w:ascii="Times New Roman" w:hAnsi="Times New Roman" w:eastAsia="Times New Roman" w:cs="Times New Roman"/>
              </w:rPr>
              <w:t>GB</w:t>
            </w:r>
            <w:r>
              <w:rPr>
                <w:rFonts w:ascii="Times New Roman" w:hAnsi="Times New Roman" w:eastAsia="Times New Roman" w:cs="Times New Roman"/>
                <w:spacing w:val="9"/>
              </w:rPr>
              <w:t>18597-2023</w:t>
            </w:r>
            <w:r>
              <w:rPr>
                <w:spacing w:val="8"/>
              </w:rPr>
              <w:t>）</w:t>
            </w:r>
            <w:r>
              <w:rPr>
                <w:spacing w:val="-75"/>
              </w:rPr>
              <w:t xml:space="preserve"> </w:t>
            </w:r>
            <w:r>
              <w:rPr>
                <w:spacing w:val="8"/>
              </w:rPr>
              <w:t>，</w:t>
            </w:r>
            <w:r>
              <w:rPr>
                <w:spacing w:val="14"/>
              </w:rPr>
              <w:t>用于暂存项目产生的危险废物，危险废物定期交有资质单位清运进行处置；生化池的污泥需定期清掏，定期交由环卫部门处</w:t>
            </w:r>
            <w:r>
              <w:rPr>
                <w:spacing w:val="7"/>
              </w:rPr>
              <w:t>置；员工及司乘人员的生活垃圾经厂区生活垃圾桶袋装收集后，</w:t>
            </w:r>
            <w:r>
              <w:rPr>
                <w:spacing w:val="9"/>
              </w:rPr>
              <w:t>由环卫部门统一清运处置</w:t>
            </w:r>
          </w:p>
        </w:tc>
      </w:tr>
      <w:tr w14:paraId="2708B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2" w:hRule="atLeast"/>
        </w:trPr>
        <w:tc>
          <w:tcPr>
            <w:tcW w:w="1448" w:type="dxa"/>
            <w:tcBorders>
              <w:left w:val="single" w:color="000000" w:sz="6" w:space="0"/>
              <w:bottom w:val="single" w:color="000000" w:sz="6" w:space="0"/>
            </w:tcBorders>
            <w:vAlign w:val="top"/>
          </w:tcPr>
          <w:p w14:paraId="061F0B5C">
            <w:pPr>
              <w:spacing w:line="269" w:lineRule="auto"/>
              <w:rPr>
                <w:rFonts w:ascii="Arial"/>
                <w:sz w:val="21"/>
              </w:rPr>
            </w:pPr>
          </w:p>
          <w:p w14:paraId="7973A5F8">
            <w:pPr>
              <w:spacing w:line="269" w:lineRule="auto"/>
              <w:rPr>
                <w:rFonts w:ascii="Arial"/>
                <w:sz w:val="21"/>
              </w:rPr>
            </w:pPr>
          </w:p>
          <w:p w14:paraId="6A22F7AC">
            <w:pPr>
              <w:spacing w:line="270" w:lineRule="auto"/>
              <w:rPr>
                <w:rFonts w:ascii="Arial"/>
                <w:sz w:val="21"/>
              </w:rPr>
            </w:pPr>
          </w:p>
          <w:p w14:paraId="52236FA3">
            <w:pPr>
              <w:spacing w:line="270" w:lineRule="auto"/>
              <w:rPr>
                <w:rFonts w:ascii="Arial"/>
                <w:sz w:val="21"/>
              </w:rPr>
            </w:pPr>
          </w:p>
          <w:p w14:paraId="5B2E197A">
            <w:pPr>
              <w:spacing w:line="270" w:lineRule="auto"/>
              <w:rPr>
                <w:rFonts w:ascii="Arial"/>
                <w:sz w:val="21"/>
              </w:rPr>
            </w:pPr>
          </w:p>
          <w:p w14:paraId="341E9689">
            <w:pPr>
              <w:spacing w:line="270" w:lineRule="auto"/>
              <w:rPr>
                <w:rFonts w:ascii="Arial"/>
                <w:sz w:val="21"/>
              </w:rPr>
            </w:pPr>
          </w:p>
          <w:p w14:paraId="3946106D">
            <w:pPr>
              <w:pStyle w:val="6"/>
              <w:spacing w:before="81" w:line="296" w:lineRule="auto"/>
              <w:ind w:left="210" w:right="205" w:hanging="6"/>
              <w:jc w:val="both"/>
            </w:pPr>
            <w:r>
              <w:rPr>
                <w:spacing w:val="6"/>
              </w:rPr>
              <w:t>土壤及地</w:t>
            </w:r>
            <w:r>
              <w:rPr>
                <w:spacing w:val="5"/>
              </w:rPr>
              <w:t>下水污染防治措施</w:t>
            </w:r>
          </w:p>
        </w:tc>
        <w:tc>
          <w:tcPr>
            <w:tcW w:w="7356" w:type="dxa"/>
            <w:gridSpan w:val="4"/>
            <w:tcBorders>
              <w:bottom w:val="single" w:color="000000" w:sz="6" w:space="0"/>
              <w:right w:val="single" w:color="000000" w:sz="6" w:space="0"/>
            </w:tcBorders>
            <w:vAlign w:val="top"/>
          </w:tcPr>
          <w:p w14:paraId="2DE3FC6C">
            <w:pPr>
              <w:pStyle w:val="6"/>
              <w:spacing w:before="110" w:line="295" w:lineRule="auto"/>
              <w:ind w:left="110" w:right="102" w:hanging="2"/>
            </w:pPr>
            <w:r>
              <w:rPr>
                <w:spacing w:val="14"/>
              </w:rPr>
              <w:t>①源头控制：严格按照《加油站地下水污染防治技术指南（试</w:t>
            </w:r>
            <w:r>
              <w:rPr>
                <w:spacing w:val="5"/>
              </w:rPr>
              <w:t>行）》（环办水体函〔</w:t>
            </w:r>
            <w:r>
              <w:rPr>
                <w:rFonts w:ascii="Times New Roman" w:hAnsi="Times New Roman" w:eastAsia="Times New Roman" w:cs="Times New Roman"/>
                <w:spacing w:val="5"/>
              </w:rPr>
              <w:t>2017</w:t>
            </w:r>
            <w:r>
              <w:rPr>
                <w:spacing w:val="5"/>
              </w:rPr>
              <w:t>〕</w:t>
            </w:r>
            <w:r>
              <w:rPr>
                <w:rFonts w:ascii="Times New Roman" w:hAnsi="Times New Roman" w:eastAsia="Times New Roman" w:cs="Times New Roman"/>
                <w:spacing w:val="5"/>
              </w:rPr>
              <w:t>323</w:t>
            </w:r>
            <w:r>
              <w:rPr>
                <w:rFonts w:ascii="Times New Roman" w:hAnsi="Times New Roman" w:eastAsia="Times New Roman" w:cs="Times New Roman"/>
                <w:spacing w:val="39"/>
                <w:w w:val="101"/>
              </w:rPr>
              <w:t xml:space="preserve"> </w:t>
            </w:r>
            <w:r>
              <w:rPr>
                <w:spacing w:val="5"/>
              </w:rPr>
              <w:t>号）、《石油化工防渗工程技</w:t>
            </w:r>
            <w:r>
              <w:rPr>
                <w:spacing w:val="9"/>
              </w:rPr>
              <w:t>术规范》（</w:t>
            </w:r>
            <w:r>
              <w:rPr>
                <w:rFonts w:ascii="Times New Roman" w:hAnsi="Times New Roman" w:eastAsia="Times New Roman" w:cs="Times New Roman"/>
              </w:rPr>
              <w:t>GB</w:t>
            </w:r>
            <w:r>
              <w:rPr>
                <w:rFonts w:ascii="Times New Roman" w:hAnsi="Times New Roman" w:eastAsia="Times New Roman" w:cs="Times New Roman"/>
                <w:spacing w:val="9"/>
              </w:rPr>
              <w:t>/T 50934-2013</w:t>
            </w:r>
            <w:r>
              <w:rPr>
                <w:spacing w:val="9"/>
              </w:rPr>
              <w:t>）、《汽车加油</w:t>
            </w:r>
            <w:r>
              <w:rPr>
                <w:spacing w:val="8"/>
              </w:rPr>
              <w:t>加气加氢站技术标</w:t>
            </w:r>
            <w:r>
              <w:rPr>
                <w:spacing w:val="10"/>
              </w:rPr>
              <w:t>准》</w:t>
            </w:r>
            <w:r>
              <w:rPr>
                <w:spacing w:val="-104"/>
              </w:rPr>
              <w:t xml:space="preserve"> </w:t>
            </w:r>
            <w:r>
              <w:rPr>
                <w:spacing w:val="10"/>
              </w:rPr>
              <w:t>（</w:t>
            </w:r>
            <w:r>
              <w:rPr>
                <w:rFonts w:ascii="Times New Roman" w:hAnsi="Times New Roman" w:eastAsia="Times New Roman" w:cs="Times New Roman"/>
              </w:rPr>
              <w:t>GB</w:t>
            </w:r>
            <w:r>
              <w:rPr>
                <w:rFonts w:ascii="Times New Roman" w:hAnsi="Times New Roman" w:eastAsia="Times New Roman" w:cs="Times New Roman"/>
                <w:spacing w:val="10"/>
              </w:rPr>
              <w:t>50156-2021</w:t>
            </w:r>
            <w:r>
              <w:rPr>
                <w:spacing w:val="10"/>
              </w:rPr>
              <w:t>）等相关规范要求，对储油罐</w:t>
            </w:r>
            <w:r>
              <w:rPr>
                <w:spacing w:val="9"/>
              </w:rPr>
              <w:t>、油品工艺</w:t>
            </w:r>
            <w:r>
              <w:rPr>
                <w:spacing w:val="12"/>
              </w:rPr>
              <w:t>管线、设备、污水储存及处理构筑物采取相应的措施，</w:t>
            </w:r>
            <w:r>
              <w:rPr>
                <w:spacing w:val="-70"/>
              </w:rPr>
              <w:t xml:space="preserve"> </w:t>
            </w:r>
            <w:r>
              <w:rPr>
                <w:spacing w:val="12"/>
              </w:rPr>
              <w:t>以防止</w:t>
            </w:r>
            <w:r>
              <w:rPr>
                <w:spacing w:val="9"/>
              </w:rPr>
              <w:t>和降低污染物的跑、冒、滴、漏，降低风险事故。</w:t>
            </w:r>
          </w:p>
          <w:p w14:paraId="39D9A6A9">
            <w:pPr>
              <w:pStyle w:val="6"/>
              <w:spacing w:before="5" w:line="279" w:lineRule="auto"/>
              <w:ind w:left="111" w:right="14" w:hanging="4"/>
            </w:pPr>
            <w:r>
              <w:rPr>
                <w:spacing w:val="25"/>
              </w:rPr>
              <w:t>②分区控制：</w:t>
            </w:r>
            <w:r>
              <w:rPr>
                <w:spacing w:val="-63"/>
              </w:rPr>
              <w:t xml:space="preserve"> </w:t>
            </w:r>
            <w:r>
              <w:rPr>
                <w:spacing w:val="25"/>
              </w:rPr>
              <w:t>根据《环境影响评价技术导则</w:t>
            </w:r>
            <w:r>
              <w:rPr>
                <w:spacing w:val="56"/>
              </w:rPr>
              <w:t xml:space="preserve"> </w:t>
            </w:r>
            <w:r>
              <w:rPr>
                <w:spacing w:val="25"/>
              </w:rPr>
              <w:t>地下水环境》</w:t>
            </w:r>
            <w:r>
              <w:t xml:space="preserve"> </w:t>
            </w:r>
            <w:r>
              <w:rPr>
                <w:spacing w:val="19"/>
              </w:rPr>
              <w:t>（</w:t>
            </w:r>
            <w:r>
              <w:rPr>
                <w:rFonts w:ascii="Times New Roman" w:hAnsi="Times New Roman" w:eastAsia="Times New Roman" w:cs="Times New Roman"/>
              </w:rPr>
              <w:t>HJ</w:t>
            </w:r>
            <w:r>
              <w:rPr>
                <w:rFonts w:ascii="Times New Roman" w:hAnsi="Times New Roman" w:eastAsia="Times New Roman" w:cs="Times New Roman"/>
                <w:spacing w:val="19"/>
              </w:rPr>
              <w:t>610-2016</w:t>
            </w:r>
            <w:r>
              <w:rPr>
                <w:spacing w:val="19"/>
              </w:rPr>
              <w:t>）</w:t>
            </w:r>
            <w:r>
              <w:rPr>
                <w:spacing w:val="-25"/>
              </w:rPr>
              <w:t xml:space="preserve"> </w:t>
            </w:r>
            <w:r>
              <w:rPr>
                <w:spacing w:val="19"/>
              </w:rPr>
              <w:t>、</w:t>
            </w:r>
            <w:r>
              <w:rPr>
                <w:spacing w:val="-80"/>
              </w:rPr>
              <w:t xml:space="preserve"> </w:t>
            </w:r>
            <w:r>
              <w:rPr>
                <w:spacing w:val="19"/>
              </w:rPr>
              <w:t>《石油化工防渗工程技</w:t>
            </w:r>
            <w:r>
              <w:rPr>
                <w:spacing w:val="18"/>
              </w:rPr>
              <w:t>术规范》</w:t>
            </w:r>
            <w:r>
              <w:rPr>
                <w:spacing w:val="-48"/>
              </w:rPr>
              <w:t xml:space="preserve"> </w:t>
            </w:r>
            <w:r>
              <w:rPr>
                <w:spacing w:val="18"/>
              </w:rPr>
              <w:t>（</w:t>
            </w:r>
            <w:r>
              <w:rPr>
                <w:spacing w:val="-45"/>
              </w:rPr>
              <w:t xml:space="preserve"> </w:t>
            </w:r>
            <w:r>
              <w:rPr>
                <w:rFonts w:ascii="Times New Roman" w:hAnsi="Times New Roman" w:eastAsia="Times New Roman" w:cs="Times New Roman"/>
              </w:rPr>
              <w:t>GB</w:t>
            </w:r>
            <w:r>
              <w:rPr>
                <w:rFonts w:ascii="Times New Roman" w:hAnsi="Times New Roman" w:eastAsia="Times New Roman" w:cs="Times New Roman"/>
                <w:spacing w:val="18"/>
              </w:rPr>
              <w:t>/T</w:t>
            </w:r>
            <w:r>
              <w:rPr>
                <w:rFonts w:ascii="Times New Roman" w:hAnsi="Times New Roman" w:eastAsia="Times New Roman" w:cs="Times New Roman"/>
              </w:rPr>
              <w:t xml:space="preserve"> </w:t>
            </w:r>
            <w:r>
              <w:rPr>
                <w:rFonts w:ascii="Times New Roman" w:hAnsi="Times New Roman" w:eastAsia="Times New Roman" w:cs="Times New Roman"/>
                <w:spacing w:val="8"/>
              </w:rPr>
              <w:t>50934-2013</w:t>
            </w:r>
            <w:r>
              <w:rPr>
                <w:spacing w:val="8"/>
              </w:rPr>
              <w:t>）及各建构筑物功能，已将站区划分为重点</w:t>
            </w:r>
            <w:r>
              <w:rPr>
                <w:spacing w:val="7"/>
              </w:rPr>
              <w:t>防渗区、</w:t>
            </w:r>
            <w:r>
              <w:rPr>
                <w:spacing w:val="8"/>
              </w:rPr>
              <w:t>一般防渗区和简单防渗区。重点防渗区包括埋地油</w:t>
            </w:r>
            <w:r>
              <w:rPr>
                <w:spacing w:val="7"/>
              </w:rPr>
              <w:t>罐、加油区、</w:t>
            </w:r>
            <w:r>
              <w:rPr>
                <w:spacing w:val="14"/>
              </w:rPr>
              <w:t>危险废物贮存点、隔油池、卸油区、应急柴油发电机房以及工</w:t>
            </w:r>
          </w:p>
        </w:tc>
      </w:tr>
    </w:tbl>
    <w:p w14:paraId="7C03CFE4">
      <w:pPr>
        <w:pStyle w:val="2"/>
        <w:rPr>
          <w:sz w:val="21"/>
        </w:rPr>
      </w:pPr>
    </w:p>
    <w:p w14:paraId="32C865CC">
      <w:pPr>
        <w:rPr>
          <w:sz w:val="21"/>
          <w:szCs w:val="21"/>
        </w:rPr>
        <w:sectPr>
          <w:footerReference r:id="rId104" w:type="default"/>
          <w:pgSz w:w="11906" w:h="16839"/>
          <w:pgMar w:top="400" w:right="1543" w:bottom="1009" w:left="1528" w:header="0" w:footer="770" w:gutter="0"/>
          <w:cols w:space="720" w:num="1"/>
        </w:sectPr>
      </w:pPr>
    </w:p>
    <w:p w14:paraId="00B63C36">
      <w:pPr>
        <w:spacing w:before="19"/>
      </w:pPr>
    </w:p>
    <w:p w14:paraId="7F6B82D5">
      <w:pPr>
        <w:spacing w:before="19"/>
      </w:pPr>
    </w:p>
    <w:p w14:paraId="061F2F8C">
      <w:pPr>
        <w:spacing w:before="19"/>
      </w:pPr>
    </w:p>
    <w:p w14:paraId="26A4F2AA">
      <w:pPr>
        <w:spacing w:before="18"/>
      </w:pPr>
    </w:p>
    <w:p w14:paraId="7B06F0F8">
      <w:pPr>
        <w:spacing w:before="18"/>
      </w:pPr>
    </w:p>
    <w:tbl>
      <w:tblPr>
        <w:tblStyle w:val="5"/>
        <w:tblW w:w="880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8"/>
        <w:gridCol w:w="7356"/>
      </w:tblGrid>
      <w:tr w14:paraId="2D839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1448" w:type="dxa"/>
            <w:tcBorders>
              <w:top w:val="single" w:color="000000" w:sz="6" w:space="0"/>
              <w:left w:val="single" w:color="000000" w:sz="6" w:space="0"/>
            </w:tcBorders>
            <w:vAlign w:val="top"/>
          </w:tcPr>
          <w:p w14:paraId="515C3372">
            <w:pPr>
              <w:rPr>
                <w:rFonts w:ascii="Arial"/>
                <w:sz w:val="21"/>
              </w:rPr>
            </w:pPr>
          </w:p>
        </w:tc>
        <w:tc>
          <w:tcPr>
            <w:tcW w:w="7356" w:type="dxa"/>
            <w:tcBorders>
              <w:top w:val="single" w:color="000000" w:sz="6" w:space="0"/>
              <w:right w:val="single" w:color="000000" w:sz="6" w:space="0"/>
            </w:tcBorders>
            <w:vAlign w:val="top"/>
          </w:tcPr>
          <w:p w14:paraId="792E4A78">
            <w:pPr>
              <w:pStyle w:val="6"/>
              <w:spacing w:before="92" w:line="257" w:lineRule="auto"/>
              <w:ind w:left="110" w:right="14" w:firstLine="5"/>
            </w:pPr>
            <w:r>
              <w:rPr>
                <w:spacing w:val="7"/>
              </w:rPr>
              <w:t>艺管线；一般防渗区包括生化池池，简单防渗区包括站内道路、</w:t>
            </w:r>
            <w:r>
              <w:rPr>
                <w:spacing w:val="2"/>
              </w:rPr>
              <w:t>站房。</w:t>
            </w:r>
          </w:p>
        </w:tc>
      </w:tr>
      <w:tr w14:paraId="66DE4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9" w:hRule="atLeast"/>
        </w:trPr>
        <w:tc>
          <w:tcPr>
            <w:tcW w:w="1448" w:type="dxa"/>
            <w:tcBorders>
              <w:left w:val="single" w:color="000000" w:sz="6" w:space="0"/>
            </w:tcBorders>
            <w:vAlign w:val="top"/>
          </w:tcPr>
          <w:p w14:paraId="70F10FDC">
            <w:pPr>
              <w:spacing w:line="252" w:lineRule="auto"/>
              <w:rPr>
                <w:rFonts w:ascii="Arial"/>
                <w:sz w:val="21"/>
              </w:rPr>
            </w:pPr>
          </w:p>
          <w:p w14:paraId="2B540F1D">
            <w:pPr>
              <w:pStyle w:val="6"/>
              <w:spacing w:before="81" w:line="298" w:lineRule="auto"/>
              <w:ind w:left="464" w:right="205" w:hanging="259"/>
            </w:pPr>
            <w:r>
              <w:rPr>
                <w:spacing w:val="6"/>
              </w:rPr>
              <w:t>生态保护</w:t>
            </w:r>
            <w:r>
              <w:rPr>
                <w:spacing w:val="4"/>
              </w:rPr>
              <w:t>措施</w:t>
            </w:r>
          </w:p>
        </w:tc>
        <w:tc>
          <w:tcPr>
            <w:tcW w:w="7356" w:type="dxa"/>
            <w:tcBorders>
              <w:right w:val="single" w:color="000000" w:sz="6" w:space="0"/>
            </w:tcBorders>
            <w:vAlign w:val="top"/>
          </w:tcPr>
          <w:p w14:paraId="3A0B96E5">
            <w:pPr>
              <w:spacing w:line="251" w:lineRule="auto"/>
              <w:rPr>
                <w:rFonts w:ascii="Arial"/>
                <w:sz w:val="21"/>
              </w:rPr>
            </w:pPr>
          </w:p>
          <w:p w14:paraId="373B7305">
            <w:pPr>
              <w:spacing w:line="251" w:lineRule="auto"/>
              <w:rPr>
                <w:rFonts w:ascii="Arial"/>
                <w:sz w:val="21"/>
              </w:rPr>
            </w:pPr>
          </w:p>
          <w:p w14:paraId="56537C04">
            <w:pPr>
              <w:spacing w:before="72" w:line="197" w:lineRule="auto"/>
              <w:ind w:left="3634"/>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w:t>
            </w:r>
          </w:p>
        </w:tc>
      </w:tr>
      <w:tr w14:paraId="47CE7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5" w:hRule="atLeast"/>
        </w:trPr>
        <w:tc>
          <w:tcPr>
            <w:tcW w:w="1448" w:type="dxa"/>
            <w:tcBorders>
              <w:left w:val="single" w:color="000000" w:sz="6" w:space="0"/>
              <w:bottom w:val="single" w:color="000000" w:sz="6" w:space="0"/>
            </w:tcBorders>
            <w:vAlign w:val="top"/>
          </w:tcPr>
          <w:p w14:paraId="55EA667D">
            <w:pPr>
              <w:spacing w:line="249" w:lineRule="auto"/>
              <w:rPr>
                <w:rFonts w:ascii="Arial"/>
                <w:sz w:val="21"/>
              </w:rPr>
            </w:pPr>
          </w:p>
          <w:p w14:paraId="38D7968F">
            <w:pPr>
              <w:spacing w:line="249" w:lineRule="auto"/>
              <w:rPr>
                <w:rFonts w:ascii="Arial"/>
                <w:sz w:val="21"/>
              </w:rPr>
            </w:pPr>
          </w:p>
          <w:p w14:paraId="1D67C5E8">
            <w:pPr>
              <w:spacing w:line="249" w:lineRule="auto"/>
              <w:rPr>
                <w:rFonts w:ascii="Arial"/>
                <w:sz w:val="21"/>
              </w:rPr>
            </w:pPr>
          </w:p>
          <w:p w14:paraId="5B16D1CF">
            <w:pPr>
              <w:spacing w:line="249" w:lineRule="auto"/>
              <w:rPr>
                <w:rFonts w:ascii="Arial"/>
                <w:sz w:val="21"/>
              </w:rPr>
            </w:pPr>
          </w:p>
          <w:p w14:paraId="229AA48E">
            <w:pPr>
              <w:spacing w:line="249" w:lineRule="auto"/>
              <w:rPr>
                <w:rFonts w:ascii="Arial"/>
                <w:sz w:val="21"/>
              </w:rPr>
            </w:pPr>
          </w:p>
          <w:p w14:paraId="35307AF8">
            <w:pPr>
              <w:spacing w:line="249" w:lineRule="auto"/>
              <w:rPr>
                <w:rFonts w:ascii="Arial"/>
                <w:sz w:val="21"/>
              </w:rPr>
            </w:pPr>
          </w:p>
          <w:p w14:paraId="39C6B969">
            <w:pPr>
              <w:spacing w:line="249" w:lineRule="auto"/>
              <w:rPr>
                <w:rFonts w:ascii="Arial"/>
                <w:sz w:val="21"/>
              </w:rPr>
            </w:pPr>
          </w:p>
          <w:p w14:paraId="1F0C1B2C">
            <w:pPr>
              <w:spacing w:line="249" w:lineRule="auto"/>
              <w:rPr>
                <w:rFonts w:ascii="Arial"/>
                <w:sz w:val="21"/>
              </w:rPr>
            </w:pPr>
          </w:p>
          <w:p w14:paraId="64907DFC">
            <w:pPr>
              <w:spacing w:line="249" w:lineRule="auto"/>
              <w:rPr>
                <w:rFonts w:ascii="Arial"/>
                <w:sz w:val="21"/>
              </w:rPr>
            </w:pPr>
          </w:p>
          <w:p w14:paraId="0D219A88">
            <w:pPr>
              <w:spacing w:line="249" w:lineRule="auto"/>
              <w:rPr>
                <w:rFonts w:ascii="Arial"/>
                <w:sz w:val="21"/>
              </w:rPr>
            </w:pPr>
          </w:p>
          <w:p w14:paraId="20D02B92">
            <w:pPr>
              <w:spacing w:line="249" w:lineRule="auto"/>
              <w:rPr>
                <w:rFonts w:ascii="Arial"/>
                <w:sz w:val="21"/>
              </w:rPr>
            </w:pPr>
          </w:p>
          <w:p w14:paraId="26B95C56">
            <w:pPr>
              <w:spacing w:line="249" w:lineRule="auto"/>
              <w:rPr>
                <w:rFonts w:ascii="Arial"/>
                <w:sz w:val="21"/>
              </w:rPr>
            </w:pPr>
          </w:p>
          <w:p w14:paraId="7D26EC52">
            <w:pPr>
              <w:spacing w:line="249" w:lineRule="auto"/>
              <w:rPr>
                <w:rFonts w:ascii="Arial"/>
                <w:sz w:val="21"/>
              </w:rPr>
            </w:pPr>
          </w:p>
          <w:p w14:paraId="1869304E">
            <w:pPr>
              <w:spacing w:line="249" w:lineRule="auto"/>
              <w:rPr>
                <w:rFonts w:ascii="Arial"/>
                <w:sz w:val="21"/>
              </w:rPr>
            </w:pPr>
          </w:p>
          <w:p w14:paraId="283F230B">
            <w:pPr>
              <w:spacing w:line="250" w:lineRule="auto"/>
              <w:rPr>
                <w:rFonts w:ascii="Arial"/>
                <w:sz w:val="21"/>
              </w:rPr>
            </w:pPr>
          </w:p>
          <w:p w14:paraId="42946779">
            <w:pPr>
              <w:spacing w:line="250" w:lineRule="auto"/>
              <w:rPr>
                <w:rFonts w:ascii="Arial"/>
                <w:sz w:val="21"/>
              </w:rPr>
            </w:pPr>
          </w:p>
          <w:p w14:paraId="26F41900">
            <w:pPr>
              <w:spacing w:line="250" w:lineRule="auto"/>
              <w:rPr>
                <w:rFonts w:ascii="Arial"/>
                <w:sz w:val="21"/>
              </w:rPr>
            </w:pPr>
          </w:p>
          <w:p w14:paraId="385444BA">
            <w:pPr>
              <w:spacing w:line="250" w:lineRule="auto"/>
              <w:rPr>
                <w:rFonts w:ascii="Arial"/>
                <w:sz w:val="21"/>
              </w:rPr>
            </w:pPr>
          </w:p>
          <w:p w14:paraId="404DB798">
            <w:pPr>
              <w:spacing w:line="250" w:lineRule="auto"/>
              <w:rPr>
                <w:rFonts w:ascii="Arial"/>
                <w:sz w:val="21"/>
              </w:rPr>
            </w:pPr>
          </w:p>
          <w:p w14:paraId="5354CD08">
            <w:pPr>
              <w:spacing w:line="250" w:lineRule="auto"/>
              <w:rPr>
                <w:rFonts w:ascii="Arial"/>
                <w:sz w:val="21"/>
              </w:rPr>
            </w:pPr>
          </w:p>
          <w:p w14:paraId="5563BB87">
            <w:pPr>
              <w:pStyle w:val="6"/>
              <w:spacing w:before="82" w:line="298" w:lineRule="auto"/>
              <w:ind w:left="253" w:right="219" w:hanging="16"/>
            </w:pPr>
            <w:r>
              <w:rPr>
                <w:spacing w:val="-5"/>
              </w:rPr>
              <w:t>环境风险</w:t>
            </w:r>
            <w:r>
              <w:rPr>
                <w:spacing w:val="-9"/>
              </w:rPr>
              <w:t>防范措施</w:t>
            </w:r>
          </w:p>
        </w:tc>
        <w:tc>
          <w:tcPr>
            <w:tcW w:w="7356" w:type="dxa"/>
            <w:tcBorders>
              <w:bottom w:val="single" w:color="000000" w:sz="6" w:space="0"/>
              <w:right w:val="single" w:color="000000" w:sz="6" w:space="0"/>
            </w:tcBorders>
            <w:vAlign w:val="top"/>
          </w:tcPr>
          <w:p w14:paraId="7313CA6B">
            <w:pPr>
              <w:pStyle w:val="6"/>
              <w:spacing w:before="101" w:line="295" w:lineRule="auto"/>
              <w:ind w:left="110" w:right="102" w:firstLine="19"/>
            </w:pPr>
            <w:r>
              <w:rPr>
                <w:rFonts w:ascii="Times New Roman" w:hAnsi="Times New Roman" w:eastAsia="Times New Roman" w:cs="Times New Roman"/>
                <w:spacing w:val="7"/>
              </w:rPr>
              <w:t>1</w:t>
            </w:r>
            <w:r>
              <w:rPr>
                <w:rFonts w:ascii="Times New Roman" w:hAnsi="Times New Roman" w:eastAsia="Times New Roman" w:cs="Times New Roman"/>
                <w:spacing w:val="-21"/>
              </w:rPr>
              <w:t xml:space="preserve"> </w:t>
            </w:r>
            <w:r>
              <w:rPr>
                <w:spacing w:val="7"/>
              </w:rPr>
              <w:t>、站内主要设施之间的防火间距已符合《汽车加油加气加氢站</w:t>
            </w:r>
            <w:r>
              <w:rPr>
                <w:spacing w:val="-5"/>
              </w:rPr>
              <w:t>技</w:t>
            </w:r>
            <w:r>
              <w:rPr>
                <w:spacing w:val="-38"/>
              </w:rPr>
              <w:t xml:space="preserve"> </w:t>
            </w:r>
            <w:r>
              <w:rPr>
                <w:spacing w:val="-5"/>
              </w:rPr>
              <w:t>术</w:t>
            </w:r>
            <w:r>
              <w:rPr>
                <w:spacing w:val="-46"/>
              </w:rPr>
              <w:t xml:space="preserve"> </w:t>
            </w:r>
            <w:r>
              <w:rPr>
                <w:spacing w:val="-5"/>
              </w:rPr>
              <w:t>标</w:t>
            </w:r>
            <w:r>
              <w:rPr>
                <w:spacing w:val="-48"/>
              </w:rPr>
              <w:t xml:space="preserve"> </w:t>
            </w:r>
            <w:r>
              <w:rPr>
                <w:spacing w:val="-5"/>
              </w:rPr>
              <w:t>准</w:t>
            </w:r>
            <w:r>
              <w:rPr>
                <w:spacing w:val="-33"/>
              </w:rPr>
              <w:t xml:space="preserve"> </w:t>
            </w:r>
            <w:r>
              <w:rPr>
                <w:spacing w:val="-5"/>
              </w:rPr>
              <w:t>》</w:t>
            </w:r>
            <w:r>
              <w:rPr>
                <w:spacing w:val="-44"/>
              </w:rPr>
              <w:t xml:space="preserve"> </w:t>
            </w:r>
            <w:r>
              <w:rPr>
                <w:rFonts w:ascii="Times New Roman" w:hAnsi="Times New Roman" w:eastAsia="Times New Roman" w:cs="Times New Roman"/>
                <w:spacing w:val="-5"/>
              </w:rPr>
              <w:t>GB50156-2021</w:t>
            </w:r>
            <w:r>
              <w:rPr>
                <w:rFonts w:ascii="Times New Roman" w:hAnsi="Times New Roman" w:eastAsia="Times New Roman" w:cs="Times New Roman"/>
                <w:spacing w:val="40"/>
              </w:rPr>
              <w:t xml:space="preserve"> </w:t>
            </w:r>
            <w:r>
              <w:rPr>
                <w:spacing w:val="-5"/>
              </w:rPr>
              <w:t>）</w:t>
            </w:r>
            <w:r>
              <w:rPr>
                <w:spacing w:val="-27"/>
              </w:rPr>
              <w:t xml:space="preserve"> </w:t>
            </w:r>
            <w:r>
              <w:rPr>
                <w:spacing w:val="-5"/>
              </w:rPr>
              <w:t>、</w:t>
            </w:r>
            <w:r>
              <w:rPr>
                <w:spacing w:val="-47"/>
              </w:rPr>
              <w:t xml:space="preserve"> </w:t>
            </w:r>
            <w:r>
              <w:rPr>
                <w:spacing w:val="-5"/>
              </w:rPr>
              <w:t>《 建</w:t>
            </w:r>
            <w:r>
              <w:rPr>
                <w:spacing w:val="-45"/>
              </w:rPr>
              <w:t xml:space="preserve"> </w:t>
            </w:r>
            <w:r>
              <w:rPr>
                <w:spacing w:val="-5"/>
              </w:rPr>
              <w:t>筑</w:t>
            </w:r>
            <w:r>
              <w:rPr>
                <w:spacing w:val="-46"/>
              </w:rPr>
              <w:t xml:space="preserve"> </w:t>
            </w:r>
            <w:r>
              <w:rPr>
                <w:spacing w:val="-5"/>
              </w:rPr>
              <w:t>设</w:t>
            </w:r>
            <w:r>
              <w:rPr>
                <w:spacing w:val="-50"/>
              </w:rPr>
              <w:t xml:space="preserve"> </w:t>
            </w:r>
            <w:r>
              <w:rPr>
                <w:spacing w:val="-5"/>
              </w:rPr>
              <w:t>计</w:t>
            </w:r>
            <w:r>
              <w:rPr>
                <w:spacing w:val="-31"/>
              </w:rPr>
              <w:t xml:space="preserve"> </w:t>
            </w:r>
            <w:r>
              <w:rPr>
                <w:spacing w:val="-5"/>
              </w:rPr>
              <w:t>防</w:t>
            </w:r>
            <w:r>
              <w:rPr>
                <w:spacing w:val="-48"/>
              </w:rPr>
              <w:t xml:space="preserve"> </w:t>
            </w:r>
            <w:r>
              <w:rPr>
                <w:spacing w:val="-5"/>
              </w:rPr>
              <w:t>火</w:t>
            </w:r>
            <w:r>
              <w:rPr>
                <w:spacing w:val="-46"/>
              </w:rPr>
              <w:t xml:space="preserve"> </w:t>
            </w:r>
            <w:r>
              <w:rPr>
                <w:spacing w:val="-5"/>
              </w:rPr>
              <w:t>规</w:t>
            </w:r>
            <w:r>
              <w:rPr>
                <w:spacing w:val="-44"/>
              </w:rPr>
              <w:t xml:space="preserve"> </w:t>
            </w:r>
            <w:r>
              <w:rPr>
                <w:spacing w:val="-5"/>
              </w:rPr>
              <w:t>范</w:t>
            </w:r>
            <w:r>
              <w:rPr>
                <w:spacing w:val="-33"/>
              </w:rPr>
              <w:t xml:space="preserve"> </w:t>
            </w:r>
            <w:r>
              <w:rPr>
                <w:spacing w:val="-5"/>
              </w:rPr>
              <w:t>》</w:t>
            </w:r>
            <w:r>
              <w:t xml:space="preserve"> </w:t>
            </w:r>
            <w:r>
              <w:rPr>
                <w:spacing w:val="8"/>
              </w:rPr>
              <w:t>（</w:t>
            </w:r>
            <w:r>
              <w:rPr>
                <w:rFonts w:ascii="Times New Roman" w:hAnsi="Times New Roman" w:eastAsia="Times New Roman" w:cs="Times New Roman"/>
              </w:rPr>
              <w:t>GB</w:t>
            </w:r>
            <w:r>
              <w:rPr>
                <w:rFonts w:ascii="Times New Roman" w:hAnsi="Times New Roman" w:eastAsia="Times New Roman" w:cs="Times New Roman"/>
                <w:spacing w:val="8"/>
              </w:rPr>
              <w:t>50016-2014</w:t>
            </w:r>
            <w:r>
              <w:rPr>
                <w:spacing w:val="-9"/>
              </w:rPr>
              <w:t>）（</w:t>
            </w:r>
            <w:r>
              <w:rPr>
                <w:rFonts w:ascii="Times New Roman" w:hAnsi="Times New Roman" w:eastAsia="Times New Roman" w:cs="Times New Roman"/>
                <w:spacing w:val="8"/>
              </w:rPr>
              <w:t xml:space="preserve">2018 </w:t>
            </w:r>
            <w:r>
              <w:rPr>
                <w:spacing w:val="8"/>
              </w:rPr>
              <w:t>版）的相</w:t>
            </w:r>
            <w:r>
              <w:rPr>
                <w:spacing w:val="7"/>
              </w:rPr>
              <w:t>关要求。</w:t>
            </w:r>
          </w:p>
          <w:p w14:paraId="5385C6DB">
            <w:pPr>
              <w:pStyle w:val="6"/>
              <w:spacing w:before="1" w:line="295" w:lineRule="auto"/>
              <w:ind w:left="108" w:right="102" w:hanging="4"/>
            </w:pPr>
            <w:r>
              <w:rPr>
                <w:rFonts w:ascii="Times New Roman" w:hAnsi="Times New Roman" w:eastAsia="Times New Roman" w:cs="Times New Roman"/>
                <w:spacing w:val="8"/>
              </w:rPr>
              <w:t>2</w:t>
            </w:r>
            <w:r>
              <w:rPr>
                <w:rFonts w:ascii="Times New Roman" w:hAnsi="Times New Roman" w:eastAsia="Times New Roman" w:cs="Times New Roman"/>
                <w:spacing w:val="-24"/>
              </w:rPr>
              <w:t xml:space="preserve"> </w:t>
            </w:r>
            <w:r>
              <w:rPr>
                <w:spacing w:val="8"/>
              </w:rPr>
              <w:t>、储油罐已符合《储罐区防火设计规范》的有关规范，建立安</w:t>
            </w:r>
            <w:r>
              <w:rPr>
                <w:spacing w:val="14"/>
              </w:rPr>
              <w:t>全作业操作规程，设置液位、温度、渗漏等探测系统，并与报</w:t>
            </w:r>
            <w:r>
              <w:rPr>
                <w:spacing w:val="6"/>
              </w:rPr>
              <w:t>警设施连接。</w:t>
            </w:r>
          </w:p>
          <w:p w14:paraId="38A651E4">
            <w:pPr>
              <w:pStyle w:val="6"/>
              <w:spacing w:before="1" w:line="295" w:lineRule="auto"/>
              <w:ind w:left="112" w:right="104" w:hanging="2"/>
            </w:pPr>
            <w:r>
              <w:rPr>
                <w:rFonts w:ascii="Times New Roman" w:hAnsi="Times New Roman" w:eastAsia="Times New Roman" w:cs="Times New Roman"/>
                <w:spacing w:val="8"/>
              </w:rPr>
              <w:t>3</w:t>
            </w:r>
            <w:r>
              <w:rPr>
                <w:rFonts w:ascii="Times New Roman" w:hAnsi="Times New Roman" w:eastAsia="Times New Roman" w:cs="Times New Roman"/>
                <w:spacing w:val="-31"/>
              </w:rPr>
              <w:t xml:space="preserve"> </w:t>
            </w:r>
            <w:r>
              <w:rPr>
                <w:spacing w:val="8"/>
              </w:rPr>
              <w:t>、储油罐及工艺管线应配备建设防渗漏检测系统，设置切断油</w:t>
            </w:r>
            <w:r>
              <w:rPr>
                <w:spacing w:val="14"/>
              </w:rPr>
              <w:t>品、气源的切断阀。加油（卸油）枪软管上应设安全拉断阀，</w:t>
            </w:r>
            <w:r>
              <w:rPr>
                <w:spacing w:val="6"/>
              </w:rPr>
              <w:t>软管的长度不应大于</w:t>
            </w:r>
            <w:r>
              <w:rPr>
                <w:spacing w:val="-43"/>
              </w:rPr>
              <w:t xml:space="preserve"> </w:t>
            </w:r>
            <w:r>
              <w:rPr>
                <w:rFonts w:ascii="Times New Roman" w:hAnsi="Times New Roman" w:eastAsia="Times New Roman" w:cs="Times New Roman"/>
                <w:spacing w:val="6"/>
              </w:rPr>
              <w:t>6m</w:t>
            </w:r>
            <w:r>
              <w:rPr>
                <w:spacing w:val="6"/>
              </w:rPr>
              <w:t>。</w:t>
            </w:r>
          </w:p>
          <w:p w14:paraId="20AA4565">
            <w:pPr>
              <w:pStyle w:val="6"/>
              <w:spacing w:before="1" w:line="295" w:lineRule="auto"/>
              <w:ind w:left="109" w:right="16" w:hanging="6"/>
            </w:pPr>
            <w:r>
              <w:rPr>
                <w:rFonts w:ascii="Times New Roman" w:hAnsi="Times New Roman" w:eastAsia="Times New Roman" w:cs="Times New Roman"/>
                <w:spacing w:val="3"/>
              </w:rPr>
              <w:t>4</w:t>
            </w:r>
            <w:r>
              <w:rPr>
                <w:spacing w:val="3"/>
              </w:rPr>
              <w:t>、站内应设置可燃气体检测报警系统。定期对油品储存、输送、</w:t>
            </w:r>
            <w:r>
              <w:rPr>
                <w:spacing w:val="14"/>
              </w:rPr>
              <w:t>零售环节的设备、管道、阀门、法兰盘等进行检修、维护和保</w:t>
            </w:r>
            <w:r>
              <w:rPr>
                <w:spacing w:val="-2"/>
              </w:rPr>
              <w:t>养，</w:t>
            </w:r>
          </w:p>
          <w:p w14:paraId="706FB505">
            <w:pPr>
              <w:pStyle w:val="6"/>
              <w:spacing w:before="3" w:line="295" w:lineRule="auto"/>
              <w:ind w:left="109" w:right="104" w:firstLine="2"/>
            </w:pPr>
            <w:r>
              <w:rPr>
                <w:rFonts w:ascii="Times New Roman" w:hAnsi="Times New Roman" w:eastAsia="Times New Roman" w:cs="Times New Roman"/>
                <w:spacing w:val="8"/>
              </w:rPr>
              <w:t>5</w:t>
            </w:r>
            <w:r>
              <w:rPr>
                <w:rFonts w:ascii="Times New Roman" w:hAnsi="Times New Roman" w:eastAsia="Times New Roman" w:cs="Times New Roman"/>
                <w:spacing w:val="-31"/>
              </w:rPr>
              <w:t xml:space="preserve"> </w:t>
            </w:r>
            <w:r>
              <w:rPr>
                <w:spacing w:val="8"/>
              </w:rPr>
              <w:t>、配备相应的</w:t>
            </w:r>
            <w:r>
              <w:rPr>
                <w:rFonts w:hint="eastAsia"/>
                <w:spacing w:val="8"/>
                <w:lang w:eastAsia="zh-CN"/>
              </w:rPr>
              <w:t>应急物资</w:t>
            </w:r>
            <w:r>
              <w:rPr>
                <w:spacing w:val="8"/>
              </w:rPr>
              <w:t>，灭火毯、灭火沙子、手提式干粉</w:t>
            </w:r>
            <w:r>
              <w:rPr>
                <w:spacing w:val="7"/>
              </w:rPr>
              <w:t>灭火</w:t>
            </w:r>
            <w:r>
              <w:rPr>
                <w:spacing w:val="14"/>
              </w:rPr>
              <w:t>器、消防砂池和应急水泵、医用急救包、报警装置、消防沙袋等，工作人员定期进行消防、安全技术培训、提高安全防范意</w:t>
            </w:r>
            <w:r>
              <w:rPr>
                <w:spacing w:val="-1"/>
              </w:rPr>
              <w:t>识；</w:t>
            </w:r>
          </w:p>
          <w:p w14:paraId="0C519DAC">
            <w:pPr>
              <w:pStyle w:val="6"/>
              <w:spacing w:before="3" w:line="295" w:lineRule="auto"/>
              <w:ind w:left="101" w:right="104" w:firstLine="9"/>
            </w:pPr>
            <w:r>
              <w:rPr>
                <w:rFonts w:ascii="Times New Roman" w:hAnsi="Times New Roman" w:eastAsia="Times New Roman" w:cs="Times New Roman"/>
                <w:spacing w:val="8"/>
              </w:rPr>
              <w:t>6</w:t>
            </w:r>
            <w:r>
              <w:rPr>
                <w:rFonts w:ascii="Times New Roman" w:hAnsi="Times New Roman" w:eastAsia="Times New Roman" w:cs="Times New Roman"/>
                <w:spacing w:val="-32"/>
              </w:rPr>
              <w:t xml:space="preserve"> </w:t>
            </w:r>
            <w:r>
              <w:rPr>
                <w:spacing w:val="8"/>
              </w:rPr>
              <w:t>、分区防渗，重点防渗区（埋地油罐、加油区、危险废物贮存</w:t>
            </w:r>
            <w:r>
              <w:rPr>
                <w:spacing w:val="13"/>
              </w:rPr>
              <w:t>点、隔油池、卸油区、应急柴油发电机房以及工艺管线</w:t>
            </w:r>
            <w:r>
              <w:rPr>
                <w:spacing w:val="5"/>
              </w:rPr>
              <w:t>）</w:t>
            </w:r>
            <w:r>
              <w:rPr>
                <w:spacing w:val="-71"/>
              </w:rPr>
              <w:t xml:space="preserve"> </w:t>
            </w:r>
            <w:r>
              <w:rPr>
                <w:spacing w:val="5"/>
              </w:rPr>
              <w:t>，</w:t>
            </w:r>
            <w:r>
              <w:rPr>
                <w:spacing w:val="13"/>
              </w:rPr>
              <w:t>其</w:t>
            </w:r>
            <w:r>
              <w:rPr>
                <w:spacing w:val="2"/>
              </w:rPr>
              <w:t>防</w:t>
            </w:r>
            <w:r>
              <w:rPr>
                <w:spacing w:val="-39"/>
              </w:rPr>
              <w:t xml:space="preserve"> </w:t>
            </w:r>
            <w:r>
              <w:rPr>
                <w:spacing w:val="2"/>
              </w:rPr>
              <w:t>渗</w:t>
            </w:r>
            <w:r>
              <w:rPr>
                <w:spacing w:val="-56"/>
              </w:rPr>
              <w:t xml:space="preserve"> </w:t>
            </w:r>
            <w:r>
              <w:rPr>
                <w:spacing w:val="2"/>
              </w:rPr>
              <w:t>技</w:t>
            </w:r>
            <w:r>
              <w:rPr>
                <w:spacing w:val="-52"/>
              </w:rPr>
              <w:t xml:space="preserve"> </w:t>
            </w:r>
            <w:r>
              <w:rPr>
                <w:spacing w:val="2"/>
              </w:rPr>
              <w:t>术</w:t>
            </w:r>
            <w:r>
              <w:rPr>
                <w:spacing w:val="-56"/>
              </w:rPr>
              <w:t xml:space="preserve"> </w:t>
            </w:r>
            <w:r>
              <w:rPr>
                <w:spacing w:val="2"/>
              </w:rPr>
              <w:t>要</w:t>
            </w:r>
            <w:r>
              <w:rPr>
                <w:spacing w:val="-53"/>
              </w:rPr>
              <w:t xml:space="preserve"> </w:t>
            </w:r>
            <w:r>
              <w:rPr>
                <w:spacing w:val="2"/>
              </w:rPr>
              <w:t>求</w:t>
            </w:r>
            <w:r>
              <w:rPr>
                <w:spacing w:val="-33"/>
              </w:rPr>
              <w:t xml:space="preserve"> </w:t>
            </w:r>
            <w:r>
              <w:rPr>
                <w:spacing w:val="2"/>
              </w:rPr>
              <w:t>：</w:t>
            </w:r>
            <w:r>
              <w:rPr>
                <w:spacing w:val="-48"/>
              </w:rPr>
              <w:t xml:space="preserve"> </w:t>
            </w:r>
            <w:r>
              <w:rPr>
                <w:spacing w:val="2"/>
              </w:rPr>
              <w:t>等</w:t>
            </w:r>
            <w:r>
              <w:rPr>
                <w:spacing w:val="-49"/>
              </w:rPr>
              <w:t xml:space="preserve"> </w:t>
            </w:r>
            <w:r>
              <w:rPr>
                <w:spacing w:val="2"/>
              </w:rPr>
              <w:t>效</w:t>
            </w:r>
            <w:r>
              <w:rPr>
                <w:spacing w:val="-55"/>
              </w:rPr>
              <w:t xml:space="preserve"> </w:t>
            </w:r>
            <w:r>
              <w:rPr>
                <w:spacing w:val="2"/>
              </w:rPr>
              <w:t>黏土</w:t>
            </w:r>
            <w:r>
              <w:rPr>
                <w:spacing w:val="-38"/>
              </w:rPr>
              <w:t xml:space="preserve"> </w:t>
            </w:r>
            <w:r>
              <w:rPr>
                <w:spacing w:val="2"/>
              </w:rPr>
              <w:t>防</w:t>
            </w:r>
            <w:r>
              <w:rPr>
                <w:spacing w:val="-56"/>
              </w:rPr>
              <w:t xml:space="preserve"> </w:t>
            </w:r>
            <w:r>
              <w:rPr>
                <w:spacing w:val="2"/>
              </w:rPr>
              <w:t>渗</w:t>
            </w:r>
            <w:r>
              <w:rPr>
                <w:spacing w:val="-55"/>
              </w:rPr>
              <w:t xml:space="preserve"> </w:t>
            </w:r>
            <w:r>
              <w:rPr>
                <w:spacing w:val="2"/>
              </w:rPr>
              <w:t xml:space="preserve">层 </w:t>
            </w:r>
            <w:r>
              <w:rPr>
                <w:rFonts w:ascii="Times New Roman" w:hAnsi="Times New Roman" w:eastAsia="Times New Roman" w:cs="Times New Roman"/>
              </w:rPr>
              <w:t>Mb</w:t>
            </w:r>
            <w:r>
              <w:rPr>
                <w:rFonts w:ascii="Times New Roman" w:hAnsi="Times New Roman" w:eastAsia="Times New Roman" w:cs="Times New Roman"/>
                <w:spacing w:val="2"/>
              </w:rPr>
              <w:t>≥6.0m</w:t>
            </w:r>
            <w:r>
              <w:rPr>
                <w:rFonts w:ascii="Times New Roman" w:hAnsi="Times New Roman" w:eastAsia="Times New Roman" w:cs="Times New Roman"/>
                <w:spacing w:val="29"/>
                <w:w w:val="101"/>
              </w:rPr>
              <w:t xml:space="preserve"> </w:t>
            </w:r>
            <w:r>
              <w:rPr>
                <w:spacing w:val="2"/>
              </w:rPr>
              <w:t>，</w:t>
            </w:r>
            <w:r>
              <w:rPr>
                <w:spacing w:val="-47"/>
              </w:rPr>
              <w:t xml:space="preserve"> </w:t>
            </w:r>
            <w:r>
              <w:rPr>
                <w:spacing w:val="2"/>
              </w:rPr>
              <w:t>渗</w:t>
            </w:r>
            <w:r>
              <w:rPr>
                <w:spacing w:val="-58"/>
              </w:rPr>
              <w:t xml:space="preserve"> </w:t>
            </w:r>
            <w:r>
              <w:rPr>
                <w:spacing w:val="2"/>
              </w:rPr>
              <w:t>透</w:t>
            </w:r>
            <w:r>
              <w:rPr>
                <w:spacing w:val="-50"/>
              </w:rPr>
              <w:t xml:space="preserve"> </w:t>
            </w:r>
            <w:r>
              <w:rPr>
                <w:spacing w:val="2"/>
              </w:rPr>
              <w:t>系数</w:t>
            </w:r>
            <w:r>
              <w:rPr>
                <w:rFonts w:ascii="Times New Roman" w:hAnsi="Times New Roman" w:eastAsia="Times New Roman" w:cs="Times New Roman"/>
                <w:spacing w:val="7"/>
              </w:rPr>
              <w:t>k≤1×10</w:t>
            </w:r>
            <w:r>
              <w:rPr>
                <w:rFonts w:ascii="Times New Roman" w:hAnsi="Times New Roman" w:eastAsia="Times New Roman" w:cs="Times New Roman"/>
                <w:spacing w:val="7"/>
                <w:position w:val="8"/>
                <w:sz w:val="16"/>
                <w:szCs w:val="16"/>
              </w:rPr>
              <w:t>-7</w:t>
            </w:r>
            <w:r>
              <w:rPr>
                <w:rFonts w:ascii="Times New Roman" w:hAnsi="Times New Roman" w:eastAsia="Times New Roman" w:cs="Times New Roman"/>
              </w:rPr>
              <w:t>cm</w:t>
            </w:r>
            <w:r>
              <w:rPr>
                <w:rFonts w:ascii="Times New Roman" w:hAnsi="Times New Roman" w:eastAsia="Times New Roman" w:cs="Times New Roman"/>
                <w:spacing w:val="7"/>
              </w:rPr>
              <w:t>/s</w:t>
            </w:r>
            <w:r>
              <w:rPr>
                <w:rFonts w:ascii="Times New Roman" w:hAnsi="Times New Roman" w:eastAsia="Times New Roman" w:cs="Times New Roman"/>
                <w:spacing w:val="-26"/>
              </w:rPr>
              <w:t xml:space="preserve"> </w:t>
            </w:r>
            <w:r>
              <w:rPr>
                <w:spacing w:val="7"/>
              </w:rPr>
              <w:t>，按照</w:t>
            </w:r>
            <w:r>
              <w:rPr>
                <w:spacing w:val="-47"/>
              </w:rPr>
              <w:t xml:space="preserve"> </w:t>
            </w:r>
            <w:r>
              <w:rPr>
                <w:rFonts w:ascii="Times New Roman" w:hAnsi="Times New Roman" w:eastAsia="Times New Roman" w:cs="Times New Roman"/>
              </w:rPr>
              <w:t>GB</w:t>
            </w:r>
            <w:r>
              <w:rPr>
                <w:rFonts w:ascii="Times New Roman" w:hAnsi="Times New Roman" w:eastAsia="Times New Roman" w:cs="Times New Roman"/>
                <w:spacing w:val="38"/>
                <w:w w:val="101"/>
              </w:rPr>
              <w:t xml:space="preserve"> </w:t>
            </w:r>
            <w:r>
              <w:rPr>
                <w:rFonts w:ascii="Times New Roman" w:hAnsi="Times New Roman" w:eastAsia="Times New Roman" w:cs="Times New Roman"/>
                <w:spacing w:val="7"/>
              </w:rPr>
              <w:t>18598</w:t>
            </w:r>
            <w:r>
              <w:rPr>
                <w:rFonts w:ascii="Times New Roman" w:hAnsi="Times New Roman" w:eastAsia="Times New Roman" w:cs="Times New Roman"/>
                <w:spacing w:val="19"/>
                <w:w w:val="101"/>
              </w:rPr>
              <w:t xml:space="preserve"> </w:t>
            </w:r>
            <w:r>
              <w:rPr>
                <w:spacing w:val="7"/>
              </w:rPr>
              <w:t>执行；一般防渗区（</w:t>
            </w:r>
            <w:r>
              <w:rPr>
                <w:spacing w:val="6"/>
              </w:rPr>
              <w:t>生化池</w:t>
            </w:r>
            <w:r>
              <w:rPr>
                <w:spacing w:val="-11"/>
              </w:rPr>
              <w:t>）</w:t>
            </w:r>
            <w:r>
              <w:rPr>
                <w:spacing w:val="-75"/>
              </w:rPr>
              <w:t xml:space="preserve"> </w:t>
            </w:r>
            <w:r>
              <w:rPr>
                <w:spacing w:val="-11"/>
              </w:rPr>
              <w:t>，</w:t>
            </w:r>
            <w:r>
              <w:rPr>
                <w:spacing w:val="8"/>
              </w:rPr>
              <w:t>防渗层渗透系数</w:t>
            </w:r>
            <w:r>
              <w:rPr>
                <w:rFonts w:ascii="Times New Roman" w:hAnsi="Times New Roman" w:eastAsia="Times New Roman" w:cs="Times New Roman"/>
                <w:spacing w:val="8"/>
              </w:rPr>
              <w:t>≤10</w:t>
            </w:r>
            <w:r>
              <w:rPr>
                <w:rFonts w:ascii="Times New Roman" w:hAnsi="Times New Roman" w:eastAsia="Times New Roman" w:cs="Times New Roman"/>
                <w:spacing w:val="8"/>
                <w:position w:val="8"/>
                <w:sz w:val="16"/>
                <w:szCs w:val="16"/>
              </w:rPr>
              <w:t>-7</w:t>
            </w:r>
            <w:r>
              <w:rPr>
                <w:rFonts w:ascii="Times New Roman" w:hAnsi="Times New Roman" w:eastAsia="Times New Roman" w:cs="Times New Roman"/>
              </w:rPr>
              <w:t>cm</w:t>
            </w:r>
            <w:r>
              <w:rPr>
                <w:rFonts w:ascii="Times New Roman" w:hAnsi="Times New Roman" w:eastAsia="Times New Roman" w:cs="Times New Roman"/>
                <w:spacing w:val="8"/>
              </w:rPr>
              <w:t xml:space="preserve">/s  </w:t>
            </w:r>
            <w:r>
              <w:rPr>
                <w:spacing w:val="8"/>
              </w:rPr>
              <w:t>或与</w:t>
            </w:r>
            <w:r>
              <w:rPr>
                <w:spacing w:val="-16"/>
              </w:rPr>
              <w:t xml:space="preserve"> </w:t>
            </w:r>
            <w:r>
              <w:rPr>
                <w:rFonts w:ascii="Times New Roman" w:hAnsi="Times New Roman" w:eastAsia="Times New Roman" w:cs="Times New Roman"/>
                <w:spacing w:val="8"/>
              </w:rPr>
              <w:t xml:space="preserve">1.5m  </w:t>
            </w:r>
            <w:r>
              <w:rPr>
                <w:spacing w:val="8"/>
              </w:rPr>
              <w:t>厚粘土层等效；简单防渗区（厂内道路、站房</w:t>
            </w:r>
            <w:r>
              <w:rPr>
                <w:spacing w:val="19"/>
              </w:rPr>
              <w:t>），</w:t>
            </w:r>
            <w:r>
              <w:rPr>
                <w:spacing w:val="8"/>
              </w:rPr>
              <w:t>地面应硬化；</w:t>
            </w:r>
          </w:p>
          <w:p w14:paraId="54116FF1">
            <w:pPr>
              <w:pStyle w:val="6"/>
              <w:spacing w:line="295" w:lineRule="auto"/>
              <w:ind w:left="111" w:right="104" w:hanging="3"/>
            </w:pPr>
            <w:r>
              <w:rPr>
                <w:rFonts w:ascii="Times New Roman" w:hAnsi="Times New Roman" w:eastAsia="Times New Roman" w:cs="Times New Roman"/>
                <w:spacing w:val="8"/>
              </w:rPr>
              <w:t>7</w:t>
            </w:r>
            <w:r>
              <w:rPr>
                <w:rFonts w:ascii="Times New Roman" w:hAnsi="Times New Roman" w:eastAsia="Times New Roman" w:cs="Times New Roman"/>
                <w:spacing w:val="-30"/>
              </w:rPr>
              <w:t xml:space="preserve"> </w:t>
            </w:r>
            <w:r>
              <w:rPr>
                <w:spacing w:val="8"/>
              </w:rPr>
              <w:t>、加油区、卸油区地面均应设置地面截污沟，并导流至隔油沉</w:t>
            </w:r>
            <w:r>
              <w:rPr>
                <w:spacing w:val="2"/>
              </w:rPr>
              <w:t>淀池；</w:t>
            </w:r>
          </w:p>
          <w:p w14:paraId="193BA7B3">
            <w:pPr>
              <w:pStyle w:val="6"/>
              <w:spacing w:line="295" w:lineRule="auto"/>
              <w:ind w:left="110" w:right="37" w:firstLine="4"/>
            </w:pPr>
            <w:r>
              <w:rPr>
                <w:rFonts w:ascii="Times New Roman" w:hAnsi="Times New Roman" w:eastAsia="Times New Roman" w:cs="Times New Roman"/>
                <w:spacing w:val="8"/>
              </w:rPr>
              <w:t>8</w:t>
            </w:r>
            <w:r>
              <w:rPr>
                <w:rFonts w:ascii="Times New Roman" w:hAnsi="Times New Roman" w:eastAsia="Times New Roman" w:cs="Times New Roman"/>
                <w:spacing w:val="-32"/>
              </w:rPr>
              <w:t xml:space="preserve"> </w:t>
            </w:r>
            <w:r>
              <w:rPr>
                <w:spacing w:val="8"/>
              </w:rPr>
              <w:t>、应按照规范要求备足灭火器材及消防沙、消防沙</w:t>
            </w:r>
            <w:r>
              <w:rPr>
                <w:spacing w:val="7"/>
              </w:rPr>
              <w:t>袋等</w:t>
            </w:r>
            <w:r>
              <w:rPr>
                <w:rFonts w:hint="eastAsia"/>
                <w:spacing w:val="7"/>
                <w:lang w:eastAsia="zh-CN"/>
              </w:rPr>
              <w:t>应急物资</w:t>
            </w:r>
            <w:r>
              <w:rPr>
                <w:spacing w:val="7"/>
              </w:rPr>
              <w:t>；建立、完善安全管理制度、设置安全标识、规范安全操作；</w:t>
            </w:r>
          </w:p>
          <w:p w14:paraId="2C43F785">
            <w:pPr>
              <w:pStyle w:val="6"/>
              <w:spacing w:before="1" w:line="218" w:lineRule="auto"/>
              <w:ind w:left="109"/>
            </w:pPr>
            <w:r>
              <w:rPr>
                <w:rFonts w:ascii="Times New Roman" w:hAnsi="Times New Roman" w:eastAsia="Times New Roman" w:cs="Times New Roman"/>
                <w:spacing w:val="7"/>
              </w:rPr>
              <w:t>9</w:t>
            </w:r>
            <w:r>
              <w:rPr>
                <w:rFonts w:ascii="Times New Roman" w:hAnsi="Times New Roman" w:eastAsia="Times New Roman" w:cs="Times New Roman"/>
                <w:spacing w:val="-19"/>
              </w:rPr>
              <w:t xml:space="preserve"> </w:t>
            </w:r>
            <w:r>
              <w:rPr>
                <w:spacing w:val="7"/>
              </w:rPr>
              <w:t>、应组织更新修订应急预案，定期进行应急演练；</w:t>
            </w:r>
          </w:p>
        </w:tc>
      </w:tr>
    </w:tbl>
    <w:p w14:paraId="7BAD9B71">
      <w:pPr>
        <w:pStyle w:val="2"/>
        <w:rPr>
          <w:sz w:val="21"/>
        </w:rPr>
      </w:pPr>
    </w:p>
    <w:p w14:paraId="1291F456">
      <w:pPr>
        <w:rPr>
          <w:sz w:val="21"/>
          <w:szCs w:val="21"/>
        </w:rPr>
        <w:sectPr>
          <w:footerReference r:id="rId105" w:type="default"/>
          <w:pgSz w:w="11906" w:h="16839"/>
          <w:pgMar w:top="400" w:right="1535" w:bottom="1009" w:left="1543" w:header="0" w:footer="770" w:gutter="0"/>
          <w:cols w:space="720" w:num="1"/>
        </w:sectPr>
      </w:pPr>
    </w:p>
    <w:p w14:paraId="61E0F724">
      <w:pPr>
        <w:spacing w:before="19"/>
      </w:pPr>
    </w:p>
    <w:p w14:paraId="5C950D7F">
      <w:pPr>
        <w:spacing w:before="19"/>
      </w:pPr>
    </w:p>
    <w:p w14:paraId="2BB65286">
      <w:pPr>
        <w:spacing w:before="19"/>
      </w:pPr>
    </w:p>
    <w:p w14:paraId="55B97CED">
      <w:pPr>
        <w:spacing w:before="18"/>
      </w:pPr>
    </w:p>
    <w:p w14:paraId="591CF55B">
      <w:pPr>
        <w:spacing w:before="18"/>
      </w:pPr>
    </w:p>
    <w:tbl>
      <w:tblPr>
        <w:tblStyle w:val="5"/>
        <w:tblW w:w="8804" w:type="dxa"/>
        <w:tblInd w:w="2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48"/>
        <w:gridCol w:w="7356"/>
      </w:tblGrid>
      <w:tr w14:paraId="1469B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09" w:hRule="atLeast"/>
        </w:trPr>
        <w:tc>
          <w:tcPr>
            <w:tcW w:w="1448" w:type="dxa"/>
            <w:tcBorders>
              <w:right w:val="single" w:color="000000" w:sz="2" w:space="0"/>
            </w:tcBorders>
            <w:vAlign w:val="top"/>
          </w:tcPr>
          <w:p w14:paraId="6BC06428">
            <w:pPr>
              <w:spacing w:line="308" w:lineRule="auto"/>
              <w:rPr>
                <w:rFonts w:ascii="Arial"/>
                <w:sz w:val="21"/>
              </w:rPr>
            </w:pPr>
          </w:p>
          <w:p w14:paraId="38A3F4B0">
            <w:pPr>
              <w:spacing w:line="308" w:lineRule="auto"/>
              <w:rPr>
                <w:rFonts w:ascii="Arial"/>
                <w:sz w:val="21"/>
              </w:rPr>
            </w:pPr>
          </w:p>
          <w:p w14:paraId="2929E137">
            <w:pPr>
              <w:pStyle w:val="6"/>
              <w:spacing w:before="81" w:line="298" w:lineRule="auto"/>
              <w:ind w:left="243" w:right="219" w:hanging="5"/>
            </w:pPr>
            <w:r>
              <w:rPr>
                <w:spacing w:val="-6"/>
              </w:rPr>
              <w:t>其他环境</w:t>
            </w:r>
            <w:r>
              <w:rPr>
                <w:spacing w:val="-7"/>
              </w:rPr>
              <w:t>管理要求</w:t>
            </w:r>
          </w:p>
        </w:tc>
        <w:tc>
          <w:tcPr>
            <w:tcW w:w="7356" w:type="dxa"/>
            <w:tcBorders>
              <w:left w:val="single" w:color="000000" w:sz="2" w:space="0"/>
            </w:tcBorders>
            <w:vAlign w:val="top"/>
          </w:tcPr>
          <w:p w14:paraId="3128BEA0">
            <w:pPr>
              <w:pStyle w:val="6"/>
              <w:spacing w:before="99" w:line="296" w:lineRule="auto"/>
              <w:ind w:left="108" w:right="34" w:firstLine="4"/>
              <w:jc w:val="both"/>
            </w:pPr>
            <w:r>
              <w:rPr>
                <w:spacing w:val="14"/>
              </w:rPr>
              <w:t>建立安全生产规章制度和措施，制定安全管理制度、岗位安全</w:t>
            </w:r>
            <w:r>
              <w:rPr>
                <w:spacing w:val="7"/>
              </w:rPr>
              <w:t>操作规程和作业安全规程，环保手续齐全，建立环境管理制度，</w:t>
            </w:r>
            <w:r>
              <w:rPr>
                <w:spacing w:val="13"/>
              </w:rPr>
              <w:t>加强管理，制定应急演练计划；执行“三同时</w:t>
            </w:r>
            <w:r>
              <w:rPr>
                <w:spacing w:val="-86"/>
              </w:rPr>
              <w:t xml:space="preserve"> </w:t>
            </w:r>
            <w:r>
              <w:rPr>
                <w:spacing w:val="13"/>
              </w:rPr>
              <w:t>”</w:t>
            </w:r>
            <w:r>
              <w:rPr>
                <w:spacing w:val="12"/>
              </w:rPr>
              <w:t>制度并达到相</w:t>
            </w:r>
            <w:r>
              <w:rPr>
                <w:spacing w:val="6"/>
              </w:rPr>
              <w:t>关环保要求；</w:t>
            </w:r>
          </w:p>
          <w:p w14:paraId="05CFE67E">
            <w:pPr>
              <w:pStyle w:val="6"/>
              <w:spacing w:line="218" w:lineRule="auto"/>
              <w:ind w:left="113"/>
              <w:outlineLvl w:val="0"/>
            </w:pPr>
            <w:r>
              <w:rPr>
                <w:spacing w:val="9"/>
              </w:rPr>
              <w:t>项目竣工后按要求申报排污许可证，进行环保竣工验收。</w:t>
            </w:r>
          </w:p>
        </w:tc>
      </w:tr>
    </w:tbl>
    <w:p w14:paraId="16977C10">
      <w:pPr>
        <w:pStyle w:val="2"/>
        <w:rPr>
          <w:sz w:val="21"/>
        </w:rPr>
      </w:pPr>
    </w:p>
    <w:p w14:paraId="6222AF80">
      <w:pPr>
        <w:rPr>
          <w:sz w:val="21"/>
          <w:szCs w:val="21"/>
        </w:rPr>
        <w:sectPr>
          <w:footerReference r:id="rId106" w:type="default"/>
          <w:pgSz w:w="11906" w:h="16839"/>
          <w:pgMar w:top="400" w:right="1543" w:bottom="1009" w:left="1528" w:header="0" w:footer="770" w:gutter="0"/>
          <w:cols w:space="720" w:num="1"/>
        </w:sectPr>
      </w:pPr>
    </w:p>
    <w:p w14:paraId="63CA3A0A">
      <w:pPr>
        <w:spacing w:before="28"/>
      </w:pPr>
    </w:p>
    <w:p w14:paraId="49A823C0">
      <w:pPr>
        <w:spacing w:before="28"/>
      </w:pPr>
    </w:p>
    <w:p w14:paraId="6E34D8E9">
      <w:pPr>
        <w:spacing w:before="28"/>
      </w:pPr>
    </w:p>
    <w:p w14:paraId="7900FC0F">
      <w:pPr>
        <w:spacing w:before="28"/>
      </w:pPr>
    </w:p>
    <w:p w14:paraId="5283AF85">
      <w:pPr>
        <w:spacing w:before="27"/>
      </w:pPr>
    </w:p>
    <w:tbl>
      <w:tblPr>
        <w:tblStyle w:val="5"/>
        <w:tblW w:w="8869"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9"/>
      </w:tblGrid>
      <w:tr w14:paraId="7194B862">
        <w:tblPrEx>
          <w:tblCellMar>
            <w:top w:w="0" w:type="dxa"/>
            <w:left w:w="0" w:type="dxa"/>
            <w:bottom w:w="0" w:type="dxa"/>
            <w:right w:w="0" w:type="dxa"/>
          </w:tblCellMar>
        </w:tblPrEx>
        <w:trPr>
          <w:trHeight w:val="12342" w:hRule="atLeast"/>
        </w:trPr>
        <w:tc>
          <w:tcPr>
            <w:tcW w:w="8869" w:type="dxa"/>
            <w:vAlign w:val="top"/>
          </w:tcPr>
          <w:p w14:paraId="1A1C28E4">
            <w:pPr>
              <w:spacing w:before="1" w:line="216" w:lineRule="auto"/>
              <w:ind w:left="3847"/>
              <w:rPr>
                <w:rFonts w:ascii="黑体" w:hAnsi="黑体" w:eastAsia="黑体" w:cs="黑体"/>
                <w:sz w:val="30"/>
                <w:szCs w:val="30"/>
              </w:rPr>
            </w:pPr>
            <w:r>
              <w:rPr>
                <w:rFonts w:ascii="黑体" w:hAnsi="黑体" w:eastAsia="黑体" w:cs="黑体"/>
                <w:spacing w:val="-6"/>
                <w:sz w:val="30"/>
                <w:szCs w:val="30"/>
              </w:rPr>
              <w:t>六、结论</w:t>
            </w:r>
          </w:p>
          <w:p w14:paraId="48DD65DC">
            <w:pPr>
              <w:pStyle w:val="6"/>
              <w:spacing w:before="157" w:line="355" w:lineRule="auto"/>
              <w:ind w:left="111" w:right="105" w:firstLine="521"/>
              <w:jc w:val="both"/>
            </w:pPr>
            <w:r>
              <w:rPr>
                <w:spacing w:val="12"/>
              </w:rPr>
              <w:t>本项目符合国家产业政策，行业准入条件及相关环</w:t>
            </w:r>
            <w:r>
              <w:rPr>
                <w:spacing w:val="11"/>
              </w:rPr>
              <w:t>保政策等要求，满足</w:t>
            </w:r>
            <w:r>
              <w:rPr>
                <w:spacing w:val="10"/>
              </w:rPr>
              <w:t>重庆市九龙坡区“三线一单</w:t>
            </w:r>
            <w:r>
              <w:rPr>
                <w:spacing w:val="-70"/>
              </w:rPr>
              <w:t xml:space="preserve"> </w:t>
            </w:r>
            <w:r>
              <w:rPr>
                <w:spacing w:val="10"/>
              </w:rPr>
              <w:t>”生态环境分区管控要求。项目所在区域环境现</w:t>
            </w:r>
            <w:r>
              <w:rPr>
                <w:spacing w:val="12"/>
              </w:rPr>
              <w:t>状质量不会制约项目的建设和运营。在实施相应的</w:t>
            </w:r>
            <w:r>
              <w:rPr>
                <w:spacing w:val="11"/>
              </w:rPr>
              <w:t>污染防治措施和风险防范</w:t>
            </w:r>
            <w:r>
              <w:rPr>
                <w:spacing w:val="12"/>
              </w:rPr>
              <w:t>措施后，可实现污染物达标排放，环境风险可控，</w:t>
            </w:r>
            <w:r>
              <w:rPr>
                <w:spacing w:val="11"/>
              </w:rPr>
              <w:t>对环境的影响可接受。从</w:t>
            </w:r>
            <w:r>
              <w:rPr>
                <w:spacing w:val="8"/>
              </w:rPr>
              <w:t>环境保护角度分析，项目建设环境影响可行。</w:t>
            </w:r>
          </w:p>
        </w:tc>
      </w:tr>
    </w:tbl>
    <w:p w14:paraId="284F5875">
      <w:pPr>
        <w:pStyle w:val="2"/>
        <w:rPr>
          <w:sz w:val="21"/>
        </w:rPr>
      </w:pPr>
    </w:p>
    <w:p w14:paraId="5BBAE46E">
      <w:pPr>
        <w:rPr>
          <w:sz w:val="21"/>
          <w:szCs w:val="21"/>
        </w:rPr>
        <w:sectPr>
          <w:footerReference r:id="rId107" w:type="default"/>
          <w:pgSz w:w="11906" w:h="16839"/>
          <w:pgMar w:top="400" w:right="1511" w:bottom="1009" w:left="1510" w:header="0" w:footer="770" w:gutter="0"/>
          <w:cols w:space="720" w:num="1"/>
        </w:sectPr>
      </w:pPr>
    </w:p>
    <w:p w14:paraId="31571EB9">
      <w:pPr>
        <w:pStyle w:val="2"/>
        <w:spacing w:line="268" w:lineRule="auto"/>
        <w:rPr>
          <w:sz w:val="21"/>
        </w:rPr>
      </w:pPr>
    </w:p>
    <w:p w14:paraId="3B75E9B0">
      <w:pPr>
        <w:pStyle w:val="2"/>
        <w:spacing w:line="268" w:lineRule="auto"/>
        <w:rPr>
          <w:sz w:val="21"/>
        </w:rPr>
      </w:pPr>
    </w:p>
    <w:p w14:paraId="6D6DB122">
      <w:pPr>
        <w:pStyle w:val="2"/>
        <w:spacing w:line="268" w:lineRule="auto"/>
        <w:rPr>
          <w:sz w:val="21"/>
        </w:rPr>
      </w:pPr>
    </w:p>
    <w:p w14:paraId="2B6B58AB">
      <w:pPr>
        <w:pStyle w:val="2"/>
        <w:spacing w:line="269" w:lineRule="auto"/>
        <w:rPr>
          <w:sz w:val="21"/>
        </w:rPr>
      </w:pPr>
    </w:p>
    <w:p w14:paraId="452F8210">
      <w:pPr>
        <w:spacing w:before="100" w:line="228" w:lineRule="auto"/>
        <w:ind w:left="216"/>
        <w:outlineLvl w:val="0"/>
        <w:rPr>
          <w:rFonts w:ascii="黑体" w:hAnsi="黑体" w:eastAsia="黑体" w:cs="黑体"/>
          <w:sz w:val="31"/>
          <w:szCs w:val="31"/>
        </w:rPr>
      </w:pPr>
      <w:r>
        <w:rPr>
          <w:rFonts w:ascii="黑体" w:hAnsi="黑体" w:eastAsia="黑体" w:cs="黑体"/>
          <w:spacing w:val="-6"/>
          <w:sz w:val="31"/>
          <w:szCs w:val="31"/>
        </w:rPr>
        <w:t>附表</w:t>
      </w:r>
    </w:p>
    <w:p w14:paraId="4AF72ABE">
      <w:pPr>
        <w:pStyle w:val="2"/>
        <w:spacing w:line="298" w:lineRule="auto"/>
        <w:rPr>
          <w:sz w:val="21"/>
        </w:rPr>
      </w:pPr>
    </w:p>
    <w:p w14:paraId="1117C43C">
      <w:pPr>
        <w:pStyle w:val="2"/>
        <w:spacing w:line="299" w:lineRule="auto"/>
        <w:rPr>
          <w:sz w:val="21"/>
        </w:rPr>
      </w:pPr>
    </w:p>
    <w:p w14:paraId="4FCB6FDF">
      <w:pPr>
        <w:spacing w:before="158" w:line="186" w:lineRule="auto"/>
        <w:ind w:left="4442"/>
        <w:outlineLvl w:val="0"/>
        <w:rPr>
          <w:rFonts w:ascii="微软雅黑" w:hAnsi="微软雅黑" w:eastAsia="微软雅黑" w:cs="微软雅黑"/>
          <w:sz w:val="37"/>
          <w:szCs w:val="37"/>
        </w:rPr>
      </w:pPr>
      <w:r>
        <w:rPr>
          <w:rFonts w:ascii="微软雅黑" w:hAnsi="微软雅黑" w:eastAsia="微软雅黑" w:cs="微软雅黑"/>
          <w:spacing w:val="9"/>
          <w:sz w:val="37"/>
          <w:szCs w:val="37"/>
        </w:rPr>
        <w:t>建设项目污染物排放量汇总表</w:t>
      </w:r>
    </w:p>
    <w:p w14:paraId="79A9371D">
      <w:pPr>
        <w:spacing w:before="63"/>
      </w:pPr>
    </w:p>
    <w:tbl>
      <w:tblPr>
        <w:tblStyle w:val="5"/>
        <w:tblW w:w="137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2"/>
        <w:gridCol w:w="1699"/>
        <w:gridCol w:w="1699"/>
        <w:gridCol w:w="1275"/>
        <w:gridCol w:w="1699"/>
        <w:gridCol w:w="1557"/>
        <w:gridCol w:w="1759"/>
        <w:gridCol w:w="1743"/>
        <w:gridCol w:w="1049"/>
      </w:tblGrid>
      <w:tr w14:paraId="78B1C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12" w:type="dxa"/>
            <w:tcBorders>
              <w:top w:val="single" w:color="000000" w:sz="6" w:space="0"/>
              <w:left w:val="single" w:color="000000" w:sz="6" w:space="0"/>
              <w:tl2br w:val="single" w:color="000000" w:sz="4" w:space="0"/>
            </w:tcBorders>
            <w:vAlign w:val="top"/>
          </w:tcPr>
          <w:p w14:paraId="69722E24">
            <w:pPr>
              <w:spacing w:before="196" w:line="239" w:lineRule="auto"/>
              <w:ind w:left="37" w:right="19" w:firstLine="786"/>
              <w:rPr>
                <w:rFonts w:ascii="黑体" w:hAnsi="黑体" w:eastAsia="黑体" w:cs="黑体"/>
                <w:sz w:val="24"/>
                <w:szCs w:val="24"/>
              </w:rPr>
            </w:pPr>
            <w:r>
              <w:rPr>
                <w:rFonts w:ascii="黑体" w:hAnsi="黑体" w:eastAsia="黑体" w:cs="黑体"/>
                <w:spacing w:val="-11"/>
                <w:sz w:val="24"/>
                <w:szCs w:val="24"/>
              </w:rPr>
              <w:t>项目</w:t>
            </w:r>
            <w:r>
              <w:rPr>
                <w:rFonts w:ascii="黑体" w:hAnsi="黑体" w:eastAsia="黑体" w:cs="黑体"/>
                <w:spacing w:val="-8"/>
                <w:sz w:val="24"/>
                <w:szCs w:val="24"/>
              </w:rPr>
              <w:t>分类</w:t>
            </w:r>
          </w:p>
        </w:tc>
        <w:tc>
          <w:tcPr>
            <w:tcW w:w="1699" w:type="dxa"/>
            <w:tcBorders>
              <w:top w:val="single" w:color="000000" w:sz="6" w:space="0"/>
            </w:tcBorders>
            <w:vAlign w:val="top"/>
          </w:tcPr>
          <w:p w14:paraId="119C98F3">
            <w:pPr>
              <w:spacing w:line="269" w:lineRule="auto"/>
              <w:rPr>
                <w:rFonts w:ascii="Arial"/>
                <w:sz w:val="21"/>
              </w:rPr>
            </w:pPr>
          </w:p>
          <w:p w14:paraId="21F20A28">
            <w:pPr>
              <w:spacing w:before="78" w:line="222" w:lineRule="auto"/>
              <w:ind w:left="284"/>
              <w:rPr>
                <w:rFonts w:ascii="黑体" w:hAnsi="黑体" w:eastAsia="黑体" w:cs="黑体"/>
                <w:sz w:val="24"/>
                <w:szCs w:val="24"/>
              </w:rPr>
            </w:pPr>
            <w:r>
              <w:rPr>
                <w:rFonts w:ascii="黑体" w:hAnsi="黑体" w:eastAsia="黑体" w:cs="黑体"/>
                <w:spacing w:val="-11"/>
                <w:sz w:val="24"/>
                <w:szCs w:val="24"/>
              </w:rPr>
              <w:t>污染物名称</w:t>
            </w:r>
          </w:p>
        </w:tc>
        <w:tc>
          <w:tcPr>
            <w:tcW w:w="1699" w:type="dxa"/>
            <w:tcBorders>
              <w:top w:val="single" w:color="000000" w:sz="6" w:space="0"/>
            </w:tcBorders>
            <w:vAlign w:val="top"/>
          </w:tcPr>
          <w:p w14:paraId="5D0033B7">
            <w:pPr>
              <w:spacing w:before="39" w:line="222" w:lineRule="auto"/>
              <w:ind w:left="397"/>
              <w:rPr>
                <w:rFonts w:ascii="黑体" w:hAnsi="黑体" w:eastAsia="黑体" w:cs="黑体"/>
                <w:sz w:val="24"/>
                <w:szCs w:val="24"/>
              </w:rPr>
            </w:pPr>
            <w:r>
              <w:rPr>
                <w:rFonts w:ascii="黑体" w:hAnsi="黑体" w:eastAsia="黑体" w:cs="黑体"/>
                <w:spacing w:val="-9"/>
                <w:sz w:val="24"/>
                <w:szCs w:val="24"/>
              </w:rPr>
              <w:t>现有工程</w:t>
            </w:r>
          </w:p>
          <w:p w14:paraId="372421D4">
            <w:pPr>
              <w:spacing w:before="24" w:line="222" w:lineRule="auto"/>
              <w:ind w:left="160" w:right="40" w:hanging="107"/>
              <w:rPr>
                <w:rFonts w:ascii="黑体" w:hAnsi="黑体" w:eastAsia="黑体" w:cs="黑体"/>
                <w:sz w:val="24"/>
                <w:szCs w:val="24"/>
              </w:rPr>
            </w:pPr>
            <w:r>
              <w:rPr>
                <w:rFonts w:ascii="黑体" w:hAnsi="黑体" w:eastAsia="黑体" w:cs="黑体"/>
                <w:spacing w:val="-12"/>
                <w:sz w:val="24"/>
                <w:szCs w:val="24"/>
              </w:rPr>
              <w:t>排放量（固体废</w:t>
            </w:r>
            <w:r>
              <w:rPr>
                <w:rFonts w:ascii="黑体" w:hAnsi="黑体" w:eastAsia="黑体" w:cs="黑体"/>
                <w:spacing w:val="-10"/>
                <w:sz w:val="24"/>
                <w:szCs w:val="24"/>
              </w:rPr>
              <w:t>物产生量）①</w:t>
            </w:r>
          </w:p>
        </w:tc>
        <w:tc>
          <w:tcPr>
            <w:tcW w:w="1275" w:type="dxa"/>
            <w:tcBorders>
              <w:top w:val="single" w:color="000000" w:sz="6" w:space="0"/>
            </w:tcBorders>
            <w:vAlign w:val="top"/>
          </w:tcPr>
          <w:p w14:paraId="53B32393">
            <w:pPr>
              <w:spacing w:before="39" w:line="222" w:lineRule="auto"/>
              <w:ind w:left="186"/>
              <w:rPr>
                <w:rFonts w:ascii="黑体" w:hAnsi="黑体" w:eastAsia="黑体" w:cs="黑体"/>
                <w:sz w:val="24"/>
                <w:szCs w:val="24"/>
              </w:rPr>
            </w:pPr>
            <w:r>
              <w:rPr>
                <w:rFonts w:ascii="黑体" w:hAnsi="黑体" w:eastAsia="黑体" w:cs="黑体"/>
                <w:spacing w:val="-9"/>
                <w:sz w:val="24"/>
                <w:szCs w:val="24"/>
              </w:rPr>
              <w:t>现有工程</w:t>
            </w:r>
          </w:p>
          <w:p w14:paraId="431F6D6C">
            <w:pPr>
              <w:spacing w:before="23" w:line="222" w:lineRule="auto"/>
              <w:ind w:left="73"/>
              <w:rPr>
                <w:rFonts w:ascii="黑体" w:hAnsi="黑体" w:eastAsia="黑体" w:cs="黑体"/>
                <w:sz w:val="24"/>
                <w:szCs w:val="24"/>
              </w:rPr>
            </w:pPr>
            <w:r>
              <w:rPr>
                <w:rFonts w:ascii="黑体" w:hAnsi="黑体" w:eastAsia="黑体" w:cs="黑体"/>
                <w:spacing w:val="-10"/>
                <w:sz w:val="24"/>
                <w:szCs w:val="24"/>
              </w:rPr>
              <w:t>许可排放量</w:t>
            </w:r>
          </w:p>
          <w:p w14:paraId="286C7853">
            <w:pPr>
              <w:spacing w:before="21" w:line="207" w:lineRule="auto"/>
              <w:ind w:left="525"/>
              <w:rPr>
                <w:rFonts w:ascii="黑体" w:hAnsi="黑体" w:eastAsia="黑体" w:cs="黑体"/>
                <w:sz w:val="24"/>
                <w:szCs w:val="24"/>
              </w:rPr>
            </w:pPr>
            <w:r>
              <w:rPr>
                <w:rFonts w:ascii="黑体" w:hAnsi="黑体" w:eastAsia="黑体" w:cs="黑体"/>
                <w:sz w:val="24"/>
                <w:szCs w:val="24"/>
              </w:rPr>
              <w:t>②</w:t>
            </w:r>
          </w:p>
        </w:tc>
        <w:tc>
          <w:tcPr>
            <w:tcW w:w="1699" w:type="dxa"/>
            <w:tcBorders>
              <w:top w:val="single" w:color="000000" w:sz="6" w:space="0"/>
            </w:tcBorders>
            <w:vAlign w:val="top"/>
          </w:tcPr>
          <w:p w14:paraId="3D6D9681">
            <w:pPr>
              <w:spacing w:before="39" w:line="222" w:lineRule="auto"/>
              <w:ind w:left="397"/>
              <w:rPr>
                <w:rFonts w:ascii="黑体" w:hAnsi="黑体" w:eastAsia="黑体" w:cs="黑体"/>
                <w:sz w:val="24"/>
                <w:szCs w:val="24"/>
              </w:rPr>
            </w:pPr>
            <w:r>
              <w:rPr>
                <w:rFonts w:ascii="黑体" w:hAnsi="黑体" w:eastAsia="黑体" w:cs="黑体"/>
                <w:spacing w:val="-8"/>
                <w:sz w:val="24"/>
                <w:szCs w:val="24"/>
              </w:rPr>
              <w:t>在建工程</w:t>
            </w:r>
          </w:p>
          <w:p w14:paraId="7E376EFB">
            <w:pPr>
              <w:spacing w:before="24" w:line="222" w:lineRule="auto"/>
              <w:ind w:left="165" w:right="36" w:hanging="107"/>
              <w:rPr>
                <w:rFonts w:ascii="黑体" w:hAnsi="黑体" w:eastAsia="黑体" w:cs="黑体"/>
                <w:sz w:val="24"/>
                <w:szCs w:val="24"/>
              </w:rPr>
            </w:pPr>
            <w:r>
              <w:rPr>
                <w:rFonts w:ascii="黑体" w:hAnsi="黑体" w:eastAsia="黑体" w:cs="黑体"/>
                <w:spacing w:val="-12"/>
                <w:sz w:val="24"/>
                <w:szCs w:val="24"/>
              </w:rPr>
              <w:t>排放量（固体废</w:t>
            </w:r>
            <w:r>
              <w:rPr>
                <w:rFonts w:ascii="黑体" w:hAnsi="黑体" w:eastAsia="黑体" w:cs="黑体"/>
                <w:spacing w:val="-10"/>
                <w:sz w:val="24"/>
                <w:szCs w:val="24"/>
              </w:rPr>
              <w:t>物产生量）③</w:t>
            </w:r>
          </w:p>
        </w:tc>
        <w:tc>
          <w:tcPr>
            <w:tcW w:w="1557" w:type="dxa"/>
            <w:tcBorders>
              <w:top w:val="single" w:color="000000" w:sz="6" w:space="0"/>
            </w:tcBorders>
            <w:vAlign w:val="top"/>
          </w:tcPr>
          <w:p w14:paraId="02EA6CD6">
            <w:pPr>
              <w:spacing w:before="39" w:line="222" w:lineRule="auto"/>
              <w:ind w:left="446"/>
              <w:rPr>
                <w:rFonts w:ascii="黑体" w:hAnsi="黑体" w:eastAsia="黑体" w:cs="黑体"/>
                <w:sz w:val="24"/>
                <w:szCs w:val="24"/>
              </w:rPr>
            </w:pPr>
            <w:r>
              <w:rPr>
                <w:rFonts w:ascii="黑体" w:hAnsi="黑体" w:eastAsia="黑体" w:cs="黑体"/>
                <w:spacing w:val="-8"/>
                <w:sz w:val="24"/>
                <w:szCs w:val="24"/>
              </w:rPr>
              <w:t>本项目</w:t>
            </w:r>
          </w:p>
          <w:p w14:paraId="73142BA1">
            <w:pPr>
              <w:spacing w:before="24" w:line="222" w:lineRule="auto"/>
              <w:ind w:left="96" w:right="9" w:hanging="62"/>
              <w:rPr>
                <w:rFonts w:ascii="黑体" w:hAnsi="黑体" w:eastAsia="黑体" w:cs="黑体"/>
                <w:sz w:val="24"/>
                <w:szCs w:val="24"/>
              </w:rPr>
            </w:pPr>
            <w:r>
              <w:rPr>
                <w:rFonts w:ascii="黑体" w:hAnsi="黑体" w:eastAsia="黑体" w:cs="黑体"/>
                <w:spacing w:val="-25"/>
                <w:sz w:val="24"/>
                <w:szCs w:val="24"/>
              </w:rPr>
              <w:t>排放量（固体废</w:t>
            </w:r>
            <w:r>
              <w:rPr>
                <w:rFonts w:ascii="黑体" w:hAnsi="黑体" w:eastAsia="黑体" w:cs="黑体"/>
                <w:spacing w:val="-10"/>
                <w:sz w:val="24"/>
                <w:szCs w:val="24"/>
              </w:rPr>
              <w:t>物产生量）④</w:t>
            </w:r>
          </w:p>
        </w:tc>
        <w:tc>
          <w:tcPr>
            <w:tcW w:w="1759" w:type="dxa"/>
            <w:tcBorders>
              <w:top w:val="single" w:color="000000" w:sz="6" w:space="0"/>
            </w:tcBorders>
            <w:vAlign w:val="top"/>
          </w:tcPr>
          <w:p w14:paraId="10DD978E">
            <w:pPr>
              <w:spacing w:before="40" w:line="239" w:lineRule="auto"/>
              <w:ind w:left="78" w:right="38" w:firstLine="99"/>
              <w:rPr>
                <w:rFonts w:ascii="黑体" w:hAnsi="黑体" w:eastAsia="黑体" w:cs="黑体"/>
                <w:sz w:val="24"/>
                <w:szCs w:val="24"/>
              </w:rPr>
            </w:pPr>
            <w:r>
              <w:rPr>
                <w:rFonts w:ascii="黑体" w:hAnsi="黑体" w:eastAsia="黑体" w:cs="黑体"/>
                <w:spacing w:val="-21"/>
                <w:w w:val="95"/>
                <w:sz w:val="24"/>
                <w:szCs w:val="24"/>
              </w:rPr>
              <w:t>以新带老削减量</w:t>
            </w:r>
            <w:r>
              <w:rPr>
                <w:rFonts w:ascii="黑体" w:hAnsi="黑体" w:eastAsia="黑体" w:cs="黑体"/>
                <w:spacing w:val="-35"/>
                <w:w w:val="99"/>
                <w:sz w:val="24"/>
                <w:szCs w:val="24"/>
              </w:rPr>
              <w:t>（新建项目不填）</w:t>
            </w:r>
          </w:p>
          <w:p w14:paraId="55F08B74">
            <w:pPr>
              <w:spacing w:line="206" w:lineRule="auto"/>
              <w:ind w:left="770"/>
              <w:rPr>
                <w:rFonts w:ascii="黑体" w:hAnsi="黑体" w:eastAsia="黑体" w:cs="黑体"/>
                <w:sz w:val="24"/>
                <w:szCs w:val="24"/>
              </w:rPr>
            </w:pPr>
            <w:r>
              <w:rPr>
                <w:rFonts w:ascii="黑体" w:hAnsi="黑体" w:eastAsia="黑体" w:cs="黑体"/>
                <w:sz w:val="24"/>
                <w:szCs w:val="24"/>
              </w:rPr>
              <w:t>⑤</w:t>
            </w:r>
          </w:p>
        </w:tc>
        <w:tc>
          <w:tcPr>
            <w:tcW w:w="1743" w:type="dxa"/>
            <w:tcBorders>
              <w:top w:val="single" w:color="000000" w:sz="6" w:space="0"/>
            </w:tcBorders>
            <w:vAlign w:val="top"/>
          </w:tcPr>
          <w:p w14:paraId="53CD9AAF">
            <w:pPr>
              <w:spacing w:before="40" w:line="228" w:lineRule="auto"/>
              <w:ind w:left="54" w:firstLine="205"/>
              <w:rPr>
                <w:rFonts w:ascii="黑体" w:hAnsi="黑体" w:eastAsia="黑体" w:cs="黑体"/>
                <w:sz w:val="24"/>
                <w:szCs w:val="24"/>
              </w:rPr>
            </w:pPr>
            <w:r>
              <w:rPr>
                <w:rFonts w:ascii="黑体" w:hAnsi="黑体" w:eastAsia="黑体" w:cs="黑体"/>
                <w:spacing w:val="-28"/>
                <w:w w:val="99"/>
                <w:sz w:val="24"/>
                <w:szCs w:val="24"/>
              </w:rPr>
              <w:t>本项目建成后</w:t>
            </w:r>
            <w:r>
              <w:rPr>
                <w:rFonts w:ascii="黑体" w:hAnsi="黑体" w:eastAsia="黑体" w:cs="黑体"/>
                <w:spacing w:val="4"/>
                <w:sz w:val="24"/>
                <w:szCs w:val="24"/>
              </w:rPr>
              <w:t xml:space="preserve"> </w:t>
            </w:r>
            <w:r>
              <w:rPr>
                <w:rFonts w:ascii="黑体" w:hAnsi="黑体" w:eastAsia="黑体" w:cs="黑体"/>
                <w:spacing w:val="-27"/>
                <w:w w:val="97"/>
                <w:sz w:val="24"/>
                <w:szCs w:val="24"/>
              </w:rPr>
              <w:t>全厂</w:t>
            </w:r>
            <w:r>
              <w:rPr>
                <w:rFonts w:ascii="黑体" w:hAnsi="黑体" w:eastAsia="黑体" w:cs="黑体"/>
                <w:spacing w:val="-26"/>
                <w:w w:val="97"/>
                <w:sz w:val="24"/>
                <w:szCs w:val="24"/>
              </w:rPr>
              <w:t>排放量（固</w:t>
            </w:r>
            <w:r>
              <w:rPr>
                <w:rFonts w:ascii="黑体" w:hAnsi="黑体" w:eastAsia="黑体" w:cs="黑体"/>
                <w:spacing w:val="-8"/>
                <w:w w:val="97"/>
                <w:sz w:val="24"/>
                <w:szCs w:val="24"/>
              </w:rPr>
              <w:t>体</w:t>
            </w:r>
            <w:r>
              <w:rPr>
                <w:rFonts w:ascii="黑体" w:hAnsi="黑体" w:eastAsia="黑体" w:cs="黑体"/>
                <w:spacing w:val="-16"/>
                <w:sz w:val="24"/>
                <w:szCs w:val="24"/>
              </w:rPr>
              <w:t>废物产生量）⑥</w:t>
            </w:r>
          </w:p>
        </w:tc>
        <w:tc>
          <w:tcPr>
            <w:tcW w:w="1049" w:type="dxa"/>
            <w:tcBorders>
              <w:top w:val="single" w:color="000000" w:sz="6" w:space="0"/>
              <w:right w:val="single" w:color="000000" w:sz="6" w:space="0"/>
            </w:tcBorders>
            <w:vAlign w:val="top"/>
          </w:tcPr>
          <w:p w14:paraId="29D35713">
            <w:pPr>
              <w:spacing w:before="195" w:line="239" w:lineRule="auto"/>
              <w:ind w:left="414" w:right="161" w:hanging="218"/>
              <w:rPr>
                <w:rFonts w:ascii="黑体" w:hAnsi="黑体" w:eastAsia="黑体" w:cs="黑体"/>
                <w:sz w:val="24"/>
                <w:szCs w:val="24"/>
              </w:rPr>
            </w:pPr>
            <w:r>
              <w:rPr>
                <w:rFonts w:ascii="黑体" w:hAnsi="黑体" w:eastAsia="黑体" w:cs="黑体"/>
                <w:spacing w:val="-13"/>
                <w:sz w:val="24"/>
                <w:szCs w:val="24"/>
              </w:rPr>
              <w:t>变化量</w:t>
            </w:r>
            <w:r>
              <w:rPr>
                <w:rFonts w:ascii="黑体" w:hAnsi="黑体" w:eastAsia="黑体" w:cs="黑体"/>
                <w:sz w:val="24"/>
                <w:szCs w:val="24"/>
              </w:rPr>
              <w:t>⑦</w:t>
            </w:r>
          </w:p>
        </w:tc>
      </w:tr>
      <w:tr w14:paraId="33448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12" w:type="dxa"/>
            <w:tcBorders>
              <w:left w:val="single" w:color="000000" w:sz="6" w:space="0"/>
            </w:tcBorders>
            <w:vAlign w:val="top"/>
          </w:tcPr>
          <w:p w14:paraId="6B2D10B9">
            <w:pPr>
              <w:spacing w:before="51" w:line="217" w:lineRule="auto"/>
              <w:ind w:left="415"/>
              <w:rPr>
                <w:rFonts w:ascii="黑体" w:hAnsi="黑体" w:eastAsia="黑体" w:cs="黑体"/>
                <w:sz w:val="24"/>
                <w:szCs w:val="24"/>
              </w:rPr>
            </w:pPr>
            <w:r>
              <w:rPr>
                <w:rFonts w:ascii="黑体" w:hAnsi="黑体" w:eastAsia="黑体" w:cs="黑体"/>
                <w:spacing w:val="-5"/>
                <w:sz w:val="24"/>
                <w:szCs w:val="24"/>
              </w:rPr>
              <w:t>废气</w:t>
            </w:r>
          </w:p>
        </w:tc>
        <w:tc>
          <w:tcPr>
            <w:tcW w:w="1699" w:type="dxa"/>
            <w:vAlign w:val="top"/>
          </w:tcPr>
          <w:p w14:paraId="73B076C5">
            <w:pPr>
              <w:pStyle w:val="6"/>
              <w:spacing w:before="73" w:line="219" w:lineRule="auto"/>
              <w:ind w:left="304"/>
              <w:rPr>
                <w:sz w:val="22"/>
                <w:szCs w:val="22"/>
              </w:rPr>
            </w:pPr>
            <w:r>
              <w:rPr>
                <w:spacing w:val="-3"/>
                <w:sz w:val="22"/>
                <w:szCs w:val="22"/>
              </w:rPr>
              <w:t>非甲烷总烃</w:t>
            </w:r>
          </w:p>
        </w:tc>
        <w:tc>
          <w:tcPr>
            <w:tcW w:w="1699" w:type="dxa"/>
            <w:vAlign w:val="top"/>
          </w:tcPr>
          <w:p w14:paraId="4D1BD214">
            <w:pPr>
              <w:spacing w:before="107" w:line="193" w:lineRule="auto"/>
              <w:ind w:left="8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75" w:type="dxa"/>
            <w:vAlign w:val="top"/>
          </w:tcPr>
          <w:p w14:paraId="655C9D69">
            <w:pPr>
              <w:spacing w:before="107" w:line="193" w:lineRule="auto"/>
              <w:ind w:left="6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699" w:type="dxa"/>
            <w:vAlign w:val="top"/>
          </w:tcPr>
          <w:p w14:paraId="517CF586">
            <w:pPr>
              <w:spacing w:before="111" w:line="189" w:lineRule="auto"/>
              <w:ind w:left="799"/>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557" w:type="dxa"/>
            <w:vAlign w:val="top"/>
          </w:tcPr>
          <w:p w14:paraId="184872A7">
            <w:pPr>
              <w:spacing w:before="111" w:line="189" w:lineRule="auto"/>
              <w:ind w:left="5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0.014</w:t>
            </w:r>
          </w:p>
        </w:tc>
        <w:tc>
          <w:tcPr>
            <w:tcW w:w="1759" w:type="dxa"/>
            <w:vAlign w:val="top"/>
          </w:tcPr>
          <w:p w14:paraId="4CC304E1">
            <w:pPr>
              <w:spacing w:before="111" w:line="189" w:lineRule="auto"/>
              <w:ind w:left="833"/>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743" w:type="dxa"/>
            <w:vAlign w:val="top"/>
          </w:tcPr>
          <w:p w14:paraId="23398AC5">
            <w:pPr>
              <w:spacing w:before="111" w:line="189" w:lineRule="auto"/>
              <w:ind w:left="63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0.014</w:t>
            </w:r>
          </w:p>
        </w:tc>
        <w:tc>
          <w:tcPr>
            <w:tcW w:w="1049" w:type="dxa"/>
            <w:tcBorders>
              <w:right w:val="single" w:color="000000" w:sz="6" w:space="0"/>
            </w:tcBorders>
            <w:vAlign w:val="top"/>
          </w:tcPr>
          <w:p w14:paraId="29A20CD5">
            <w:pPr>
              <w:spacing w:before="111" w:line="189" w:lineRule="auto"/>
              <w:ind w:left="477"/>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r w14:paraId="4AF77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12" w:type="dxa"/>
            <w:vMerge w:val="restart"/>
            <w:tcBorders>
              <w:left w:val="single" w:color="000000" w:sz="6" w:space="0"/>
              <w:bottom w:val="nil"/>
            </w:tcBorders>
            <w:vAlign w:val="top"/>
          </w:tcPr>
          <w:p w14:paraId="1C345CDA">
            <w:pPr>
              <w:spacing w:before="228" w:line="222" w:lineRule="auto"/>
              <w:ind w:left="415"/>
              <w:rPr>
                <w:rFonts w:ascii="黑体" w:hAnsi="黑体" w:eastAsia="黑体" w:cs="黑体"/>
                <w:sz w:val="24"/>
                <w:szCs w:val="24"/>
              </w:rPr>
            </w:pPr>
            <w:r>
              <w:rPr>
                <w:rFonts w:ascii="黑体" w:hAnsi="黑体" w:eastAsia="黑体" w:cs="黑体"/>
                <w:spacing w:val="-5"/>
                <w:sz w:val="24"/>
                <w:szCs w:val="24"/>
              </w:rPr>
              <w:t>废水</w:t>
            </w:r>
          </w:p>
        </w:tc>
        <w:tc>
          <w:tcPr>
            <w:tcW w:w="1699" w:type="dxa"/>
            <w:vAlign w:val="top"/>
          </w:tcPr>
          <w:p w14:paraId="5F581230">
            <w:pPr>
              <w:spacing w:before="112" w:line="189" w:lineRule="auto"/>
              <w:ind w:left="61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COD</w:t>
            </w:r>
          </w:p>
        </w:tc>
        <w:tc>
          <w:tcPr>
            <w:tcW w:w="1699" w:type="dxa"/>
            <w:vAlign w:val="top"/>
          </w:tcPr>
          <w:p w14:paraId="4254F879">
            <w:pPr>
              <w:spacing w:before="108" w:line="193" w:lineRule="auto"/>
              <w:ind w:left="8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75" w:type="dxa"/>
            <w:vAlign w:val="top"/>
          </w:tcPr>
          <w:p w14:paraId="0AA9ADA5">
            <w:pPr>
              <w:spacing w:before="108" w:line="193" w:lineRule="auto"/>
              <w:ind w:left="6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699" w:type="dxa"/>
            <w:vAlign w:val="top"/>
          </w:tcPr>
          <w:p w14:paraId="03E4ED54">
            <w:pPr>
              <w:spacing w:before="113" w:line="189" w:lineRule="auto"/>
              <w:ind w:left="799"/>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557" w:type="dxa"/>
            <w:vAlign w:val="top"/>
          </w:tcPr>
          <w:p w14:paraId="5BC41AE7">
            <w:pPr>
              <w:spacing w:before="113" w:line="189" w:lineRule="auto"/>
              <w:ind w:left="5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0.039</w:t>
            </w:r>
          </w:p>
        </w:tc>
        <w:tc>
          <w:tcPr>
            <w:tcW w:w="1759" w:type="dxa"/>
            <w:vAlign w:val="top"/>
          </w:tcPr>
          <w:p w14:paraId="71B5BB36">
            <w:pPr>
              <w:spacing w:before="113" w:line="189" w:lineRule="auto"/>
              <w:ind w:left="833"/>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743" w:type="dxa"/>
            <w:vAlign w:val="top"/>
          </w:tcPr>
          <w:p w14:paraId="054FA869">
            <w:pPr>
              <w:spacing w:before="113" w:line="189" w:lineRule="auto"/>
              <w:ind w:left="63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0.039</w:t>
            </w:r>
          </w:p>
        </w:tc>
        <w:tc>
          <w:tcPr>
            <w:tcW w:w="1049" w:type="dxa"/>
            <w:tcBorders>
              <w:right w:val="single" w:color="000000" w:sz="6" w:space="0"/>
            </w:tcBorders>
            <w:vAlign w:val="top"/>
          </w:tcPr>
          <w:p w14:paraId="6A46C419">
            <w:pPr>
              <w:spacing w:before="113" w:line="189" w:lineRule="auto"/>
              <w:ind w:left="477"/>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r w14:paraId="54D5C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12" w:type="dxa"/>
            <w:vMerge w:val="continue"/>
            <w:tcBorders>
              <w:top w:val="nil"/>
              <w:left w:val="single" w:color="000000" w:sz="6" w:space="0"/>
            </w:tcBorders>
            <w:vAlign w:val="top"/>
          </w:tcPr>
          <w:p w14:paraId="5E611C17">
            <w:pPr>
              <w:rPr>
                <w:rFonts w:ascii="Arial"/>
                <w:sz w:val="21"/>
              </w:rPr>
            </w:pPr>
          </w:p>
        </w:tc>
        <w:tc>
          <w:tcPr>
            <w:tcW w:w="1699" w:type="dxa"/>
            <w:vAlign w:val="top"/>
          </w:tcPr>
          <w:p w14:paraId="5F41D628">
            <w:pPr>
              <w:pStyle w:val="6"/>
              <w:spacing w:before="76" w:line="216" w:lineRule="auto"/>
              <w:ind w:left="629"/>
              <w:rPr>
                <w:sz w:val="22"/>
                <w:szCs w:val="22"/>
              </w:rPr>
            </w:pPr>
            <w:r>
              <w:rPr>
                <w:spacing w:val="-4"/>
                <w:sz w:val="22"/>
                <w:szCs w:val="22"/>
              </w:rPr>
              <w:t>氨氮</w:t>
            </w:r>
          </w:p>
        </w:tc>
        <w:tc>
          <w:tcPr>
            <w:tcW w:w="1699" w:type="dxa"/>
            <w:vAlign w:val="top"/>
          </w:tcPr>
          <w:p w14:paraId="72169343">
            <w:pPr>
              <w:spacing w:before="107" w:line="193" w:lineRule="auto"/>
              <w:ind w:left="8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75" w:type="dxa"/>
            <w:vAlign w:val="top"/>
          </w:tcPr>
          <w:p w14:paraId="04A6DB67">
            <w:pPr>
              <w:spacing w:before="107" w:line="193" w:lineRule="auto"/>
              <w:ind w:left="6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699" w:type="dxa"/>
            <w:vAlign w:val="top"/>
          </w:tcPr>
          <w:p w14:paraId="7E7B96CD">
            <w:pPr>
              <w:spacing w:before="112" w:line="189" w:lineRule="auto"/>
              <w:ind w:left="799"/>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557" w:type="dxa"/>
            <w:vAlign w:val="top"/>
          </w:tcPr>
          <w:p w14:paraId="36039CFF">
            <w:pPr>
              <w:pStyle w:val="6"/>
              <w:spacing w:before="76" w:line="216" w:lineRule="auto"/>
              <w:ind w:right="14"/>
              <w:jc w:val="right"/>
              <w:rPr>
                <w:sz w:val="22"/>
                <w:szCs w:val="22"/>
              </w:rPr>
            </w:pPr>
            <w:r>
              <w:rPr>
                <w:rFonts w:ascii="Times New Roman" w:hAnsi="Times New Roman" w:eastAsia="Times New Roman" w:cs="Times New Roman"/>
                <w:spacing w:val="-1"/>
                <w:sz w:val="22"/>
                <w:szCs w:val="22"/>
              </w:rPr>
              <w:t>0.004</w:t>
            </w:r>
            <w:r>
              <w:rPr>
                <w:spacing w:val="-1"/>
                <w:sz w:val="22"/>
                <w:szCs w:val="22"/>
              </w:rPr>
              <w:t>（</w:t>
            </w:r>
            <w:r>
              <w:rPr>
                <w:rFonts w:ascii="Times New Roman" w:hAnsi="Times New Roman" w:eastAsia="Times New Roman" w:cs="Times New Roman"/>
                <w:spacing w:val="-1"/>
                <w:sz w:val="22"/>
                <w:szCs w:val="22"/>
              </w:rPr>
              <w:t>0.006</w:t>
            </w:r>
            <w:r>
              <w:rPr>
                <w:spacing w:val="-1"/>
                <w:sz w:val="22"/>
                <w:szCs w:val="22"/>
              </w:rPr>
              <w:t>）</w:t>
            </w:r>
          </w:p>
        </w:tc>
        <w:tc>
          <w:tcPr>
            <w:tcW w:w="1759" w:type="dxa"/>
            <w:vAlign w:val="top"/>
          </w:tcPr>
          <w:p w14:paraId="531CD5A3">
            <w:pPr>
              <w:spacing w:before="112" w:line="189" w:lineRule="auto"/>
              <w:ind w:left="833"/>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743" w:type="dxa"/>
            <w:vAlign w:val="top"/>
          </w:tcPr>
          <w:p w14:paraId="6B86F4CA">
            <w:pPr>
              <w:pStyle w:val="6"/>
              <w:spacing w:before="76" w:line="216" w:lineRule="auto"/>
              <w:ind w:left="166"/>
              <w:rPr>
                <w:sz w:val="22"/>
                <w:szCs w:val="22"/>
              </w:rPr>
            </w:pPr>
            <w:r>
              <w:rPr>
                <w:rFonts w:ascii="Times New Roman" w:hAnsi="Times New Roman" w:eastAsia="Times New Roman" w:cs="Times New Roman"/>
                <w:spacing w:val="-1"/>
                <w:sz w:val="22"/>
                <w:szCs w:val="22"/>
              </w:rPr>
              <w:t>0.004</w:t>
            </w:r>
            <w:r>
              <w:rPr>
                <w:spacing w:val="-1"/>
                <w:sz w:val="22"/>
                <w:szCs w:val="22"/>
              </w:rPr>
              <w:t>（</w:t>
            </w:r>
            <w:r>
              <w:rPr>
                <w:rFonts w:ascii="Times New Roman" w:hAnsi="Times New Roman" w:eastAsia="Times New Roman" w:cs="Times New Roman"/>
                <w:spacing w:val="-1"/>
                <w:sz w:val="22"/>
                <w:szCs w:val="22"/>
              </w:rPr>
              <w:t>0.006</w:t>
            </w:r>
            <w:r>
              <w:rPr>
                <w:spacing w:val="-1"/>
                <w:sz w:val="22"/>
                <w:szCs w:val="22"/>
              </w:rPr>
              <w:t>）</w:t>
            </w:r>
          </w:p>
        </w:tc>
        <w:tc>
          <w:tcPr>
            <w:tcW w:w="1049" w:type="dxa"/>
            <w:tcBorders>
              <w:right w:val="single" w:color="000000" w:sz="6" w:space="0"/>
            </w:tcBorders>
            <w:vAlign w:val="top"/>
          </w:tcPr>
          <w:p w14:paraId="646A2A63">
            <w:pPr>
              <w:spacing w:before="112" w:line="189" w:lineRule="auto"/>
              <w:ind w:left="477"/>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r w14:paraId="28F43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12" w:type="dxa"/>
            <w:vMerge w:val="restart"/>
            <w:tcBorders>
              <w:left w:val="single" w:color="000000" w:sz="6" w:space="0"/>
              <w:bottom w:val="nil"/>
            </w:tcBorders>
            <w:vAlign w:val="top"/>
          </w:tcPr>
          <w:p w14:paraId="4927ACDC">
            <w:pPr>
              <w:spacing w:before="75" w:line="221" w:lineRule="auto"/>
              <w:ind w:left="179"/>
              <w:rPr>
                <w:rFonts w:ascii="黑体" w:hAnsi="黑体" w:eastAsia="黑体" w:cs="黑体"/>
                <w:sz w:val="24"/>
                <w:szCs w:val="24"/>
              </w:rPr>
            </w:pPr>
            <w:r>
              <w:rPr>
                <w:rFonts w:ascii="黑体" w:hAnsi="黑体" w:eastAsia="黑体" w:cs="黑体"/>
                <w:spacing w:val="-4"/>
                <w:sz w:val="24"/>
                <w:szCs w:val="24"/>
              </w:rPr>
              <w:t>一般工业</w:t>
            </w:r>
          </w:p>
          <w:p w14:paraId="179A25E7">
            <w:pPr>
              <w:spacing w:before="21" w:line="222" w:lineRule="auto"/>
              <w:ind w:left="188"/>
              <w:rPr>
                <w:rFonts w:ascii="黑体" w:hAnsi="黑体" w:eastAsia="黑体" w:cs="黑体"/>
                <w:sz w:val="24"/>
                <w:szCs w:val="24"/>
              </w:rPr>
            </w:pPr>
            <w:r>
              <w:rPr>
                <w:rFonts w:ascii="黑体" w:hAnsi="黑体" w:eastAsia="黑体" w:cs="黑体"/>
                <w:spacing w:val="-6"/>
                <w:sz w:val="24"/>
                <w:szCs w:val="24"/>
              </w:rPr>
              <w:t>固体废物</w:t>
            </w:r>
          </w:p>
        </w:tc>
        <w:tc>
          <w:tcPr>
            <w:tcW w:w="1699" w:type="dxa"/>
            <w:vAlign w:val="top"/>
          </w:tcPr>
          <w:p w14:paraId="47E9B6AC">
            <w:pPr>
              <w:pStyle w:val="6"/>
              <w:spacing w:before="77" w:line="215" w:lineRule="auto"/>
              <w:ind w:left="412"/>
              <w:rPr>
                <w:sz w:val="22"/>
                <w:szCs w:val="22"/>
              </w:rPr>
            </w:pPr>
            <w:r>
              <w:rPr>
                <w:spacing w:val="-3"/>
                <w:sz w:val="22"/>
                <w:szCs w:val="22"/>
              </w:rPr>
              <w:t>生活垃圾</w:t>
            </w:r>
          </w:p>
        </w:tc>
        <w:tc>
          <w:tcPr>
            <w:tcW w:w="1699" w:type="dxa"/>
            <w:vAlign w:val="top"/>
          </w:tcPr>
          <w:p w14:paraId="0747ADA7">
            <w:pPr>
              <w:spacing w:before="109" w:line="193" w:lineRule="auto"/>
              <w:ind w:left="8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75" w:type="dxa"/>
            <w:vAlign w:val="top"/>
          </w:tcPr>
          <w:p w14:paraId="0285AE6A">
            <w:pPr>
              <w:spacing w:before="109" w:line="193" w:lineRule="auto"/>
              <w:ind w:left="6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699" w:type="dxa"/>
            <w:vAlign w:val="top"/>
          </w:tcPr>
          <w:p w14:paraId="18D514A2">
            <w:pPr>
              <w:spacing w:before="113" w:line="189" w:lineRule="auto"/>
              <w:ind w:left="799"/>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557" w:type="dxa"/>
            <w:vAlign w:val="top"/>
          </w:tcPr>
          <w:p w14:paraId="3EEE1E75">
            <w:pPr>
              <w:spacing w:before="113" w:line="189" w:lineRule="auto"/>
              <w:ind w:left="53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4.563</w:t>
            </w:r>
          </w:p>
        </w:tc>
        <w:tc>
          <w:tcPr>
            <w:tcW w:w="1759" w:type="dxa"/>
            <w:vAlign w:val="top"/>
          </w:tcPr>
          <w:p w14:paraId="49954CB9">
            <w:pPr>
              <w:spacing w:before="113" w:line="189" w:lineRule="auto"/>
              <w:ind w:left="833"/>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743" w:type="dxa"/>
            <w:vAlign w:val="top"/>
          </w:tcPr>
          <w:p w14:paraId="6CCE8B62">
            <w:pPr>
              <w:spacing w:before="113" w:line="189" w:lineRule="auto"/>
              <w:ind w:left="63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4.563</w:t>
            </w:r>
          </w:p>
        </w:tc>
        <w:tc>
          <w:tcPr>
            <w:tcW w:w="1049" w:type="dxa"/>
            <w:tcBorders>
              <w:right w:val="single" w:color="000000" w:sz="6" w:space="0"/>
            </w:tcBorders>
            <w:vAlign w:val="top"/>
          </w:tcPr>
          <w:p w14:paraId="758121DD">
            <w:pPr>
              <w:spacing w:before="113" w:line="189" w:lineRule="auto"/>
              <w:ind w:left="477"/>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r w14:paraId="3458B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12" w:type="dxa"/>
            <w:vMerge w:val="continue"/>
            <w:tcBorders>
              <w:top w:val="nil"/>
              <w:left w:val="single" w:color="000000" w:sz="6" w:space="0"/>
            </w:tcBorders>
            <w:vAlign w:val="top"/>
          </w:tcPr>
          <w:p w14:paraId="26C53A13">
            <w:pPr>
              <w:rPr>
                <w:rFonts w:ascii="Arial"/>
                <w:sz w:val="21"/>
              </w:rPr>
            </w:pPr>
          </w:p>
        </w:tc>
        <w:tc>
          <w:tcPr>
            <w:tcW w:w="1699" w:type="dxa"/>
            <w:vAlign w:val="top"/>
          </w:tcPr>
          <w:p w14:paraId="2D3322A2">
            <w:pPr>
              <w:pStyle w:val="6"/>
              <w:spacing w:before="78" w:line="214" w:lineRule="auto"/>
              <w:ind w:left="302"/>
              <w:rPr>
                <w:sz w:val="22"/>
                <w:szCs w:val="22"/>
              </w:rPr>
            </w:pPr>
            <w:r>
              <w:rPr>
                <w:spacing w:val="-2"/>
                <w:sz w:val="22"/>
                <w:szCs w:val="22"/>
              </w:rPr>
              <w:t>生化池污泥</w:t>
            </w:r>
          </w:p>
        </w:tc>
        <w:tc>
          <w:tcPr>
            <w:tcW w:w="1699" w:type="dxa"/>
            <w:vAlign w:val="top"/>
          </w:tcPr>
          <w:p w14:paraId="284450D6">
            <w:pPr>
              <w:spacing w:before="110" w:line="193" w:lineRule="auto"/>
              <w:ind w:left="8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75" w:type="dxa"/>
            <w:vAlign w:val="top"/>
          </w:tcPr>
          <w:p w14:paraId="0545C512">
            <w:pPr>
              <w:spacing w:before="110" w:line="193" w:lineRule="auto"/>
              <w:ind w:left="6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699" w:type="dxa"/>
            <w:vAlign w:val="top"/>
          </w:tcPr>
          <w:p w14:paraId="05E68174">
            <w:pPr>
              <w:spacing w:before="114" w:line="189" w:lineRule="auto"/>
              <w:ind w:left="799"/>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557" w:type="dxa"/>
            <w:vAlign w:val="top"/>
          </w:tcPr>
          <w:p w14:paraId="2903F1A4">
            <w:pPr>
              <w:spacing w:before="114" w:line="189" w:lineRule="auto"/>
              <w:ind w:left="5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0.074</w:t>
            </w:r>
          </w:p>
        </w:tc>
        <w:tc>
          <w:tcPr>
            <w:tcW w:w="1759" w:type="dxa"/>
            <w:vAlign w:val="top"/>
          </w:tcPr>
          <w:p w14:paraId="0E4EDD79">
            <w:pPr>
              <w:spacing w:before="114" w:line="189" w:lineRule="auto"/>
              <w:ind w:left="833"/>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743" w:type="dxa"/>
            <w:vAlign w:val="top"/>
          </w:tcPr>
          <w:p w14:paraId="31064F68">
            <w:pPr>
              <w:spacing w:before="114" w:line="189" w:lineRule="auto"/>
              <w:ind w:left="63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0.074</w:t>
            </w:r>
          </w:p>
        </w:tc>
        <w:tc>
          <w:tcPr>
            <w:tcW w:w="1049" w:type="dxa"/>
            <w:tcBorders>
              <w:right w:val="single" w:color="000000" w:sz="6" w:space="0"/>
            </w:tcBorders>
            <w:vAlign w:val="top"/>
          </w:tcPr>
          <w:p w14:paraId="6C972C72">
            <w:pPr>
              <w:spacing w:before="114" w:line="189" w:lineRule="auto"/>
              <w:ind w:left="477"/>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r w14:paraId="19188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312" w:type="dxa"/>
            <w:vMerge w:val="restart"/>
            <w:tcBorders>
              <w:left w:val="single" w:color="000000" w:sz="6" w:space="0"/>
              <w:bottom w:val="nil"/>
            </w:tcBorders>
            <w:vAlign w:val="top"/>
          </w:tcPr>
          <w:p w14:paraId="72494D86">
            <w:pPr>
              <w:spacing w:line="256" w:lineRule="auto"/>
              <w:rPr>
                <w:rFonts w:ascii="Arial"/>
                <w:sz w:val="21"/>
              </w:rPr>
            </w:pPr>
          </w:p>
          <w:p w14:paraId="328D0CCD">
            <w:pPr>
              <w:spacing w:line="257" w:lineRule="auto"/>
              <w:rPr>
                <w:rFonts w:ascii="Arial"/>
                <w:sz w:val="21"/>
              </w:rPr>
            </w:pPr>
          </w:p>
          <w:p w14:paraId="3EE3E64A">
            <w:pPr>
              <w:spacing w:line="257" w:lineRule="auto"/>
              <w:rPr>
                <w:rFonts w:ascii="Arial"/>
                <w:sz w:val="21"/>
              </w:rPr>
            </w:pPr>
          </w:p>
          <w:p w14:paraId="2389F637">
            <w:pPr>
              <w:spacing w:before="78" w:line="222" w:lineRule="auto"/>
              <w:ind w:left="173"/>
              <w:rPr>
                <w:rFonts w:ascii="黑体" w:hAnsi="黑体" w:eastAsia="黑体" w:cs="黑体"/>
                <w:sz w:val="24"/>
                <w:szCs w:val="24"/>
              </w:rPr>
            </w:pPr>
            <w:r>
              <w:rPr>
                <w:rFonts w:ascii="黑体" w:hAnsi="黑体" w:eastAsia="黑体" w:cs="黑体"/>
                <w:spacing w:val="-2"/>
                <w:sz w:val="24"/>
                <w:szCs w:val="24"/>
              </w:rPr>
              <w:t>危险废物</w:t>
            </w:r>
          </w:p>
        </w:tc>
        <w:tc>
          <w:tcPr>
            <w:tcW w:w="1699" w:type="dxa"/>
            <w:vAlign w:val="top"/>
          </w:tcPr>
          <w:p w14:paraId="7E3329B3">
            <w:pPr>
              <w:pStyle w:val="6"/>
              <w:spacing w:before="90" w:line="220" w:lineRule="auto"/>
              <w:ind w:left="411"/>
              <w:rPr>
                <w:sz w:val="22"/>
                <w:szCs w:val="22"/>
              </w:rPr>
            </w:pPr>
            <w:r>
              <w:rPr>
                <w:spacing w:val="-2"/>
                <w:sz w:val="22"/>
                <w:szCs w:val="22"/>
              </w:rPr>
              <w:t>清罐废物</w:t>
            </w:r>
          </w:p>
        </w:tc>
        <w:tc>
          <w:tcPr>
            <w:tcW w:w="1699" w:type="dxa"/>
            <w:vAlign w:val="top"/>
          </w:tcPr>
          <w:p w14:paraId="7433EC4C">
            <w:pPr>
              <w:spacing w:before="124" w:line="193" w:lineRule="auto"/>
              <w:ind w:left="8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75" w:type="dxa"/>
            <w:vAlign w:val="top"/>
          </w:tcPr>
          <w:p w14:paraId="12028575">
            <w:pPr>
              <w:spacing w:before="124" w:line="193" w:lineRule="auto"/>
              <w:ind w:left="6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699" w:type="dxa"/>
            <w:vAlign w:val="top"/>
          </w:tcPr>
          <w:p w14:paraId="2477D28D">
            <w:pPr>
              <w:spacing w:before="128" w:line="189" w:lineRule="auto"/>
              <w:ind w:left="799"/>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557" w:type="dxa"/>
            <w:vAlign w:val="top"/>
          </w:tcPr>
          <w:p w14:paraId="1F5B2EFF">
            <w:pPr>
              <w:pStyle w:val="6"/>
              <w:spacing w:before="90" w:line="220" w:lineRule="auto"/>
              <w:ind w:left="171"/>
              <w:rPr>
                <w:sz w:val="22"/>
                <w:szCs w:val="22"/>
              </w:rPr>
            </w:pPr>
            <w:r>
              <w:rPr>
                <w:rFonts w:ascii="Times New Roman" w:hAnsi="Times New Roman" w:eastAsia="Times New Roman" w:cs="Times New Roman"/>
                <w:spacing w:val="-4"/>
                <w:sz w:val="22"/>
                <w:szCs w:val="22"/>
              </w:rPr>
              <w:t>1.5</w:t>
            </w:r>
            <w:r>
              <w:rPr>
                <w:spacing w:val="-4"/>
                <w:sz w:val="22"/>
                <w:szCs w:val="22"/>
              </w:rPr>
              <w:t>（每</w:t>
            </w:r>
            <w:r>
              <w:rPr>
                <w:rFonts w:ascii="Times New Roman" w:hAnsi="Times New Roman" w:eastAsia="Times New Roman" w:cs="Times New Roman"/>
                <w:spacing w:val="-4"/>
                <w:sz w:val="22"/>
                <w:szCs w:val="22"/>
              </w:rPr>
              <w:t>5</w:t>
            </w:r>
            <w:r>
              <w:rPr>
                <w:spacing w:val="-4"/>
                <w:sz w:val="22"/>
                <w:szCs w:val="22"/>
              </w:rPr>
              <w:t>年）</w:t>
            </w:r>
          </w:p>
        </w:tc>
        <w:tc>
          <w:tcPr>
            <w:tcW w:w="1759" w:type="dxa"/>
            <w:vAlign w:val="top"/>
          </w:tcPr>
          <w:p w14:paraId="47D33B57">
            <w:pPr>
              <w:spacing w:before="128" w:line="189" w:lineRule="auto"/>
              <w:ind w:left="833"/>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743" w:type="dxa"/>
            <w:vAlign w:val="top"/>
          </w:tcPr>
          <w:p w14:paraId="1337E390">
            <w:pPr>
              <w:pStyle w:val="6"/>
              <w:spacing w:before="90" w:line="220" w:lineRule="auto"/>
              <w:ind w:left="268"/>
              <w:rPr>
                <w:sz w:val="22"/>
                <w:szCs w:val="22"/>
              </w:rPr>
            </w:pPr>
            <w:r>
              <w:rPr>
                <w:rFonts w:ascii="Times New Roman" w:hAnsi="Times New Roman" w:eastAsia="Times New Roman" w:cs="Times New Roman"/>
                <w:spacing w:val="-4"/>
                <w:sz w:val="22"/>
                <w:szCs w:val="22"/>
              </w:rPr>
              <w:t>1.5</w:t>
            </w:r>
            <w:r>
              <w:rPr>
                <w:spacing w:val="-4"/>
                <w:sz w:val="22"/>
                <w:szCs w:val="22"/>
              </w:rPr>
              <w:t>（每</w:t>
            </w:r>
            <w:r>
              <w:rPr>
                <w:rFonts w:ascii="Times New Roman" w:hAnsi="Times New Roman" w:eastAsia="Times New Roman" w:cs="Times New Roman"/>
                <w:spacing w:val="-4"/>
                <w:sz w:val="22"/>
                <w:szCs w:val="22"/>
              </w:rPr>
              <w:t>5</w:t>
            </w:r>
            <w:r>
              <w:rPr>
                <w:spacing w:val="-4"/>
                <w:sz w:val="22"/>
                <w:szCs w:val="22"/>
              </w:rPr>
              <w:t>年）</w:t>
            </w:r>
          </w:p>
        </w:tc>
        <w:tc>
          <w:tcPr>
            <w:tcW w:w="1049" w:type="dxa"/>
            <w:tcBorders>
              <w:right w:val="single" w:color="000000" w:sz="6" w:space="0"/>
            </w:tcBorders>
            <w:vAlign w:val="top"/>
          </w:tcPr>
          <w:p w14:paraId="462EFD59">
            <w:pPr>
              <w:spacing w:before="128" w:line="189" w:lineRule="auto"/>
              <w:ind w:left="477"/>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r w14:paraId="2D0F3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12" w:type="dxa"/>
            <w:vMerge w:val="continue"/>
            <w:tcBorders>
              <w:top w:val="nil"/>
              <w:left w:val="single" w:color="000000" w:sz="6" w:space="0"/>
              <w:bottom w:val="nil"/>
            </w:tcBorders>
            <w:vAlign w:val="top"/>
          </w:tcPr>
          <w:p w14:paraId="663C1401">
            <w:pPr>
              <w:rPr>
                <w:rFonts w:ascii="Arial"/>
                <w:sz w:val="21"/>
              </w:rPr>
            </w:pPr>
          </w:p>
        </w:tc>
        <w:tc>
          <w:tcPr>
            <w:tcW w:w="1699" w:type="dxa"/>
            <w:vAlign w:val="top"/>
          </w:tcPr>
          <w:p w14:paraId="40DAB0BA">
            <w:pPr>
              <w:pStyle w:val="6"/>
              <w:spacing w:before="78" w:line="214" w:lineRule="auto"/>
              <w:ind w:left="193"/>
              <w:rPr>
                <w:sz w:val="22"/>
                <w:szCs w:val="22"/>
              </w:rPr>
            </w:pPr>
            <w:r>
              <w:rPr>
                <w:spacing w:val="-2"/>
                <w:sz w:val="22"/>
                <w:szCs w:val="22"/>
              </w:rPr>
              <w:t>设备检修废物</w:t>
            </w:r>
          </w:p>
        </w:tc>
        <w:tc>
          <w:tcPr>
            <w:tcW w:w="1699" w:type="dxa"/>
            <w:vAlign w:val="top"/>
          </w:tcPr>
          <w:p w14:paraId="226444E4">
            <w:pPr>
              <w:spacing w:before="113" w:line="193" w:lineRule="auto"/>
              <w:ind w:left="8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75" w:type="dxa"/>
            <w:vAlign w:val="top"/>
          </w:tcPr>
          <w:p w14:paraId="4D56BDBC">
            <w:pPr>
              <w:spacing w:before="113" w:line="193" w:lineRule="auto"/>
              <w:ind w:left="6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699" w:type="dxa"/>
            <w:vAlign w:val="top"/>
          </w:tcPr>
          <w:p w14:paraId="308C0F70">
            <w:pPr>
              <w:spacing w:before="117" w:line="189" w:lineRule="auto"/>
              <w:ind w:left="799"/>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557" w:type="dxa"/>
            <w:vAlign w:val="top"/>
          </w:tcPr>
          <w:p w14:paraId="409D08F8">
            <w:pPr>
              <w:spacing w:before="117" w:line="189" w:lineRule="auto"/>
              <w:ind w:left="64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0.4</w:t>
            </w:r>
          </w:p>
        </w:tc>
        <w:tc>
          <w:tcPr>
            <w:tcW w:w="1759" w:type="dxa"/>
            <w:vAlign w:val="top"/>
          </w:tcPr>
          <w:p w14:paraId="1DD93A7B">
            <w:pPr>
              <w:spacing w:before="117" w:line="189" w:lineRule="auto"/>
              <w:ind w:left="833"/>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743" w:type="dxa"/>
            <w:vAlign w:val="top"/>
          </w:tcPr>
          <w:p w14:paraId="1F903050">
            <w:pPr>
              <w:spacing w:before="117" w:line="189" w:lineRule="auto"/>
              <w:ind w:left="74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0.4</w:t>
            </w:r>
          </w:p>
        </w:tc>
        <w:tc>
          <w:tcPr>
            <w:tcW w:w="1049" w:type="dxa"/>
            <w:tcBorders>
              <w:right w:val="single" w:color="000000" w:sz="6" w:space="0"/>
            </w:tcBorders>
            <w:vAlign w:val="top"/>
          </w:tcPr>
          <w:p w14:paraId="69B8CC0B">
            <w:pPr>
              <w:spacing w:before="117" w:line="189" w:lineRule="auto"/>
              <w:ind w:left="477"/>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r w14:paraId="4DF7C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312" w:type="dxa"/>
            <w:vMerge w:val="continue"/>
            <w:tcBorders>
              <w:top w:val="nil"/>
              <w:left w:val="single" w:color="000000" w:sz="6" w:space="0"/>
              <w:bottom w:val="nil"/>
            </w:tcBorders>
            <w:vAlign w:val="top"/>
          </w:tcPr>
          <w:p w14:paraId="520D4B03">
            <w:pPr>
              <w:rPr>
                <w:rFonts w:ascii="Arial"/>
                <w:sz w:val="21"/>
              </w:rPr>
            </w:pPr>
          </w:p>
        </w:tc>
        <w:tc>
          <w:tcPr>
            <w:tcW w:w="1699" w:type="dxa"/>
            <w:vAlign w:val="top"/>
          </w:tcPr>
          <w:p w14:paraId="55F0C1C3">
            <w:pPr>
              <w:pStyle w:val="6"/>
              <w:spacing w:before="61" w:line="223" w:lineRule="auto"/>
              <w:ind w:left="410" w:right="192" w:hanging="207"/>
              <w:rPr>
                <w:sz w:val="22"/>
                <w:szCs w:val="22"/>
              </w:rPr>
            </w:pPr>
            <w:r>
              <w:rPr>
                <w:spacing w:val="-4"/>
                <w:sz w:val="22"/>
                <w:szCs w:val="22"/>
              </w:rPr>
              <w:t>隔油池浮油及</w:t>
            </w:r>
            <w:r>
              <w:rPr>
                <w:spacing w:val="-2"/>
                <w:sz w:val="22"/>
                <w:szCs w:val="22"/>
              </w:rPr>
              <w:t>含油污泥</w:t>
            </w:r>
          </w:p>
        </w:tc>
        <w:tc>
          <w:tcPr>
            <w:tcW w:w="1699" w:type="dxa"/>
            <w:vAlign w:val="top"/>
          </w:tcPr>
          <w:p w14:paraId="0B3CF1A4">
            <w:pPr>
              <w:spacing w:before="244" w:line="193" w:lineRule="auto"/>
              <w:ind w:left="8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75" w:type="dxa"/>
            <w:vAlign w:val="top"/>
          </w:tcPr>
          <w:p w14:paraId="5D0B1C7B">
            <w:pPr>
              <w:spacing w:before="244" w:line="193" w:lineRule="auto"/>
              <w:ind w:left="6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699" w:type="dxa"/>
            <w:vAlign w:val="top"/>
          </w:tcPr>
          <w:p w14:paraId="4BAAE643">
            <w:pPr>
              <w:spacing w:before="248" w:line="189" w:lineRule="auto"/>
              <w:ind w:left="799"/>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557" w:type="dxa"/>
            <w:vAlign w:val="top"/>
          </w:tcPr>
          <w:p w14:paraId="57B67A7E">
            <w:pPr>
              <w:spacing w:before="248" w:line="189" w:lineRule="auto"/>
              <w:ind w:left="64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w:t>
            </w:r>
          </w:p>
        </w:tc>
        <w:tc>
          <w:tcPr>
            <w:tcW w:w="1759" w:type="dxa"/>
            <w:vAlign w:val="top"/>
          </w:tcPr>
          <w:p w14:paraId="2F3F1D76">
            <w:pPr>
              <w:spacing w:before="248" w:line="189" w:lineRule="auto"/>
              <w:ind w:left="833"/>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743" w:type="dxa"/>
            <w:vAlign w:val="top"/>
          </w:tcPr>
          <w:p w14:paraId="76C7B337">
            <w:pPr>
              <w:spacing w:before="248" w:line="189" w:lineRule="auto"/>
              <w:ind w:left="74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w:t>
            </w:r>
          </w:p>
        </w:tc>
        <w:tc>
          <w:tcPr>
            <w:tcW w:w="1049" w:type="dxa"/>
            <w:tcBorders>
              <w:right w:val="single" w:color="000000" w:sz="6" w:space="0"/>
            </w:tcBorders>
            <w:vAlign w:val="top"/>
          </w:tcPr>
          <w:p w14:paraId="093E79F7">
            <w:pPr>
              <w:spacing w:before="248" w:line="189" w:lineRule="auto"/>
              <w:ind w:left="477"/>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r w14:paraId="06C4B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1312" w:type="dxa"/>
            <w:vMerge w:val="continue"/>
            <w:tcBorders>
              <w:top w:val="nil"/>
              <w:left w:val="single" w:color="000000" w:sz="6" w:space="0"/>
              <w:bottom w:val="single" w:color="000000" w:sz="6" w:space="0"/>
            </w:tcBorders>
            <w:vAlign w:val="top"/>
          </w:tcPr>
          <w:p w14:paraId="7F1D5E23">
            <w:pPr>
              <w:rPr>
                <w:rFonts w:ascii="Arial"/>
                <w:sz w:val="21"/>
              </w:rPr>
            </w:pPr>
          </w:p>
        </w:tc>
        <w:tc>
          <w:tcPr>
            <w:tcW w:w="1699" w:type="dxa"/>
            <w:tcBorders>
              <w:bottom w:val="single" w:color="000000" w:sz="6" w:space="0"/>
            </w:tcBorders>
            <w:vAlign w:val="top"/>
          </w:tcPr>
          <w:p w14:paraId="34AA24F6">
            <w:pPr>
              <w:pStyle w:val="6"/>
              <w:spacing w:before="63" w:line="228" w:lineRule="auto"/>
              <w:ind w:left="409" w:right="192" w:hanging="219"/>
              <w:rPr>
                <w:sz w:val="22"/>
                <w:szCs w:val="22"/>
              </w:rPr>
            </w:pPr>
            <w:r>
              <w:rPr>
                <w:spacing w:val="-2"/>
                <w:sz w:val="22"/>
                <w:szCs w:val="22"/>
              </w:rPr>
              <w:t>三次油气回收废膜组件</w:t>
            </w:r>
          </w:p>
        </w:tc>
        <w:tc>
          <w:tcPr>
            <w:tcW w:w="1699" w:type="dxa"/>
            <w:tcBorders>
              <w:bottom w:val="single" w:color="000000" w:sz="6" w:space="0"/>
            </w:tcBorders>
            <w:vAlign w:val="top"/>
          </w:tcPr>
          <w:p w14:paraId="4908E414">
            <w:pPr>
              <w:spacing w:before="246" w:line="193" w:lineRule="auto"/>
              <w:ind w:left="8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75" w:type="dxa"/>
            <w:tcBorders>
              <w:bottom w:val="single" w:color="000000" w:sz="6" w:space="0"/>
            </w:tcBorders>
            <w:vAlign w:val="top"/>
          </w:tcPr>
          <w:p w14:paraId="136CFE11">
            <w:pPr>
              <w:spacing w:before="246" w:line="193" w:lineRule="auto"/>
              <w:ind w:left="6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699" w:type="dxa"/>
            <w:tcBorders>
              <w:bottom w:val="single" w:color="000000" w:sz="6" w:space="0"/>
            </w:tcBorders>
            <w:vAlign w:val="top"/>
          </w:tcPr>
          <w:p w14:paraId="7C1CA98C">
            <w:pPr>
              <w:spacing w:before="250" w:line="189" w:lineRule="auto"/>
              <w:ind w:left="799"/>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557" w:type="dxa"/>
            <w:tcBorders>
              <w:bottom w:val="single" w:color="000000" w:sz="6" w:space="0"/>
            </w:tcBorders>
            <w:vAlign w:val="top"/>
          </w:tcPr>
          <w:p w14:paraId="47C0CEF7">
            <w:pPr>
              <w:spacing w:before="250" w:line="189" w:lineRule="auto"/>
              <w:ind w:left="59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w:t>
            </w:r>
          </w:p>
        </w:tc>
        <w:tc>
          <w:tcPr>
            <w:tcW w:w="1759" w:type="dxa"/>
            <w:tcBorders>
              <w:bottom w:val="single" w:color="000000" w:sz="6" w:space="0"/>
            </w:tcBorders>
            <w:vAlign w:val="top"/>
          </w:tcPr>
          <w:p w14:paraId="4BAC7C4C">
            <w:pPr>
              <w:spacing w:before="250" w:line="189" w:lineRule="auto"/>
              <w:ind w:left="833"/>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743" w:type="dxa"/>
            <w:tcBorders>
              <w:bottom w:val="single" w:color="000000" w:sz="6" w:space="0"/>
            </w:tcBorders>
            <w:vAlign w:val="top"/>
          </w:tcPr>
          <w:p w14:paraId="32754E5D">
            <w:pPr>
              <w:spacing w:before="250" w:line="189" w:lineRule="auto"/>
              <w:ind w:left="68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w:t>
            </w:r>
          </w:p>
        </w:tc>
        <w:tc>
          <w:tcPr>
            <w:tcW w:w="1049" w:type="dxa"/>
            <w:tcBorders>
              <w:bottom w:val="single" w:color="000000" w:sz="6" w:space="0"/>
              <w:right w:val="single" w:color="000000" w:sz="6" w:space="0"/>
            </w:tcBorders>
            <w:vAlign w:val="top"/>
          </w:tcPr>
          <w:p w14:paraId="0A0B771F">
            <w:pPr>
              <w:spacing w:before="250" w:line="189" w:lineRule="auto"/>
              <w:ind w:left="477"/>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bl>
    <w:p w14:paraId="6EE7F7CC">
      <w:pPr>
        <w:spacing w:before="215" w:line="281" w:lineRule="exact"/>
        <w:ind w:left="194"/>
        <w:rPr>
          <w:rFonts w:ascii="宋体" w:hAnsi="宋体" w:eastAsia="宋体" w:cs="宋体"/>
          <w:sz w:val="20"/>
          <w:szCs w:val="20"/>
        </w:rPr>
      </w:pPr>
      <w:r>
        <w:rPr>
          <w:rFonts w:ascii="宋体" w:hAnsi="宋体" w:eastAsia="宋体" w:cs="宋体"/>
          <w:position w:val="1"/>
          <w:sz w:val="20"/>
          <w:szCs w:val="20"/>
        </w:rPr>
        <w:t>注：⑥</w:t>
      </w:r>
      <w:r>
        <w:rPr>
          <w:rFonts w:ascii="Times New Roman" w:hAnsi="Times New Roman" w:eastAsia="Times New Roman" w:cs="Times New Roman"/>
          <w:position w:val="1"/>
          <w:sz w:val="20"/>
          <w:szCs w:val="20"/>
        </w:rPr>
        <w:t>=</w:t>
      </w:r>
      <w:r>
        <w:rPr>
          <w:rFonts w:ascii="宋体" w:hAnsi="宋体" w:eastAsia="宋体" w:cs="宋体"/>
          <w:position w:val="1"/>
          <w:sz w:val="20"/>
          <w:szCs w:val="20"/>
        </w:rPr>
        <w:t>①</w:t>
      </w:r>
      <w:r>
        <w:rPr>
          <w:rFonts w:ascii="Times New Roman" w:hAnsi="Times New Roman" w:eastAsia="Times New Roman" w:cs="Times New Roman"/>
          <w:position w:val="1"/>
          <w:sz w:val="20"/>
          <w:szCs w:val="20"/>
        </w:rPr>
        <w:t>+</w:t>
      </w:r>
      <w:r>
        <w:rPr>
          <w:rFonts w:ascii="宋体" w:hAnsi="宋体" w:eastAsia="宋体" w:cs="宋体"/>
          <w:position w:val="1"/>
          <w:sz w:val="20"/>
          <w:szCs w:val="20"/>
        </w:rPr>
        <w:t>③</w:t>
      </w:r>
      <w:r>
        <w:rPr>
          <w:rFonts w:ascii="Times New Roman" w:hAnsi="Times New Roman" w:eastAsia="Times New Roman" w:cs="Times New Roman"/>
          <w:position w:val="1"/>
          <w:sz w:val="20"/>
          <w:szCs w:val="20"/>
        </w:rPr>
        <w:t>+</w:t>
      </w:r>
      <w:r>
        <w:rPr>
          <w:rFonts w:ascii="宋体" w:hAnsi="宋体" w:eastAsia="宋体" w:cs="宋体"/>
          <w:position w:val="1"/>
          <w:sz w:val="20"/>
          <w:szCs w:val="20"/>
        </w:rPr>
        <w:t>④</w:t>
      </w:r>
      <w:r>
        <w:rPr>
          <w:rFonts w:ascii="Times New Roman" w:hAnsi="Times New Roman" w:eastAsia="Times New Roman" w:cs="Times New Roman"/>
          <w:position w:val="1"/>
          <w:sz w:val="20"/>
          <w:szCs w:val="20"/>
        </w:rPr>
        <w:t>-</w:t>
      </w:r>
      <w:r>
        <w:rPr>
          <w:rFonts w:ascii="宋体" w:hAnsi="宋体" w:eastAsia="宋体" w:cs="宋体"/>
          <w:position w:val="1"/>
          <w:sz w:val="20"/>
          <w:szCs w:val="20"/>
        </w:rPr>
        <w:t>⑤;</w:t>
      </w:r>
      <w:r>
        <w:rPr>
          <w:rFonts w:ascii="宋体" w:hAnsi="宋体" w:eastAsia="宋体" w:cs="宋体"/>
          <w:spacing w:val="38"/>
          <w:position w:val="1"/>
          <w:sz w:val="20"/>
          <w:szCs w:val="20"/>
        </w:rPr>
        <w:t xml:space="preserve"> </w:t>
      </w:r>
      <w:r>
        <w:rPr>
          <w:rFonts w:ascii="宋体" w:hAnsi="宋体" w:eastAsia="宋体" w:cs="宋体"/>
          <w:position w:val="1"/>
          <w:sz w:val="20"/>
          <w:szCs w:val="20"/>
        </w:rPr>
        <w:t>⑦</w:t>
      </w:r>
      <w:r>
        <w:rPr>
          <w:rFonts w:ascii="Times New Roman" w:hAnsi="Times New Roman" w:eastAsia="Times New Roman" w:cs="Times New Roman"/>
          <w:position w:val="1"/>
          <w:sz w:val="20"/>
          <w:szCs w:val="20"/>
        </w:rPr>
        <w:t>=</w:t>
      </w:r>
      <w:r>
        <w:rPr>
          <w:rFonts w:ascii="宋体" w:hAnsi="宋体" w:eastAsia="宋体" w:cs="宋体"/>
          <w:position w:val="1"/>
          <w:sz w:val="20"/>
          <w:szCs w:val="20"/>
        </w:rPr>
        <w:t>⑥</w:t>
      </w:r>
      <w:r>
        <w:rPr>
          <w:rFonts w:ascii="Times New Roman" w:hAnsi="Times New Roman" w:eastAsia="Times New Roman" w:cs="Times New Roman"/>
          <w:position w:val="1"/>
          <w:sz w:val="20"/>
          <w:szCs w:val="20"/>
        </w:rPr>
        <w:t>-</w:t>
      </w:r>
      <w:r>
        <w:rPr>
          <w:rFonts w:ascii="宋体" w:hAnsi="宋体" w:eastAsia="宋体" w:cs="宋体"/>
          <w:position w:val="1"/>
          <w:sz w:val="20"/>
          <w:szCs w:val="20"/>
        </w:rPr>
        <w:t>①。</w:t>
      </w:r>
    </w:p>
    <w:p w14:paraId="5E3D1479">
      <w:pPr>
        <w:spacing w:line="281" w:lineRule="exact"/>
        <w:rPr>
          <w:rFonts w:ascii="宋体" w:hAnsi="宋体" w:eastAsia="宋体" w:cs="宋体"/>
          <w:sz w:val="20"/>
          <w:szCs w:val="20"/>
        </w:rPr>
        <w:sectPr>
          <w:footerReference r:id="rId108" w:type="default"/>
          <w:pgSz w:w="16839" w:h="11906"/>
          <w:pgMar w:top="400" w:right="1515" w:bottom="1034" w:left="1515" w:header="0" w:footer="692" w:gutter="0"/>
          <w:cols w:space="720" w:num="1"/>
        </w:sectPr>
      </w:pPr>
    </w:p>
    <w:p w14:paraId="77F18ABA">
      <w:pPr>
        <w:pStyle w:val="2"/>
        <w:spacing w:line="271" w:lineRule="auto"/>
        <w:rPr>
          <w:sz w:val="21"/>
        </w:rPr>
      </w:pPr>
    </w:p>
    <w:p w14:paraId="28D684E3">
      <w:pPr>
        <w:pStyle w:val="2"/>
        <w:spacing w:line="271" w:lineRule="auto"/>
        <w:rPr>
          <w:sz w:val="21"/>
        </w:rPr>
      </w:pPr>
    </w:p>
    <w:p w14:paraId="7608129A">
      <w:pPr>
        <w:pStyle w:val="2"/>
        <w:spacing w:line="272" w:lineRule="auto"/>
        <w:rPr>
          <w:sz w:val="21"/>
        </w:rPr>
      </w:pPr>
    </w:p>
    <w:p w14:paraId="03CEB16A">
      <w:pPr>
        <w:pStyle w:val="2"/>
        <w:spacing w:line="272" w:lineRule="auto"/>
        <w:rPr>
          <w:sz w:val="21"/>
        </w:rPr>
      </w:pPr>
    </w:p>
    <w:p w14:paraId="7F772F5D">
      <w:pPr>
        <w:pStyle w:val="2"/>
        <w:spacing w:line="272" w:lineRule="auto"/>
        <w:rPr>
          <w:sz w:val="21"/>
        </w:rPr>
      </w:pPr>
    </w:p>
    <w:p w14:paraId="5EB2D808">
      <w:pPr>
        <w:spacing w:before="81" w:line="225" w:lineRule="auto"/>
        <w:ind w:left="3902"/>
        <w:rPr>
          <w:rFonts w:ascii="宋体" w:hAnsi="宋体" w:eastAsia="宋体" w:cs="宋体"/>
          <w:sz w:val="25"/>
          <w:szCs w:val="25"/>
        </w:rPr>
      </w:pPr>
      <w:r>
        <w:rPr>
          <w:rFonts w:ascii="宋体" w:hAnsi="宋体" w:eastAsia="宋体" w:cs="宋体"/>
          <w:spacing w:val="2"/>
          <w:sz w:val="25"/>
          <w:szCs w:val="25"/>
        </w:rPr>
        <w:t>附图附件</w:t>
      </w:r>
    </w:p>
    <w:p w14:paraId="01DC6323">
      <w:pPr>
        <w:spacing w:before="153" w:line="225" w:lineRule="auto"/>
        <w:rPr>
          <w:rFonts w:ascii="宋体" w:hAnsi="宋体" w:eastAsia="宋体" w:cs="宋体"/>
          <w:sz w:val="25"/>
          <w:szCs w:val="25"/>
        </w:rPr>
      </w:pPr>
      <w:r>
        <w:rPr>
          <w:rFonts w:ascii="宋体" w:hAnsi="宋体" w:eastAsia="宋体" w:cs="宋体"/>
          <w:b/>
          <w:bCs/>
          <w:spacing w:val="-6"/>
          <w:sz w:val="25"/>
          <w:szCs w:val="25"/>
        </w:rPr>
        <w:t>附图：</w:t>
      </w:r>
    </w:p>
    <w:p w14:paraId="7A4DF1FC">
      <w:pPr>
        <w:spacing w:before="156" w:line="225" w:lineRule="auto"/>
        <w:rPr>
          <w:rFonts w:ascii="宋体" w:hAnsi="宋体" w:eastAsia="宋体" w:cs="宋体"/>
          <w:sz w:val="25"/>
          <w:szCs w:val="25"/>
        </w:rPr>
      </w:pPr>
      <w:r>
        <w:rPr>
          <w:rFonts w:ascii="宋体" w:hAnsi="宋体" w:eastAsia="宋体" w:cs="宋体"/>
          <w:spacing w:val="4"/>
          <w:sz w:val="25"/>
          <w:szCs w:val="25"/>
        </w:rPr>
        <w:t>附图</w:t>
      </w:r>
      <w:r>
        <w:rPr>
          <w:rFonts w:ascii="宋体" w:hAnsi="宋体" w:eastAsia="宋体" w:cs="宋体"/>
          <w:spacing w:val="-28"/>
          <w:sz w:val="25"/>
          <w:szCs w:val="25"/>
        </w:rPr>
        <w:t xml:space="preserve"> </w:t>
      </w:r>
      <w:r>
        <w:rPr>
          <w:rFonts w:ascii="Times New Roman" w:hAnsi="Times New Roman" w:eastAsia="Times New Roman" w:cs="Times New Roman"/>
          <w:spacing w:val="4"/>
          <w:sz w:val="25"/>
          <w:szCs w:val="25"/>
        </w:rPr>
        <w:t xml:space="preserve">1  </w:t>
      </w:r>
      <w:r>
        <w:rPr>
          <w:rFonts w:ascii="宋体" w:hAnsi="宋体" w:eastAsia="宋体" w:cs="宋体"/>
          <w:spacing w:val="4"/>
          <w:sz w:val="25"/>
          <w:szCs w:val="25"/>
        </w:rPr>
        <w:t>项目所在地理位置图</w:t>
      </w:r>
    </w:p>
    <w:p w14:paraId="0167D273">
      <w:pPr>
        <w:spacing w:before="156" w:line="225" w:lineRule="auto"/>
        <w:rPr>
          <w:rFonts w:ascii="宋体" w:hAnsi="宋体" w:eastAsia="宋体" w:cs="宋体"/>
          <w:sz w:val="25"/>
          <w:szCs w:val="25"/>
        </w:rPr>
      </w:pPr>
      <w:r>
        <w:rPr>
          <w:rFonts w:ascii="宋体" w:hAnsi="宋体" w:eastAsia="宋体" w:cs="宋体"/>
          <w:spacing w:val="7"/>
          <w:sz w:val="25"/>
          <w:szCs w:val="25"/>
        </w:rPr>
        <w:t>附图</w:t>
      </w:r>
      <w:r>
        <w:rPr>
          <w:rFonts w:ascii="宋体" w:hAnsi="宋体" w:eastAsia="宋体" w:cs="宋体"/>
          <w:spacing w:val="-52"/>
          <w:sz w:val="25"/>
          <w:szCs w:val="25"/>
        </w:rPr>
        <w:t xml:space="preserve"> </w:t>
      </w:r>
      <w:r>
        <w:rPr>
          <w:rFonts w:ascii="Times New Roman" w:hAnsi="Times New Roman" w:eastAsia="Times New Roman" w:cs="Times New Roman"/>
          <w:spacing w:val="7"/>
          <w:sz w:val="25"/>
          <w:szCs w:val="25"/>
        </w:rPr>
        <w:t xml:space="preserve">2  </w:t>
      </w:r>
      <w:r>
        <w:rPr>
          <w:rFonts w:ascii="宋体" w:hAnsi="宋体" w:eastAsia="宋体" w:cs="宋体"/>
          <w:spacing w:val="7"/>
          <w:sz w:val="25"/>
          <w:szCs w:val="25"/>
        </w:rPr>
        <w:t>本项目总平面布置及改扩建示意图</w:t>
      </w:r>
    </w:p>
    <w:p w14:paraId="77018D4B">
      <w:pPr>
        <w:spacing w:before="153" w:line="225" w:lineRule="auto"/>
        <w:rPr>
          <w:rFonts w:ascii="宋体" w:hAnsi="宋体" w:eastAsia="宋体" w:cs="宋体"/>
          <w:sz w:val="25"/>
          <w:szCs w:val="25"/>
        </w:rPr>
      </w:pPr>
      <w:r>
        <w:rPr>
          <w:rFonts w:ascii="宋体" w:hAnsi="宋体" w:eastAsia="宋体" w:cs="宋体"/>
          <w:spacing w:val="6"/>
          <w:sz w:val="25"/>
          <w:szCs w:val="25"/>
        </w:rPr>
        <w:t>附图</w:t>
      </w:r>
      <w:r>
        <w:rPr>
          <w:rFonts w:ascii="宋体" w:hAnsi="宋体" w:eastAsia="宋体" w:cs="宋体"/>
          <w:spacing w:val="-44"/>
          <w:sz w:val="25"/>
          <w:szCs w:val="25"/>
        </w:rPr>
        <w:t xml:space="preserve"> </w:t>
      </w:r>
      <w:r>
        <w:rPr>
          <w:rFonts w:ascii="Times New Roman" w:hAnsi="Times New Roman" w:eastAsia="Times New Roman" w:cs="Times New Roman"/>
          <w:spacing w:val="6"/>
          <w:sz w:val="25"/>
          <w:szCs w:val="25"/>
        </w:rPr>
        <w:t xml:space="preserve">3  </w:t>
      </w:r>
      <w:r>
        <w:rPr>
          <w:rFonts w:ascii="宋体" w:hAnsi="宋体" w:eastAsia="宋体" w:cs="宋体"/>
          <w:spacing w:val="6"/>
          <w:sz w:val="25"/>
          <w:szCs w:val="25"/>
        </w:rPr>
        <w:t>本项目排水管网示意图附图</w:t>
      </w:r>
    </w:p>
    <w:p w14:paraId="208E1220">
      <w:pPr>
        <w:spacing w:before="156" w:line="339" w:lineRule="auto"/>
        <w:ind w:right="4094"/>
        <w:rPr>
          <w:rFonts w:ascii="宋体" w:hAnsi="宋体" w:eastAsia="宋体" w:cs="宋体"/>
          <w:sz w:val="25"/>
          <w:szCs w:val="25"/>
        </w:rPr>
      </w:pPr>
      <w:r>
        <w:rPr>
          <w:rFonts w:ascii="宋体" w:hAnsi="宋体" w:eastAsia="宋体" w:cs="宋体"/>
          <w:spacing w:val="7"/>
          <w:sz w:val="25"/>
          <w:szCs w:val="25"/>
        </w:rPr>
        <w:t>附图</w:t>
      </w:r>
      <w:r>
        <w:rPr>
          <w:rFonts w:ascii="宋体" w:hAnsi="宋体" w:eastAsia="宋体" w:cs="宋体"/>
          <w:spacing w:val="-52"/>
          <w:sz w:val="25"/>
          <w:szCs w:val="25"/>
        </w:rPr>
        <w:t xml:space="preserve"> </w:t>
      </w:r>
      <w:r>
        <w:rPr>
          <w:rFonts w:ascii="Times New Roman" w:hAnsi="Times New Roman" w:eastAsia="Times New Roman" w:cs="Times New Roman"/>
          <w:spacing w:val="7"/>
          <w:sz w:val="25"/>
          <w:szCs w:val="25"/>
        </w:rPr>
        <w:t xml:space="preserve">4  </w:t>
      </w:r>
      <w:r>
        <w:rPr>
          <w:rFonts w:ascii="宋体" w:hAnsi="宋体" w:eastAsia="宋体" w:cs="宋体"/>
          <w:spacing w:val="7"/>
          <w:sz w:val="25"/>
          <w:szCs w:val="25"/>
        </w:rPr>
        <w:t>项目外环境及环境保护目标分布图</w:t>
      </w:r>
      <w:r>
        <w:rPr>
          <w:rFonts w:ascii="宋体" w:hAnsi="宋体" w:eastAsia="宋体" w:cs="宋体"/>
          <w:spacing w:val="4"/>
          <w:sz w:val="25"/>
          <w:szCs w:val="25"/>
        </w:rPr>
        <w:t>附图</w:t>
      </w:r>
      <w:r>
        <w:rPr>
          <w:rFonts w:ascii="宋体" w:hAnsi="宋体" w:eastAsia="宋体" w:cs="宋体"/>
          <w:spacing w:val="-41"/>
          <w:sz w:val="25"/>
          <w:szCs w:val="25"/>
        </w:rPr>
        <w:t xml:space="preserve"> </w:t>
      </w:r>
      <w:r>
        <w:rPr>
          <w:rFonts w:ascii="Times New Roman" w:hAnsi="Times New Roman" w:eastAsia="Times New Roman" w:cs="Times New Roman"/>
          <w:spacing w:val="4"/>
          <w:sz w:val="25"/>
          <w:szCs w:val="25"/>
        </w:rPr>
        <w:t xml:space="preserve">5  </w:t>
      </w:r>
      <w:r>
        <w:rPr>
          <w:rFonts w:ascii="宋体" w:hAnsi="宋体" w:eastAsia="宋体" w:cs="宋体"/>
          <w:spacing w:val="4"/>
          <w:sz w:val="25"/>
          <w:szCs w:val="25"/>
        </w:rPr>
        <w:t>项目监测布点图</w:t>
      </w:r>
    </w:p>
    <w:p w14:paraId="356ACEF4">
      <w:pPr>
        <w:spacing w:before="1" w:line="225" w:lineRule="auto"/>
        <w:rPr>
          <w:rFonts w:ascii="宋体" w:hAnsi="宋体" w:eastAsia="宋体" w:cs="宋体"/>
          <w:sz w:val="25"/>
          <w:szCs w:val="25"/>
        </w:rPr>
      </w:pPr>
      <w:r>
        <w:rPr>
          <w:rFonts w:ascii="宋体" w:hAnsi="宋体" w:eastAsia="宋体" w:cs="宋体"/>
          <w:spacing w:val="7"/>
          <w:sz w:val="25"/>
          <w:szCs w:val="25"/>
        </w:rPr>
        <w:t>附图</w:t>
      </w:r>
      <w:r>
        <w:rPr>
          <w:rFonts w:ascii="宋体" w:hAnsi="宋体" w:eastAsia="宋体" w:cs="宋体"/>
          <w:spacing w:val="-46"/>
          <w:sz w:val="25"/>
          <w:szCs w:val="25"/>
        </w:rPr>
        <w:t xml:space="preserve"> </w:t>
      </w:r>
      <w:r>
        <w:rPr>
          <w:rFonts w:ascii="Times New Roman" w:hAnsi="Times New Roman" w:eastAsia="Times New Roman" w:cs="Times New Roman"/>
          <w:spacing w:val="7"/>
          <w:sz w:val="25"/>
          <w:szCs w:val="25"/>
        </w:rPr>
        <w:t xml:space="preserve">6  </w:t>
      </w:r>
      <w:r>
        <w:rPr>
          <w:rFonts w:ascii="宋体" w:hAnsi="宋体" w:eastAsia="宋体" w:cs="宋体"/>
          <w:spacing w:val="7"/>
          <w:sz w:val="25"/>
          <w:szCs w:val="25"/>
        </w:rPr>
        <w:t>本项目环保设施分布及分区防渗示</w:t>
      </w:r>
      <w:r>
        <w:rPr>
          <w:rFonts w:ascii="宋体" w:hAnsi="宋体" w:eastAsia="宋体" w:cs="宋体"/>
          <w:spacing w:val="6"/>
          <w:sz w:val="25"/>
          <w:szCs w:val="25"/>
        </w:rPr>
        <w:t>意图</w:t>
      </w:r>
    </w:p>
    <w:p w14:paraId="0B2676DF">
      <w:pPr>
        <w:pStyle w:val="2"/>
        <w:spacing w:line="266" w:lineRule="auto"/>
        <w:rPr>
          <w:sz w:val="21"/>
        </w:rPr>
      </w:pPr>
    </w:p>
    <w:p w14:paraId="360CA30E">
      <w:pPr>
        <w:pStyle w:val="2"/>
        <w:spacing w:line="266" w:lineRule="auto"/>
        <w:rPr>
          <w:sz w:val="21"/>
        </w:rPr>
      </w:pPr>
    </w:p>
    <w:p w14:paraId="263D8382">
      <w:pPr>
        <w:spacing w:before="81" w:line="225" w:lineRule="auto"/>
        <w:rPr>
          <w:rFonts w:ascii="宋体" w:hAnsi="宋体" w:eastAsia="宋体" w:cs="宋体"/>
          <w:sz w:val="25"/>
          <w:szCs w:val="25"/>
        </w:rPr>
      </w:pPr>
      <w:r>
        <w:rPr>
          <w:rFonts w:ascii="宋体" w:hAnsi="宋体" w:eastAsia="宋体" w:cs="宋体"/>
          <w:b/>
          <w:bCs/>
          <w:spacing w:val="-6"/>
          <w:sz w:val="25"/>
          <w:szCs w:val="25"/>
        </w:rPr>
        <w:t>附件：</w:t>
      </w:r>
    </w:p>
    <w:p w14:paraId="15886D09">
      <w:pPr>
        <w:spacing w:before="154" w:line="225" w:lineRule="auto"/>
        <w:rPr>
          <w:rFonts w:ascii="宋体" w:hAnsi="宋体" w:eastAsia="宋体" w:cs="宋体"/>
          <w:sz w:val="25"/>
          <w:szCs w:val="25"/>
        </w:rPr>
      </w:pPr>
      <w:r>
        <w:rPr>
          <w:rFonts w:ascii="宋体" w:hAnsi="宋体" w:eastAsia="宋体" w:cs="宋体"/>
          <w:spacing w:val="-4"/>
          <w:sz w:val="25"/>
          <w:szCs w:val="25"/>
        </w:rPr>
        <w:t>附件</w:t>
      </w:r>
      <w:r>
        <w:rPr>
          <w:rFonts w:ascii="宋体" w:hAnsi="宋体" w:eastAsia="宋体" w:cs="宋体"/>
          <w:spacing w:val="-26"/>
          <w:sz w:val="25"/>
          <w:szCs w:val="25"/>
        </w:rPr>
        <w:t xml:space="preserve"> </w:t>
      </w:r>
      <w:r>
        <w:rPr>
          <w:rFonts w:ascii="Times New Roman" w:hAnsi="Times New Roman" w:eastAsia="Times New Roman" w:cs="Times New Roman"/>
          <w:spacing w:val="-4"/>
          <w:sz w:val="25"/>
          <w:szCs w:val="25"/>
        </w:rPr>
        <w:t>1</w:t>
      </w:r>
      <w:r>
        <w:rPr>
          <w:rFonts w:ascii="Times New Roman" w:hAnsi="Times New Roman" w:eastAsia="Times New Roman" w:cs="Times New Roman"/>
          <w:spacing w:val="9"/>
          <w:sz w:val="25"/>
          <w:szCs w:val="25"/>
        </w:rPr>
        <w:t xml:space="preserve">  </w:t>
      </w:r>
      <w:r>
        <w:rPr>
          <w:rFonts w:ascii="宋体" w:hAnsi="宋体" w:eastAsia="宋体" w:cs="宋体"/>
          <w:spacing w:val="-4"/>
          <w:sz w:val="25"/>
          <w:szCs w:val="25"/>
        </w:rPr>
        <w:t>备案证</w:t>
      </w:r>
    </w:p>
    <w:p w14:paraId="042DF5A4">
      <w:pPr>
        <w:spacing w:before="155" w:line="225" w:lineRule="auto"/>
        <w:rPr>
          <w:rFonts w:ascii="宋体" w:hAnsi="宋体" w:eastAsia="宋体" w:cs="宋体"/>
          <w:sz w:val="25"/>
          <w:szCs w:val="25"/>
        </w:rPr>
      </w:pPr>
      <w:r>
        <w:rPr>
          <w:rFonts w:ascii="宋体" w:hAnsi="宋体" w:eastAsia="宋体" w:cs="宋体"/>
          <w:spacing w:val="6"/>
          <w:sz w:val="25"/>
          <w:szCs w:val="25"/>
        </w:rPr>
        <w:t>附件</w:t>
      </w:r>
      <w:r>
        <w:rPr>
          <w:rFonts w:ascii="宋体" w:hAnsi="宋体" w:eastAsia="宋体" w:cs="宋体"/>
          <w:spacing w:val="-41"/>
          <w:sz w:val="25"/>
          <w:szCs w:val="25"/>
        </w:rPr>
        <w:t xml:space="preserve"> </w:t>
      </w:r>
      <w:r>
        <w:rPr>
          <w:rFonts w:ascii="Times New Roman" w:hAnsi="Times New Roman" w:eastAsia="Times New Roman" w:cs="Times New Roman"/>
          <w:spacing w:val="6"/>
          <w:sz w:val="25"/>
          <w:szCs w:val="25"/>
        </w:rPr>
        <w:t xml:space="preserve">2  </w:t>
      </w:r>
      <w:r>
        <w:rPr>
          <w:rFonts w:ascii="宋体" w:hAnsi="宋体" w:eastAsia="宋体" w:cs="宋体"/>
          <w:spacing w:val="6"/>
          <w:sz w:val="25"/>
          <w:szCs w:val="25"/>
        </w:rPr>
        <w:t>风险评估及应急预案备案回执</w:t>
      </w:r>
    </w:p>
    <w:p w14:paraId="4514D2D9">
      <w:pPr>
        <w:spacing w:before="156" w:line="225" w:lineRule="auto"/>
        <w:rPr>
          <w:rFonts w:ascii="宋体" w:hAnsi="宋体" w:eastAsia="宋体" w:cs="宋体"/>
          <w:sz w:val="25"/>
          <w:szCs w:val="25"/>
        </w:rPr>
      </w:pPr>
      <w:r>
        <w:rPr>
          <w:rFonts w:ascii="宋体" w:hAnsi="宋体" w:eastAsia="宋体" w:cs="宋体"/>
          <w:spacing w:val="2"/>
          <w:sz w:val="25"/>
          <w:szCs w:val="25"/>
        </w:rPr>
        <w:t>附件</w:t>
      </w:r>
      <w:r>
        <w:rPr>
          <w:rFonts w:ascii="宋体" w:hAnsi="宋体" w:eastAsia="宋体" w:cs="宋体"/>
          <w:spacing w:val="-41"/>
          <w:sz w:val="25"/>
          <w:szCs w:val="25"/>
        </w:rPr>
        <w:t xml:space="preserve"> </w:t>
      </w:r>
      <w:r>
        <w:rPr>
          <w:rFonts w:ascii="Times New Roman" w:hAnsi="Times New Roman" w:eastAsia="Times New Roman" w:cs="Times New Roman"/>
          <w:spacing w:val="2"/>
          <w:sz w:val="25"/>
          <w:szCs w:val="25"/>
        </w:rPr>
        <w:t xml:space="preserve">3  </w:t>
      </w:r>
      <w:r>
        <w:rPr>
          <w:rFonts w:ascii="宋体" w:hAnsi="宋体" w:eastAsia="宋体" w:cs="宋体"/>
          <w:spacing w:val="2"/>
          <w:sz w:val="25"/>
          <w:szCs w:val="25"/>
        </w:rPr>
        <w:t>检测报告</w:t>
      </w:r>
    </w:p>
    <w:p w14:paraId="61691FB2">
      <w:pPr>
        <w:spacing w:before="155" w:line="225" w:lineRule="auto"/>
        <w:rPr>
          <w:rFonts w:ascii="宋体" w:hAnsi="宋体" w:eastAsia="宋体" w:cs="宋体"/>
          <w:sz w:val="25"/>
          <w:szCs w:val="25"/>
        </w:rPr>
      </w:pPr>
      <w:r>
        <w:rPr>
          <w:rFonts w:ascii="宋体" w:hAnsi="宋体" w:eastAsia="宋体" w:cs="宋体"/>
          <w:spacing w:val="5"/>
          <w:sz w:val="25"/>
          <w:szCs w:val="25"/>
        </w:rPr>
        <w:t>附件</w:t>
      </w:r>
      <w:r>
        <w:rPr>
          <w:rFonts w:ascii="宋体" w:hAnsi="宋体" w:eastAsia="宋体" w:cs="宋体"/>
          <w:spacing w:val="-39"/>
          <w:sz w:val="25"/>
          <w:szCs w:val="25"/>
        </w:rPr>
        <w:t xml:space="preserve"> </w:t>
      </w:r>
      <w:r>
        <w:rPr>
          <w:rFonts w:ascii="Times New Roman" w:hAnsi="Times New Roman" w:eastAsia="Times New Roman" w:cs="Times New Roman"/>
          <w:spacing w:val="5"/>
          <w:sz w:val="25"/>
          <w:szCs w:val="25"/>
        </w:rPr>
        <w:t xml:space="preserve">4  </w:t>
      </w:r>
      <w:r>
        <w:rPr>
          <w:rFonts w:ascii="宋体" w:hAnsi="宋体" w:eastAsia="宋体" w:cs="宋体"/>
          <w:spacing w:val="5"/>
          <w:sz w:val="25"/>
          <w:szCs w:val="25"/>
        </w:rPr>
        <w:t>排污许可证副本（盖章页）</w:t>
      </w:r>
    </w:p>
    <w:p w14:paraId="5E5A3716">
      <w:pPr>
        <w:spacing w:before="157" w:line="339" w:lineRule="auto"/>
        <w:ind w:right="5050"/>
        <w:rPr>
          <w:rFonts w:ascii="宋体" w:hAnsi="宋体" w:eastAsia="宋体" w:cs="宋体"/>
          <w:sz w:val="25"/>
          <w:szCs w:val="25"/>
        </w:rPr>
      </w:pPr>
      <w:r>
        <w:rPr>
          <w:rFonts w:ascii="宋体" w:hAnsi="宋体" w:eastAsia="宋体" w:cs="宋体"/>
          <w:spacing w:val="5"/>
          <w:sz w:val="25"/>
          <w:szCs w:val="25"/>
        </w:rPr>
        <w:t>附件</w:t>
      </w:r>
      <w:r>
        <w:rPr>
          <w:rFonts w:ascii="宋体" w:hAnsi="宋体" w:eastAsia="宋体" w:cs="宋体"/>
          <w:spacing w:val="-36"/>
          <w:sz w:val="25"/>
          <w:szCs w:val="25"/>
        </w:rPr>
        <w:t xml:space="preserve"> </w:t>
      </w:r>
      <w:r>
        <w:rPr>
          <w:rFonts w:ascii="Times New Roman" w:hAnsi="Times New Roman" w:eastAsia="Times New Roman" w:cs="Times New Roman"/>
          <w:spacing w:val="5"/>
          <w:sz w:val="25"/>
          <w:szCs w:val="25"/>
        </w:rPr>
        <w:t xml:space="preserve">5  </w:t>
      </w:r>
      <w:r>
        <w:rPr>
          <w:rFonts w:ascii="宋体" w:hAnsi="宋体" w:eastAsia="宋体" w:cs="宋体"/>
          <w:spacing w:val="5"/>
          <w:sz w:val="25"/>
          <w:szCs w:val="25"/>
        </w:rPr>
        <w:t>危险废物处置协议</w:t>
      </w:r>
      <w:r>
        <w:rPr>
          <w:rFonts w:ascii="Times New Roman" w:hAnsi="Times New Roman" w:eastAsia="Times New Roman" w:cs="Times New Roman"/>
          <w:spacing w:val="5"/>
          <w:sz w:val="25"/>
          <w:szCs w:val="25"/>
        </w:rPr>
        <w:t>-</w:t>
      </w:r>
      <w:r>
        <w:rPr>
          <w:rFonts w:ascii="宋体" w:hAnsi="宋体" w:eastAsia="宋体" w:cs="宋体"/>
          <w:spacing w:val="5"/>
          <w:sz w:val="25"/>
          <w:szCs w:val="25"/>
        </w:rPr>
        <w:t>新炬缘</w:t>
      </w:r>
      <w:r>
        <w:rPr>
          <w:rFonts w:ascii="宋体" w:hAnsi="宋体" w:eastAsia="宋体" w:cs="宋体"/>
          <w:spacing w:val="1"/>
          <w:sz w:val="25"/>
          <w:szCs w:val="25"/>
        </w:rPr>
        <w:t>附件</w:t>
      </w:r>
      <w:r>
        <w:rPr>
          <w:rFonts w:ascii="宋体" w:hAnsi="宋体" w:eastAsia="宋体" w:cs="宋体"/>
          <w:spacing w:val="-44"/>
          <w:sz w:val="25"/>
          <w:szCs w:val="25"/>
        </w:rPr>
        <w:t xml:space="preserve"> </w:t>
      </w:r>
      <w:r>
        <w:rPr>
          <w:rFonts w:ascii="Times New Roman" w:hAnsi="Times New Roman" w:eastAsia="Times New Roman" w:cs="Times New Roman"/>
          <w:spacing w:val="1"/>
          <w:sz w:val="25"/>
          <w:szCs w:val="25"/>
        </w:rPr>
        <w:t>6-</w:t>
      </w:r>
      <w:r>
        <w:rPr>
          <w:rFonts w:ascii="Times New Roman" w:hAnsi="Times New Roman" w:eastAsia="Times New Roman" w:cs="Times New Roman"/>
          <w:spacing w:val="-32"/>
          <w:sz w:val="25"/>
          <w:szCs w:val="25"/>
        </w:rPr>
        <w:t xml:space="preserve"> </w:t>
      </w:r>
      <w:r>
        <w:rPr>
          <w:rFonts w:ascii="Times New Roman" w:hAnsi="Times New Roman" w:eastAsia="Times New Roman" w:cs="Times New Roman"/>
          <w:spacing w:val="1"/>
          <w:sz w:val="25"/>
          <w:szCs w:val="25"/>
        </w:rPr>
        <w:t>1</w:t>
      </w:r>
      <w:r>
        <w:rPr>
          <w:rFonts w:ascii="Times New Roman" w:hAnsi="Times New Roman" w:eastAsia="Times New Roman" w:cs="Times New Roman"/>
          <w:spacing w:val="17"/>
          <w:sz w:val="25"/>
          <w:szCs w:val="25"/>
        </w:rPr>
        <w:t xml:space="preserve">  </w:t>
      </w:r>
      <w:r>
        <w:rPr>
          <w:rFonts w:ascii="宋体" w:hAnsi="宋体" w:eastAsia="宋体" w:cs="宋体"/>
          <w:spacing w:val="1"/>
          <w:sz w:val="25"/>
          <w:szCs w:val="25"/>
        </w:rPr>
        <w:t>引用监测（大气环境）</w:t>
      </w:r>
    </w:p>
    <w:p w14:paraId="61DA72AC">
      <w:pPr>
        <w:spacing w:line="225" w:lineRule="auto"/>
        <w:rPr>
          <w:rFonts w:ascii="宋体" w:hAnsi="宋体" w:eastAsia="宋体" w:cs="宋体"/>
          <w:sz w:val="25"/>
          <w:szCs w:val="25"/>
        </w:rPr>
      </w:pPr>
      <w:r>
        <w:rPr>
          <w:rFonts w:ascii="宋体" w:hAnsi="宋体" w:eastAsia="宋体" w:cs="宋体"/>
          <w:spacing w:val="5"/>
          <w:sz w:val="25"/>
          <w:szCs w:val="25"/>
        </w:rPr>
        <w:t>附件</w:t>
      </w:r>
      <w:r>
        <w:rPr>
          <w:rFonts w:ascii="宋体" w:hAnsi="宋体" w:eastAsia="宋体" w:cs="宋体"/>
          <w:spacing w:val="-45"/>
          <w:sz w:val="25"/>
          <w:szCs w:val="25"/>
        </w:rPr>
        <w:t xml:space="preserve"> </w:t>
      </w:r>
      <w:r>
        <w:rPr>
          <w:rFonts w:ascii="Times New Roman" w:hAnsi="Times New Roman" w:eastAsia="Times New Roman" w:cs="Times New Roman"/>
          <w:spacing w:val="5"/>
          <w:sz w:val="25"/>
          <w:szCs w:val="25"/>
        </w:rPr>
        <w:t xml:space="preserve">6-2  </w:t>
      </w:r>
      <w:r>
        <w:rPr>
          <w:rFonts w:ascii="宋体" w:hAnsi="宋体" w:eastAsia="宋体" w:cs="宋体"/>
          <w:spacing w:val="5"/>
          <w:sz w:val="25"/>
          <w:szCs w:val="25"/>
        </w:rPr>
        <w:t>引用监测（地表水环境）</w:t>
      </w:r>
    </w:p>
    <w:p w14:paraId="2D298821">
      <w:pPr>
        <w:spacing w:before="156" w:line="341" w:lineRule="auto"/>
        <w:ind w:right="4094"/>
        <w:rPr>
          <w:rFonts w:ascii="宋体" w:hAnsi="宋体" w:eastAsia="宋体" w:cs="宋体"/>
          <w:sz w:val="25"/>
          <w:szCs w:val="25"/>
        </w:rPr>
      </w:pPr>
      <w:r>
        <w:rPr>
          <w:rFonts w:ascii="宋体" w:hAnsi="宋体" w:eastAsia="宋体" w:cs="宋体"/>
          <w:spacing w:val="6"/>
          <w:sz w:val="25"/>
          <w:szCs w:val="25"/>
        </w:rPr>
        <w:t>附件</w:t>
      </w:r>
      <w:r>
        <w:rPr>
          <w:rFonts w:ascii="宋体" w:hAnsi="宋体" w:eastAsia="宋体" w:cs="宋体"/>
          <w:spacing w:val="-32"/>
          <w:sz w:val="25"/>
          <w:szCs w:val="25"/>
        </w:rPr>
        <w:t xml:space="preserve"> </w:t>
      </w:r>
      <w:r>
        <w:rPr>
          <w:rFonts w:ascii="Times New Roman" w:hAnsi="Times New Roman" w:eastAsia="Times New Roman" w:cs="Times New Roman"/>
          <w:spacing w:val="6"/>
          <w:sz w:val="25"/>
          <w:szCs w:val="25"/>
        </w:rPr>
        <w:t xml:space="preserve">7  </w:t>
      </w:r>
      <w:r>
        <w:rPr>
          <w:rFonts w:ascii="宋体" w:hAnsi="宋体" w:eastAsia="宋体" w:cs="宋体"/>
          <w:spacing w:val="6"/>
          <w:sz w:val="25"/>
          <w:szCs w:val="25"/>
        </w:rPr>
        <w:t>原加油站（田坝加油站）工商手续</w:t>
      </w:r>
      <w:r>
        <w:rPr>
          <w:rFonts w:ascii="宋体" w:hAnsi="宋体" w:eastAsia="宋体" w:cs="宋体"/>
          <w:spacing w:val="4"/>
          <w:sz w:val="25"/>
          <w:szCs w:val="25"/>
        </w:rPr>
        <w:t>附件</w:t>
      </w:r>
      <w:r>
        <w:rPr>
          <w:rFonts w:ascii="宋体" w:hAnsi="宋体" w:eastAsia="宋体" w:cs="宋体"/>
          <w:spacing w:val="-36"/>
          <w:sz w:val="25"/>
          <w:szCs w:val="25"/>
        </w:rPr>
        <w:t xml:space="preserve"> </w:t>
      </w:r>
      <w:r>
        <w:rPr>
          <w:rFonts w:ascii="Times New Roman" w:hAnsi="Times New Roman" w:eastAsia="Times New Roman" w:cs="Times New Roman"/>
          <w:spacing w:val="4"/>
          <w:sz w:val="25"/>
          <w:szCs w:val="25"/>
        </w:rPr>
        <w:t xml:space="preserve">8  </w:t>
      </w:r>
      <w:r>
        <w:rPr>
          <w:rFonts w:ascii="宋体" w:hAnsi="宋体" w:eastAsia="宋体" w:cs="宋体"/>
          <w:spacing w:val="4"/>
          <w:sz w:val="25"/>
          <w:szCs w:val="25"/>
        </w:rPr>
        <w:t>三线一单检测报告</w:t>
      </w:r>
    </w:p>
    <w:p w14:paraId="4B0BDFBA">
      <w:pPr>
        <w:spacing w:line="341" w:lineRule="auto"/>
        <w:rPr>
          <w:rFonts w:ascii="宋体" w:hAnsi="宋体" w:eastAsia="宋体" w:cs="宋体"/>
          <w:sz w:val="25"/>
          <w:szCs w:val="25"/>
        </w:rPr>
        <w:sectPr>
          <w:footerReference r:id="rId109" w:type="default"/>
          <w:pgSz w:w="11906" w:h="16839"/>
          <w:pgMar w:top="400" w:right="1535" w:bottom="1032" w:left="1561" w:header="0" w:footer="690" w:gutter="0"/>
          <w:cols w:space="720" w:num="1"/>
        </w:sectPr>
      </w:pPr>
    </w:p>
    <w:p w14:paraId="5D187CEE">
      <w:pPr>
        <w:pStyle w:val="2"/>
        <w:spacing w:line="278" w:lineRule="auto"/>
        <w:rPr>
          <w:sz w:val="21"/>
        </w:rPr>
      </w:pPr>
    </w:p>
    <w:p w14:paraId="682D7620">
      <w:pPr>
        <w:pStyle w:val="2"/>
        <w:spacing w:line="278" w:lineRule="auto"/>
        <w:rPr>
          <w:sz w:val="21"/>
        </w:rPr>
      </w:pPr>
    </w:p>
    <w:p w14:paraId="6A3BA962">
      <w:pPr>
        <w:pStyle w:val="2"/>
        <w:spacing w:line="279" w:lineRule="auto"/>
        <w:rPr>
          <w:sz w:val="21"/>
        </w:rPr>
      </w:pPr>
    </w:p>
    <w:p w14:paraId="18983683">
      <w:pPr>
        <w:pStyle w:val="2"/>
        <w:spacing w:line="279" w:lineRule="auto"/>
        <w:rPr>
          <w:sz w:val="21"/>
        </w:rPr>
      </w:pPr>
    </w:p>
    <w:p w14:paraId="37E9CF3E">
      <w:pPr>
        <w:spacing w:line="10443" w:lineRule="exact"/>
        <w:ind w:firstLine="14"/>
      </w:pPr>
      <w:r>
        <w:rPr>
          <w:position w:val="-208"/>
        </w:rPr>
        <w:pict>
          <v:group id="_x0000_s1038" o:spid="_x0000_s1038" o:spt="203" style="height:522.15pt;width:413.9pt;" coordsize="8277,10443">
            <o:lock v:ext="edit"/>
            <v:shape id="_x0000_s1039" o:spid="_x0000_s1039" o:spt="75" type="#_x0000_t75" style="position:absolute;left:0;top:0;height:10443;width:8277;" filled="f" stroked="f" coordsize="21600,21600">
              <v:path/>
              <v:fill on="f" focussize="0,0"/>
              <v:stroke on="f"/>
              <v:imagedata r:id="rId149" o:title=""/>
              <o:lock v:ext="edit" aspectratio="t"/>
            </v:shape>
            <v:shape id="_x0000_s1040" o:spid="_x0000_s1040" o:spt="202" type="#_x0000_t202" style="position:absolute;left:5398;top:6569;height:248;width:1078;" filled="f" stroked="f" coordsize="21600,21600">
              <v:path/>
              <v:fill on="f" focussize="0,0"/>
              <v:stroke on="f"/>
              <v:imagedata o:title=""/>
              <o:lock v:ext="edit" aspectratio="f"/>
              <v:textbox inset="0mm,0mm,0mm,0mm">
                <w:txbxContent>
                  <w:p w14:paraId="48E78AAD">
                    <w:pPr>
                      <w:spacing w:before="20" w:line="228" w:lineRule="auto"/>
                      <w:ind w:left="20"/>
                      <w:rPr>
                        <w:rFonts w:ascii="宋体" w:hAnsi="宋体" w:eastAsia="宋体" w:cs="宋体"/>
                        <w:sz w:val="20"/>
                        <w:szCs w:val="20"/>
                      </w:rPr>
                    </w:pPr>
                    <w:r>
                      <w:rPr>
                        <w:rFonts w:ascii="宋体" w:hAnsi="宋体" w:eastAsia="宋体" w:cs="宋体"/>
                        <w:color w:val="FF0000"/>
                        <w:spacing w:val="7"/>
                        <w:sz w:val="20"/>
                        <w:szCs w:val="20"/>
                      </w:rPr>
                      <w:t>项目所在地</w:t>
                    </w:r>
                  </w:p>
                </w:txbxContent>
              </v:textbox>
            </v:shape>
            <w10:wrap type="none"/>
            <w10:anchorlock/>
          </v:group>
        </w:pict>
      </w:r>
    </w:p>
    <w:p w14:paraId="26BA8141">
      <w:pPr>
        <w:pStyle w:val="2"/>
        <w:spacing w:line="459" w:lineRule="auto"/>
        <w:rPr>
          <w:sz w:val="21"/>
        </w:rPr>
      </w:pPr>
    </w:p>
    <w:p w14:paraId="226C7364">
      <w:pPr>
        <w:spacing w:before="107" w:line="200" w:lineRule="auto"/>
        <w:ind w:left="2866"/>
        <w:rPr>
          <w:rFonts w:ascii="微软雅黑" w:hAnsi="微软雅黑" w:eastAsia="微软雅黑" w:cs="微软雅黑"/>
          <w:sz w:val="25"/>
          <w:szCs w:val="25"/>
        </w:rPr>
      </w:pPr>
      <w:r>
        <w:rPr>
          <w:rFonts w:ascii="微软雅黑" w:hAnsi="微软雅黑" w:eastAsia="微软雅黑" w:cs="微软雅黑"/>
          <w:sz w:val="25"/>
          <w:szCs w:val="25"/>
        </w:rPr>
        <w:t>附图 1  项目地理位置图</w:t>
      </w:r>
    </w:p>
    <w:sectPr>
      <w:footerReference r:id="rId110" w:type="default"/>
      <w:pgSz w:w="11906" w:h="16839"/>
      <w:pgMar w:top="400" w:right="1785" w:bottom="400" w:left="178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Gothic">
    <w:panose1 w:val="020B0609070205080204"/>
    <w:charset w:val="86"/>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58E2D">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0F424">
    <w:pPr>
      <w:spacing w:line="170" w:lineRule="auto"/>
      <w:ind w:right="26"/>
      <w:jc w:val="right"/>
      <w:rPr>
        <w:rFonts w:ascii="Times New Roman" w:hAnsi="Times New Roman" w:eastAsia="Times New Roman" w:cs="Times New Roman"/>
        <w:sz w:val="28"/>
        <w:szCs w:val="28"/>
      </w:rPr>
    </w:pPr>
    <w:r>
      <w:rPr>
        <w:rFonts w:ascii="Times New Roman" w:hAnsi="Times New Roman" w:eastAsia="Times New Roman" w:cs="Times New Roman"/>
        <w:spacing w:val="1"/>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1"/>
        <w:sz w:val="25"/>
        <w:szCs w:val="25"/>
      </w:rPr>
      <w:t>9</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1"/>
        <w:sz w:val="28"/>
        <w:szCs w:val="28"/>
      </w:rPr>
      <w:t>—</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262D2">
    <w:pPr>
      <w:spacing w:line="170" w:lineRule="auto"/>
      <w:jc w:val="right"/>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5"/>
        <w:w w:val="101"/>
        <w:sz w:val="28"/>
        <w:szCs w:val="28"/>
      </w:rPr>
      <w:t xml:space="preserve">  </w:t>
    </w:r>
    <w:r>
      <w:rPr>
        <w:rFonts w:ascii="Times New Roman" w:hAnsi="Times New Roman" w:eastAsia="Times New Roman" w:cs="Times New Roman"/>
        <w:spacing w:val="2"/>
        <w:sz w:val="25"/>
        <w:szCs w:val="25"/>
      </w:rPr>
      <w:t xml:space="preserve">99   </w:t>
    </w:r>
    <w:r>
      <w:rPr>
        <w:rFonts w:ascii="Times New Roman" w:hAnsi="Times New Roman" w:eastAsia="Times New Roman" w:cs="Times New Roman"/>
        <w:spacing w:val="2"/>
        <w:sz w:val="28"/>
        <w:szCs w:val="28"/>
      </w:rPr>
      <w:t>—</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43BE2">
    <w:pPr>
      <w:spacing w:line="170" w:lineRule="auto"/>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pacing w:val="-2"/>
        <w:sz w:val="25"/>
        <w:szCs w:val="25"/>
      </w:rPr>
      <w:t>100</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80EE7">
    <w:pPr>
      <w:spacing w:line="170" w:lineRule="auto"/>
      <w:ind w:right="23"/>
      <w:jc w:val="right"/>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pacing w:val="-2"/>
        <w:sz w:val="25"/>
        <w:szCs w:val="25"/>
      </w:rPr>
      <w:t>101</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176CC">
    <w:pPr>
      <w:spacing w:before="1" w:line="218" w:lineRule="auto"/>
      <w:ind w:left="197"/>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102</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52C04">
    <w:pPr>
      <w:spacing w:before="1" w:line="218" w:lineRule="auto"/>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1"/>
        <w:sz w:val="28"/>
        <w:szCs w:val="28"/>
      </w:rPr>
      <w:t xml:space="preserve"> </w:t>
    </w:r>
    <w:r>
      <w:rPr>
        <w:rFonts w:ascii="宋体" w:hAnsi="宋体" w:eastAsia="宋体" w:cs="宋体"/>
        <w:spacing w:val="-7"/>
        <w:sz w:val="25"/>
        <w:szCs w:val="25"/>
      </w:rPr>
      <w:t>103</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58E2D">
    <w:pPr>
      <w:spacing w:line="14" w:lineRule="auto"/>
      <w:rPr>
        <w:rFonts w:ascii="Arial"/>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D79F">
    <w:pPr>
      <w:spacing w:line="170" w:lineRule="auto"/>
      <w:ind w:left="20"/>
      <w:rPr>
        <w:rFonts w:ascii="Times New Roman" w:hAnsi="Times New Roman" w:eastAsia="Times New Roman" w:cs="Times New Roman"/>
        <w:sz w:val="28"/>
        <w:szCs w:val="28"/>
      </w:rPr>
    </w:pPr>
    <w:r>
      <w:rPr>
        <w:rFonts w:ascii="Times New Roman" w:hAnsi="Times New Roman" w:eastAsia="Times New Roman" w:cs="Times New Roman"/>
        <w:spacing w:val="-3"/>
        <w:sz w:val="28"/>
        <w:szCs w:val="28"/>
      </w:rPr>
      <w:t>—</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pacing w:val="-3"/>
        <w:sz w:val="25"/>
        <w:szCs w:val="25"/>
      </w:rPr>
      <w:t>10</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3"/>
        <w:sz w:val="28"/>
        <w:szCs w:val="2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F3514">
    <w:pPr>
      <w:spacing w:line="185" w:lineRule="auto"/>
      <w:ind w:right="26"/>
      <w:jc w:val="right"/>
      <w:rPr>
        <w:rFonts w:ascii="Times New Roman" w:hAnsi="Times New Roman" w:eastAsia="Times New Roman" w:cs="Times New Roman"/>
        <w:sz w:val="25"/>
        <w:szCs w:val="25"/>
      </w:rPr>
    </w:pPr>
    <w:r>
      <w:rPr>
        <w:rFonts w:ascii="Times New Roman" w:hAnsi="Times New Roman" w:eastAsia="Times New Roman" w:cs="Times New Roman"/>
        <w:spacing w:val="10"/>
        <w:sz w:val="25"/>
        <w:szCs w:val="25"/>
      </w:rPr>
      <w:t>—</w:t>
    </w:r>
    <w:r>
      <w:rPr>
        <w:rFonts w:ascii="Times New Roman" w:hAnsi="Times New Roman" w:eastAsia="Times New Roman" w:cs="Times New Roman"/>
        <w:spacing w:val="13"/>
        <w:sz w:val="25"/>
        <w:szCs w:val="25"/>
      </w:rPr>
      <w:t xml:space="preserve">   </w:t>
    </w:r>
    <w:r>
      <w:rPr>
        <w:rFonts w:ascii="Times New Roman" w:hAnsi="Times New Roman" w:eastAsia="Times New Roman" w:cs="Times New Roman"/>
        <w:spacing w:val="10"/>
        <w:sz w:val="25"/>
        <w:szCs w:val="25"/>
      </w:rPr>
      <w:t>11</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10"/>
        <w:sz w:val="25"/>
        <w:szCs w:val="25"/>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649C3">
    <w:pPr>
      <w:spacing w:line="185" w:lineRule="auto"/>
      <w:ind w:left="20"/>
      <w:rPr>
        <w:rFonts w:ascii="Times New Roman" w:hAnsi="Times New Roman" w:eastAsia="Times New Roman" w:cs="Times New Roman"/>
        <w:sz w:val="25"/>
        <w:szCs w:val="25"/>
      </w:rPr>
    </w:pPr>
    <w:r>
      <w:rPr>
        <w:rFonts w:ascii="Times New Roman" w:hAnsi="Times New Roman" w:eastAsia="Times New Roman" w:cs="Times New Roman"/>
        <w:spacing w:val="12"/>
        <w:sz w:val="25"/>
        <w:szCs w:val="25"/>
      </w:rPr>
      <w:t>—</w:t>
    </w:r>
    <w:r>
      <w:rPr>
        <w:rFonts w:ascii="Times New Roman" w:hAnsi="Times New Roman" w:eastAsia="Times New Roman" w:cs="Times New Roman"/>
        <w:spacing w:val="13"/>
        <w:sz w:val="25"/>
        <w:szCs w:val="25"/>
      </w:rPr>
      <w:t xml:space="preserve">   </w:t>
    </w:r>
    <w:r>
      <w:rPr>
        <w:rFonts w:ascii="Times New Roman" w:hAnsi="Times New Roman" w:eastAsia="Times New Roman" w:cs="Times New Roman"/>
        <w:spacing w:val="12"/>
        <w:sz w:val="25"/>
        <w:szCs w:val="25"/>
      </w:rPr>
      <w:t>12</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12"/>
        <w:sz w:val="25"/>
        <w:szCs w:val="25"/>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C26F7">
    <w:pPr>
      <w:spacing w:line="170" w:lineRule="auto"/>
      <w:ind w:right="26"/>
      <w:jc w:val="right"/>
      <w:rPr>
        <w:rFonts w:ascii="Times New Roman" w:hAnsi="Times New Roman" w:eastAsia="Times New Roman" w:cs="Times New Roman"/>
        <w:sz w:val="28"/>
        <w:szCs w:val="28"/>
      </w:rPr>
    </w:pPr>
    <w:r>
      <w:rPr>
        <w:rFonts w:ascii="Times New Roman" w:hAnsi="Times New Roman" w:eastAsia="Times New Roman" w:cs="Times New Roman"/>
        <w:spacing w:val="-3"/>
        <w:sz w:val="28"/>
        <w:szCs w:val="28"/>
      </w:rPr>
      <w:t>—</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pacing w:val="-3"/>
        <w:sz w:val="25"/>
        <w:szCs w:val="25"/>
      </w:rPr>
      <w:t>13</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3"/>
        <w:sz w:val="28"/>
        <w:szCs w:val="28"/>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74500">
    <w:pPr>
      <w:spacing w:line="185" w:lineRule="auto"/>
      <w:ind w:left="20"/>
      <w:rPr>
        <w:rFonts w:ascii="Times New Roman" w:hAnsi="Times New Roman" w:eastAsia="Times New Roman" w:cs="Times New Roman"/>
        <w:sz w:val="25"/>
        <w:szCs w:val="25"/>
      </w:rPr>
    </w:pPr>
    <w:r>
      <w:rPr>
        <w:rFonts w:ascii="Times New Roman" w:hAnsi="Times New Roman" w:eastAsia="Times New Roman" w:cs="Times New Roman"/>
        <w:spacing w:val="12"/>
        <w:sz w:val="25"/>
        <w:szCs w:val="25"/>
      </w:rPr>
      <w:t>—</w:t>
    </w:r>
    <w:r>
      <w:rPr>
        <w:rFonts w:ascii="Times New Roman" w:hAnsi="Times New Roman" w:eastAsia="Times New Roman" w:cs="Times New Roman"/>
        <w:spacing w:val="13"/>
        <w:sz w:val="25"/>
        <w:szCs w:val="25"/>
      </w:rPr>
      <w:t xml:space="preserve">   </w:t>
    </w:r>
    <w:r>
      <w:rPr>
        <w:rFonts w:ascii="Times New Roman" w:hAnsi="Times New Roman" w:eastAsia="Times New Roman" w:cs="Times New Roman"/>
        <w:spacing w:val="12"/>
        <w:sz w:val="25"/>
        <w:szCs w:val="25"/>
      </w:rPr>
      <w:t>14</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12"/>
        <w:sz w:val="25"/>
        <w:szCs w:val="25"/>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62567">
    <w:pPr>
      <w:spacing w:line="170" w:lineRule="auto"/>
      <w:ind w:right="26"/>
      <w:jc w:val="right"/>
      <w:rPr>
        <w:rFonts w:ascii="Times New Roman" w:hAnsi="Times New Roman" w:eastAsia="Times New Roman" w:cs="Times New Roman"/>
        <w:sz w:val="28"/>
        <w:szCs w:val="28"/>
      </w:rPr>
    </w:pPr>
    <w:r>
      <w:rPr>
        <w:rFonts w:ascii="Times New Roman" w:hAnsi="Times New Roman" w:eastAsia="Times New Roman" w:cs="Times New Roman"/>
        <w:spacing w:val="-3"/>
        <w:sz w:val="28"/>
        <w:szCs w:val="28"/>
      </w:rPr>
      <w:t>—</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pacing w:val="-3"/>
        <w:sz w:val="25"/>
        <w:szCs w:val="25"/>
      </w:rPr>
      <w:t>15</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3"/>
        <w:sz w:val="28"/>
        <w:szCs w:val="28"/>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E729A">
    <w:pPr>
      <w:spacing w:line="170" w:lineRule="auto"/>
      <w:ind w:left="20"/>
      <w:rPr>
        <w:rFonts w:ascii="Times New Roman" w:hAnsi="Times New Roman" w:eastAsia="Times New Roman" w:cs="Times New Roman"/>
        <w:sz w:val="28"/>
        <w:szCs w:val="28"/>
      </w:rPr>
    </w:pPr>
    <w:r>
      <w:rPr>
        <w:rFonts w:ascii="Times New Roman" w:hAnsi="Times New Roman" w:eastAsia="Times New Roman" w:cs="Times New Roman"/>
        <w:spacing w:val="-3"/>
        <w:sz w:val="28"/>
        <w:szCs w:val="28"/>
      </w:rPr>
      <w:t>—</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pacing w:val="-3"/>
        <w:sz w:val="25"/>
        <w:szCs w:val="25"/>
      </w:rPr>
      <w:t>16</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3"/>
        <w:sz w:val="28"/>
        <w:szCs w:val="28"/>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00485">
    <w:pPr>
      <w:spacing w:line="170" w:lineRule="auto"/>
      <w:ind w:left="12319"/>
      <w:rPr>
        <w:rFonts w:ascii="Times New Roman" w:hAnsi="Times New Roman" w:eastAsia="Times New Roman" w:cs="Times New Roman"/>
        <w:sz w:val="28"/>
        <w:szCs w:val="28"/>
      </w:rPr>
    </w:pPr>
    <w:r>
      <w:rPr>
        <w:rFonts w:ascii="Times New Roman" w:hAnsi="Times New Roman" w:eastAsia="Times New Roman" w:cs="Times New Roman"/>
        <w:spacing w:val="-3"/>
        <w:sz w:val="28"/>
        <w:szCs w:val="28"/>
      </w:rPr>
      <w:t>—</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pacing w:val="-3"/>
        <w:sz w:val="25"/>
        <w:szCs w:val="25"/>
      </w:rPr>
      <w:t>17</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3"/>
        <w:sz w:val="28"/>
        <w:szCs w:val="28"/>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63B18">
    <w:pPr>
      <w:spacing w:line="170" w:lineRule="auto"/>
      <w:ind w:left="111"/>
      <w:rPr>
        <w:rFonts w:ascii="Times New Roman" w:hAnsi="Times New Roman" w:eastAsia="Times New Roman" w:cs="Times New Roman"/>
        <w:sz w:val="28"/>
        <w:szCs w:val="28"/>
      </w:rPr>
    </w:pPr>
    <w:r>
      <w:rPr>
        <w:rFonts w:ascii="Times New Roman" w:hAnsi="Times New Roman" w:eastAsia="Times New Roman" w:cs="Times New Roman"/>
        <w:spacing w:val="-3"/>
        <w:sz w:val="28"/>
        <w:szCs w:val="28"/>
      </w:rPr>
      <w:t>—</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pacing w:val="-3"/>
        <w:sz w:val="25"/>
        <w:szCs w:val="25"/>
      </w:rPr>
      <w:t>18</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3"/>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23F89">
    <w:pPr>
      <w:spacing w:line="185" w:lineRule="auto"/>
      <w:ind w:right="26"/>
      <w:jc w:val="right"/>
      <w:rPr>
        <w:rFonts w:ascii="Times New Roman" w:hAnsi="Times New Roman" w:eastAsia="Times New Roman" w:cs="Times New Roman"/>
        <w:sz w:val="25"/>
        <w:szCs w:val="25"/>
      </w:rPr>
    </w:pPr>
    <w:r>
      <w:rPr>
        <w:rFonts w:ascii="Times New Roman" w:hAnsi="Times New Roman" w:eastAsia="Times New Roman" w:cs="Times New Roman"/>
        <w:spacing w:val="15"/>
        <w:sz w:val="25"/>
        <w:szCs w:val="25"/>
      </w:rPr>
      <w:t>—</w:t>
    </w:r>
    <w:r>
      <w:rPr>
        <w:rFonts w:ascii="Times New Roman" w:hAnsi="Times New Roman" w:eastAsia="Times New Roman" w:cs="Times New Roman"/>
        <w:spacing w:val="13"/>
        <w:sz w:val="25"/>
        <w:szCs w:val="25"/>
      </w:rPr>
      <w:t xml:space="preserve">   </w:t>
    </w:r>
    <w:r>
      <w:rPr>
        <w:rFonts w:ascii="Times New Roman" w:hAnsi="Times New Roman" w:eastAsia="Times New Roman" w:cs="Times New Roman"/>
        <w:spacing w:val="15"/>
        <w:sz w:val="25"/>
        <w:szCs w:val="25"/>
      </w:rPr>
      <w:t>1</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15"/>
        <w:sz w:val="25"/>
        <w:szCs w:val="25"/>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F720D">
    <w:pPr>
      <w:spacing w:line="170" w:lineRule="auto"/>
      <w:ind w:left="12319"/>
      <w:rPr>
        <w:rFonts w:ascii="Times New Roman" w:hAnsi="Times New Roman" w:eastAsia="Times New Roman" w:cs="Times New Roman"/>
        <w:sz w:val="28"/>
        <w:szCs w:val="28"/>
      </w:rPr>
    </w:pPr>
    <w:r>
      <w:rPr>
        <w:rFonts w:ascii="Times New Roman" w:hAnsi="Times New Roman" w:eastAsia="Times New Roman" w:cs="Times New Roman"/>
        <w:spacing w:val="-3"/>
        <w:sz w:val="28"/>
        <w:szCs w:val="28"/>
      </w:rPr>
      <w:t>—</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pacing w:val="-3"/>
        <w:sz w:val="25"/>
        <w:szCs w:val="25"/>
      </w:rPr>
      <w:t>19</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3"/>
        <w:sz w:val="28"/>
        <w:szCs w:val="28"/>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F101C">
    <w:pPr>
      <w:spacing w:line="170" w:lineRule="auto"/>
      <w:ind w:left="111"/>
      <w:rPr>
        <w:rFonts w:ascii="Times New Roman" w:hAnsi="Times New Roman" w:eastAsia="Times New Roman" w:cs="Times New Roman"/>
        <w:sz w:val="28"/>
        <w:szCs w:val="28"/>
      </w:rPr>
    </w:pPr>
    <w:r>
      <w:rPr>
        <w:rFonts w:ascii="Times New Roman" w:hAnsi="Times New Roman" w:eastAsia="Times New Roman" w:cs="Times New Roman"/>
        <w:spacing w:val="3"/>
        <w:sz w:val="28"/>
        <w:szCs w:val="28"/>
      </w:rPr>
      <w:t>—</w:t>
    </w:r>
    <w:r>
      <w:rPr>
        <w:rFonts w:ascii="Times New Roman" w:hAnsi="Times New Roman" w:eastAsia="Times New Roman" w:cs="Times New Roman"/>
        <w:spacing w:val="32"/>
        <w:sz w:val="28"/>
        <w:szCs w:val="28"/>
      </w:rPr>
      <w:t xml:space="preserve">  </w:t>
    </w:r>
    <w:r>
      <w:rPr>
        <w:rFonts w:ascii="Times New Roman" w:hAnsi="Times New Roman" w:eastAsia="Times New Roman" w:cs="Times New Roman"/>
        <w:spacing w:val="3"/>
        <w:sz w:val="25"/>
        <w:szCs w:val="25"/>
      </w:rPr>
      <w:t xml:space="preserve">20   </w:t>
    </w:r>
    <w:r>
      <w:rPr>
        <w:rFonts w:ascii="Times New Roman" w:hAnsi="Times New Roman" w:eastAsia="Times New Roman" w:cs="Times New Roman"/>
        <w:spacing w:val="3"/>
        <w:sz w:val="28"/>
        <w:szCs w:val="28"/>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E5DA6">
    <w:pPr>
      <w:spacing w:line="185" w:lineRule="auto"/>
      <w:ind w:left="12319"/>
      <w:rPr>
        <w:rFonts w:ascii="Times New Roman" w:hAnsi="Times New Roman" w:eastAsia="Times New Roman" w:cs="Times New Roman"/>
        <w:sz w:val="25"/>
        <w:szCs w:val="25"/>
      </w:rPr>
    </w:pPr>
    <w:r>
      <w:rPr>
        <w:rFonts w:ascii="Times New Roman" w:hAnsi="Times New Roman" w:eastAsia="Times New Roman" w:cs="Times New Roman"/>
        <w:spacing w:val="18"/>
        <w:sz w:val="25"/>
        <w:szCs w:val="25"/>
      </w:rPr>
      <w:t>—</w:t>
    </w:r>
    <w:r>
      <w:rPr>
        <w:rFonts w:ascii="Times New Roman" w:hAnsi="Times New Roman" w:eastAsia="Times New Roman" w:cs="Times New Roman"/>
        <w:spacing w:val="5"/>
        <w:sz w:val="25"/>
        <w:szCs w:val="25"/>
      </w:rPr>
      <w:t xml:space="preserve">   </w:t>
    </w:r>
    <w:r>
      <w:rPr>
        <w:rFonts w:ascii="Times New Roman" w:hAnsi="Times New Roman" w:eastAsia="Times New Roman" w:cs="Times New Roman"/>
        <w:spacing w:val="18"/>
        <w:sz w:val="25"/>
        <w:szCs w:val="25"/>
      </w:rPr>
      <w:t>21</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18"/>
        <w:sz w:val="25"/>
        <w:szCs w:val="25"/>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FE1C7">
    <w:pPr>
      <w:spacing w:line="185" w:lineRule="auto"/>
      <w:ind w:left="111"/>
      <w:rPr>
        <w:rFonts w:ascii="Times New Roman" w:hAnsi="Times New Roman" w:eastAsia="Times New Roman" w:cs="Times New Roman"/>
        <w:sz w:val="25"/>
        <w:szCs w:val="25"/>
      </w:rPr>
    </w:pPr>
    <w:r>
      <w:rPr>
        <w:rFonts w:ascii="Times New Roman" w:hAnsi="Times New Roman" w:eastAsia="Times New Roman" w:cs="Times New Roman"/>
        <w:spacing w:val="18"/>
        <w:sz w:val="25"/>
        <w:szCs w:val="25"/>
      </w:rPr>
      <w:t>—</w:t>
    </w:r>
    <w:r>
      <w:rPr>
        <w:rFonts w:ascii="Times New Roman" w:hAnsi="Times New Roman" w:eastAsia="Times New Roman" w:cs="Times New Roman"/>
        <w:spacing w:val="5"/>
        <w:sz w:val="25"/>
        <w:szCs w:val="25"/>
      </w:rPr>
      <w:t xml:space="preserve">   </w:t>
    </w:r>
    <w:r>
      <w:rPr>
        <w:rFonts w:ascii="Times New Roman" w:hAnsi="Times New Roman" w:eastAsia="Times New Roman" w:cs="Times New Roman"/>
        <w:spacing w:val="18"/>
        <w:sz w:val="25"/>
        <w:szCs w:val="25"/>
      </w:rPr>
      <w:t>22</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18"/>
        <w:sz w:val="25"/>
        <w:szCs w:val="25"/>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136B5">
    <w:pPr>
      <w:spacing w:line="170" w:lineRule="auto"/>
      <w:ind w:left="12319"/>
      <w:rPr>
        <w:rFonts w:ascii="Times New Roman" w:hAnsi="Times New Roman" w:eastAsia="Times New Roman" w:cs="Times New Roman"/>
        <w:sz w:val="28"/>
        <w:szCs w:val="28"/>
      </w:rPr>
    </w:pPr>
    <w:r>
      <w:rPr>
        <w:rFonts w:ascii="Times New Roman" w:hAnsi="Times New Roman" w:eastAsia="Times New Roman" w:cs="Times New Roman"/>
        <w:spacing w:val="3"/>
        <w:sz w:val="28"/>
        <w:szCs w:val="28"/>
      </w:rPr>
      <w:t>—</w:t>
    </w:r>
    <w:r>
      <w:rPr>
        <w:rFonts w:ascii="Times New Roman" w:hAnsi="Times New Roman" w:eastAsia="Times New Roman" w:cs="Times New Roman"/>
        <w:spacing w:val="32"/>
        <w:sz w:val="28"/>
        <w:szCs w:val="28"/>
      </w:rPr>
      <w:t xml:space="preserve">  </w:t>
    </w:r>
    <w:r>
      <w:rPr>
        <w:rFonts w:ascii="Times New Roman" w:hAnsi="Times New Roman" w:eastAsia="Times New Roman" w:cs="Times New Roman"/>
        <w:spacing w:val="3"/>
        <w:sz w:val="25"/>
        <w:szCs w:val="25"/>
      </w:rPr>
      <w:t xml:space="preserve">23   </w:t>
    </w:r>
    <w:r>
      <w:rPr>
        <w:rFonts w:ascii="Times New Roman" w:hAnsi="Times New Roman" w:eastAsia="Times New Roman" w:cs="Times New Roman"/>
        <w:spacing w:val="3"/>
        <w:sz w:val="28"/>
        <w:szCs w:val="28"/>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027D1">
    <w:pPr>
      <w:spacing w:line="185" w:lineRule="auto"/>
      <w:ind w:left="20"/>
      <w:rPr>
        <w:rFonts w:ascii="Times New Roman" w:hAnsi="Times New Roman" w:eastAsia="Times New Roman" w:cs="Times New Roman"/>
        <w:sz w:val="25"/>
        <w:szCs w:val="25"/>
      </w:rPr>
    </w:pPr>
    <w:r>
      <w:rPr>
        <w:rFonts w:ascii="Times New Roman" w:hAnsi="Times New Roman" w:eastAsia="Times New Roman" w:cs="Times New Roman"/>
        <w:spacing w:val="18"/>
        <w:sz w:val="25"/>
        <w:szCs w:val="25"/>
      </w:rPr>
      <w:t>—</w:t>
    </w:r>
    <w:r>
      <w:rPr>
        <w:rFonts w:ascii="Times New Roman" w:hAnsi="Times New Roman" w:eastAsia="Times New Roman" w:cs="Times New Roman"/>
        <w:spacing w:val="5"/>
        <w:sz w:val="25"/>
        <w:szCs w:val="25"/>
      </w:rPr>
      <w:t xml:space="preserve">   </w:t>
    </w:r>
    <w:r>
      <w:rPr>
        <w:rFonts w:ascii="Times New Roman" w:hAnsi="Times New Roman" w:eastAsia="Times New Roman" w:cs="Times New Roman"/>
        <w:spacing w:val="18"/>
        <w:sz w:val="25"/>
        <w:szCs w:val="25"/>
      </w:rPr>
      <w:t>24</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18"/>
        <w:sz w:val="25"/>
        <w:szCs w:val="25"/>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90DFD">
    <w:pPr>
      <w:spacing w:line="170" w:lineRule="auto"/>
      <w:ind w:right="26"/>
      <w:jc w:val="right"/>
      <w:rPr>
        <w:rFonts w:ascii="Times New Roman" w:hAnsi="Times New Roman" w:eastAsia="Times New Roman" w:cs="Times New Roman"/>
        <w:sz w:val="28"/>
        <w:szCs w:val="28"/>
      </w:rPr>
    </w:pPr>
    <w:r>
      <w:rPr>
        <w:rFonts w:ascii="Times New Roman" w:hAnsi="Times New Roman" w:eastAsia="Times New Roman" w:cs="Times New Roman"/>
        <w:spacing w:val="3"/>
        <w:sz w:val="28"/>
        <w:szCs w:val="28"/>
      </w:rPr>
      <w:t>—</w:t>
    </w:r>
    <w:r>
      <w:rPr>
        <w:rFonts w:ascii="Times New Roman" w:hAnsi="Times New Roman" w:eastAsia="Times New Roman" w:cs="Times New Roman"/>
        <w:spacing w:val="32"/>
        <w:sz w:val="28"/>
        <w:szCs w:val="28"/>
      </w:rPr>
      <w:t xml:space="preserve">  </w:t>
    </w:r>
    <w:r>
      <w:rPr>
        <w:rFonts w:ascii="Times New Roman" w:hAnsi="Times New Roman" w:eastAsia="Times New Roman" w:cs="Times New Roman"/>
        <w:spacing w:val="3"/>
        <w:sz w:val="25"/>
        <w:szCs w:val="25"/>
      </w:rPr>
      <w:t xml:space="preserve">25   </w:t>
    </w:r>
    <w:r>
      <w:rPr>
        <w:rFonts w:ascii="Times New Roman" w:hAnsi="Times New Roman" w:eastAsia="Times New Roman" w:cs="Times New Roman"/>
        <w:spacing w:val="3"/>
        <w:sz w:val="28"/>
        <w:szCs w:val="28"/>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2C3ED">
    <w:pPr>
      <w:spacing w:line="170" w:lineRule="auto"/>
      <w:ind w:left="20"/>
      <w:rPr>
        <w:rFonts w:ascii="Times New Roman" w:hAnsi="Times New Roman" w:eastAsia="Times New Roman" w:cs="Times New Roman"/>
        <w:sz w:val="28"/>
        <w:szCs w:val="28"/>
      </w:rPr>
    </w:pPr>
    <w:r>
      <w:rPr>
        <w:rFonts w:ascii="Times New Roman" w:hAnsi="Times New Roman" w:eastAsia="Times New Roman" w:cs="Times New Roman"/>
        <w:spacing w:val="3"/>
        <w:sz w:val="28"/>
        <w:szCs w:val="28"/>
      </w:rPr>
      <w:t>—</w:t>
    </w:r>
    <w:r>
      <w:rPr>
        <w:rFonts w:ascii="Times New Roman" w:hAnsi="Times New Roman" w:eastAsia="Times New Roman" w:cs="Times New Roman"/>
        <w:spacing w:val="33"/>
        <w:sz w:val="28"/>
        <w:szCs w:val="28"/>
      </w:rPr>
      <w:t xml:space="preserve">  </w:t>
    </w:r>
    <w:r>
      <w:rPr>
        <w:rFonts w:ascii="Times New Roman" w:hAnsi="Times New Roman" w:eastAsia="Times New Roman" w:cs="Times New Roman"/>
        <w:spacing w:val="3"/>
        <w:sz w:val="25"/>
        <w:szCs w:val="25"/>
      </w:rPr>
      <w:t xml:space="preserve">26   </w:t>
    </w:r>
    <w:r>
      <w:rPr>
        <w:rFonts w:ascii="Times New Roman" w:hAnsi="Times New Roman" w:eastAsia="Times New Roman" w:cs="Times New Roman"/>
        <w:spacing w:val="3"/>
        <w:sz w:val="28"/>
        <w:szCs w:val="28"/>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8D60C">
    <w:pPr>
      <w:spacing w:line="170" w:lineRule="auto"/>
      <w:ind w:left="7695"/>
      <w:rPr>
        <w:rFonts w:ascii="Times New Roman" w:hAnsi="Times New Roman" w:eastAsia="Times New Roman" w:cs="Times New Roman"/>
        <w:sz w:val="28"/>
        <w:szCs w:val="28"/>
      </w:rPr>
    </w:pPr>
    <w:r>
      <w:rPr>
        <w:rFonts w:ascii="Times New Roman" w:hAnsi="Times New Roman" w:eastAsia="Times New Roman" w:cs="Times New Roman"/>
        <w:spacing w:val="3"/>
        <w:sz w:val="28"/>
        <w:szCs w:val="28"/>
      </w:rPr>
      <w:t>—</w:t>
    </w:r>
    <w:r>
      <w:rPr>
        <w:rFonts w:ascii="Times New Roman" w:hAnsi="Times New Roman" w:eastAsia="Times New Roman" w:cs="Times New Roman"/>
        <w:spacing w:val="32"/>
        <w:sz w:val="28"/>
        <w:szCs w:val="28"/>
      </w:rPr>
      <w:t xml:space="preserve">  </w:t>
    </w:r>
    <w:r>
      <w:rPr>
        <w:rFonts w:ascii="Times New Roman" w:hAnsi="Times New Roman" w:eastAsia="Times New Roman" w:cs="Times New Roman"/>
        <w:spacing w:val="3"/>
        <w:sz w:val="25"/>
        <w:szCs w:val="25"/>
      </w:rPr>
      <w:t xml:space="preserve">27   </w:t>
    </w:r>
    <w:r>
      <w:rPr>
        <w:rFonts w:ascii="Times New Roman" w:hAnsi="Times New Roman" w:eastAsia="Times New Roman" w:cs="Times New Roman"/>
        <w:spacing w:val="3"/>
        <w:sz w:val="28"/>
        <w:szCs w:val="28"/>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7F4F2">
    <w:pPr>
      <w:spacing w:line="170" w:lineRule="auto"/>
      <w:ind w:left="77"/>
      <w:rPr>
        <w:rFonts w:ascii="Times New Roman" w:hAnsi="Times New Roman" w:eastAsia="Times New Roman" w:cs="Times New Roman"/>
        <w:sz w:val="28"/>
        <w:szCs w:val="28"/>
      </w:rPr>
    </w:pPr>
    <w:r>
      <w:rPr>
        <w:rFonts w:ascii="Times New Roman" w:hAnsi="Times New Roman" w:eastAsia="Times New Roman" w:cs="Times New Roman"/>
        <w:spacing w:val="3"/>
        <w:sz w:val="28"/>
        <w:szCs w:val="28"/>
      </w:rPr>
      <w:t>—</w:t>
    </w:r>
    <w:r>
      <w:rPr>
        <w:rFonts w:ascii="Times New Roman" w:hAnsi="Times New Roman" w:eastAsia="Times New Roman" w:cs="Times New Roman"/>
        <w:spacing w:val="33"/>
        <w:sz w:val="28"/>
        <w:szCs w:val="28"/>
      </w:rPr>
      <w:t xml:space="preserve">  </w:t>
    </w:r>
    <w:r>
      <w:rPr>
        <w:rFonts w:ascii="Times New Roman" w:hAnsi="Times New Roman" w:eastAsia="Times New Roman" w:cs="Times New Roman"/>
        <w:spacing w:val="3"/>
        <w:sz w:val="25"/>
        <w:szCs w:val="25"/>
      </w:rPr>
      <w:t xml:space="preserve">28   </w:t>
    </w:r>
    <w:r>
      <w:rPr>
        <w:rFonts w:ascii="Times New Roman" w:hAnsi="Times New Roman" w:eastAsia="Times New Roman" w:cs="Times New Roman"/>
        <w:spacing w:val="3"/>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B5925">
    <w:pPr>
      <w:spacing w:line="185" w:lineRule="auto"/>
      <w:ind w:left="20"/>
      <w:rPr>
        <w:rFonts w:ascii="Times New Roman" w:hAnsi="Times New Roman" w:eastAsia="Times New Roman" w:cs="Times New Roman"/>
        <w:sz w:val="25"/>
        <w:szCs w:val="25"/>
      </w:rPr>
    </w:pPr>
    <w:r>
      <w:rPr>
        <w:rFonts w:ascii="Times New Roman" w:hAnsi="Times New Roman" w:eastAsia="Times New Roman" w:cs="Times New Roman"/>
        <w:spacing w:val="23"/>
        <w:sz w:val="25"/>
        <w:szCs w:val="25"/>
      </w:rPr>
      <w:t>—</w:t>
    </w:r>
    <w:r>
      <w:rPr>
        <w:rFonts w:ascii="Times New Roman" w:hAnsi="Times New Roman" w:eastAsia="Times New Roman" w:cs="Times New Roman"/>
        <w:spacing w:val="5"/>
        <w:sz w:val="25"/>
        <w:szCs w:val="25"/>
      </w:rPr>
      <w:t xml:space="preserve">   </w:t>
    </w:r>
    <w:r>
      <w:rPr>
        <w:rFonts w:ascii="Times New Roman" w:hAnsi="Times New Roman" w:eastAsia="Times New Roman" w:cs="Times New Roman"/>
        <w:spacing w:val="23"/>
        <w:sz w:val="25"/>
        <w:szCs w:val="25"/>
      </w:rPr>
      <w:t>2</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23"/>
        <w:sz w:val="25"/>
        <w:szCs w:val="25"/>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05891">
    <w:pPr>
      <w:spacing w:line="170" w:lineRule="auto"/>
      <w:ind w:left="7695"/>
      <w:rPr>
        <w:rFonts w:ascii="Times New Roman" w:hAnsi="Times New Roman" w:eastAsia="Times New Roman" w:cs="Times New Roman"/>
        <w:sz w:val="28"/>
        <w:szCs w:val="28"/>
      </w:rPr>
    </w:pPr>
    <w:r>
      <w:rPr>
        <w:rFonts w:ascii="Times New Roman" w:hAnsi="Times New Roman" w:eastAsia="Times New Roman" w:cs="Times New Roman"/>
        <w:spacing w:val="3"/>
        <w:sz w:val="28"/>
        <w:szCs w:val="28"/>
      </w:rPr>
      <w:t>—</w:t>
    </w:r>
    <w:r>
      <w:rPr>
        <w:rFonts w:ascii="Times New Roman" w:hAnsi="Times New Roman" w:eastAsia="Times New Roman" w:cs="Times New Roman"/>
        <w:spacing w:val="32"/>
        <w:sz w:val="28"/>
        <w:szCs w:val="28"/>
      </w:rPr>
      <w:t xml:space="preserve">  </w:t>
    </w:r>
    <w:r>
      <w:rPr>
        <w:rFonts w:ascii="Times New Roman" w:hAnsi="Times New Roman" w:eastAsia="Times New Roman" w:cs="Times New Roman"/>
        <w:spacing w:val="3"/>
        <w:sz w:val="25"/>
        <w:szCs w:val="25"/>
      </w:rPr>
      <w:t xml:space="preserve">29   </w:t>
    </w:r>
    <w:r>
      <w:rPr>
        <w:rFonts w:ascii="Times New Roman" w:hAnsi="Times New Roman" w:eastAsia="Times New Roman" w:cs="Times New Roman"/>
        <w:spacing w:val="3"/>
        <w:sz w:val="28"/>
        <w:szCs w:val="28"/>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21A81">
    <w:pPr>
      <w:spacing w:line="170" w:lineRule="auto"/>
      <w:ind w:left="77"/>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30</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D164A">
    <w:pPr>
      <w:spacing w:line="170" w:lineRule="auto"/>
      <w:ind w:left="7695"/>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5"/>
        <w:w w:val="101"/>
        <w:sz w:val="28"/>
        <w:szCs w:val="28"/>
      </w:rPr>
      <w:t xml:space="preserve">  </w:t>
    </w:r>
    <w:r>
      <w:rPr>
        <w:rFonts w:ascii="Times New Roman" w:hAnsi="Times New Roman" w:eastAsia="Times New Roman" w:cs="Times New Roman"/>
        <w:spacing w:val="2"/>
        <w:sz w:val="25"/>
        <w:szCs w:val="25"/>
      </w:rPr>
      <w:t xml:space="preserve">31   </w:t>
    </w:r>
    <w:r>
      <w:rPr>
        <w:rFonts w:ascii="Times New Roman" w:hAnsi="Times New Roman" w:eastAsia="Times New Roman" w:cs="Times New Roman"/>
        <w:spacing w:val="2"/>
        <w:sz w:val="28"/>
        <w:szCs w:val="28"/>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8AC27">
    <w:pPr>
      <w:spacing w:line="170" w:lineRule="auto"/>
      <w:ind w:left="77"/>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32</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2DD70">
    <w:pPr>
      <w:spacing w:line="170" w:lineRule="auto"/>
      <w:ind w:left="7695"/>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5"/>
        <w:w w:val="101"/>
        <w:sz w:val="28"/>
        <w:szCs w:val="28"/>
      </w:rPr>
      <w:t xml:space="preserve">  </w:t>
    </w:r>
    <w:r>
      <w:rPr>
        <w:rFonts w:ascii="Times New Roman" w:hAnsi="Times New Roman" w:eastAsia="Times New Roman" w:cs="Times New Roman"/>
        <w:spacing w:val="2"/>
        <w:sz w:val="25"/>
        <w:szCs w:val="25"/>
      </w:rPr>
      <w:t xml:space="preserve">33   </w:t>
    </w:r>
    <w:r>
      <w:rPr>
        <w:rFonts w:ascii="Times New Roman" w:hAnsi="Times New Roman" w:eastAsia="Times New Roman" w:cs="Times New Roman"/>
        <w:spacing w:val="2"/>
        <w:sz w:val="28"/>
        <w:szCs w:val="28"/>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3B9AD">
    <w:pPr>
      <w:spacing w:line="170" w:lineRule="auto"/>
      <w:ind w:left="77"/>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34</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E31FD">
    <w:pPr>
      <w:spacing w:line="170" w:lineRule="auto"/>
      <w:ind w:left="7695"/>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5"/>
        <w:w w:val="101"/>
        <w:sz w:val="28"/>
        <w:szCs w:val="28"/>
      </w:rPr>
      <w:t xml:space="preserve">  </w:t>
    </w:r>
    <w:r>
      <w:rPr>
        <w:rFonts w:ascii="Times New Roman" w:hAnsi="Times New Roman" w:eastAsia="Times New Roman" w:cs="Times New Roman"/>
        <w:spacing w:val="2"/>
        <w:sz w:val="25"/>
        <w:szCs w:val="25"/>
      </w:rPr>
      <w:t xml:space="preserve">35   </w:t>
    </w:r>
    <w:r>
      <w:rPr>
        <w:rFonts w:ascii="Times New Roman" w:hAnsi="Times New Roman" w:eastAsia="Times New Roman" w:cs="Times New Roman"/>
        <w:spacing w:val="2"/>
        <w:sz w:val="28"/>
        <w:szCs w:val="28"/>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CDFE2">
    <w:pPr>
      <w:spacing w:line="170" w:lineRule="auto"/>
      <w:ind w:left="77"/>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36</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439C3">
    <w:pPr>
      <w:spacing w:line="170" w:lineRule="auto"/>
      <w:ind w:left="7695"/>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5"/>
        <w:w w:val="101"/>
        <w:sz w:val="28"/>
        <w:szCs w:val="28"/>
      </w:rPr>
      <w:t xml:space="preserve">  </w:t>
    </w:r>
    <w:r>
      <w:rPr>
        <w:rFonts w:ascii="Times New Roman" w:hAnsi="Times New Roman" w:eastAsia="Times New Roman" w:cs="Times New Roman"/>
        <w:spacing w:val="2"/>
        <w:sz w:val="25"/>
        <w:szCs w:val="25"/>
      </w:rPr>
      <w:t xml:space="preserve">37   </w:t>
    </w:r>
    <w:r>
      <w:rPr>
        <w:rFonts w:ascii="Times New Roman" w:hAnsi="Times New Roman" w:eastAsia="Times New Roman" w:cs="Times New Roman"/>
        <w:spacing w:val="2"/>
        <w:sz w:val="28"/>
        <w:szCs w:val="28"/>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B6F1A">
    <w:pPr>
      <w:spacing w:line="170" w:lineRule="auto"/>
      <w:ind w:left="77"/>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38</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30663">
    <w:pPr>
      <w:spacing w:line="170" w:lineRule="auto"/>
      <w:ind w:right="26"/>
      <w:jc w:val="right"/>
      <w:rPr>
        <w:rFonts w:ascii="Times New Roman" w:hAnsi="Times New Roman" w:eastAsia="Times New Roman" w:cs="Times New Roman"/>
        <w:sz w:val="28"/>
        <w:szCs w:val="28"/>
      </w:rPr>
    </w:pPr>
    <w:r>
      <w:rPr>
        <w:rFonts w:ascii="Times New Roman" w:hAnsi="Times New Roman" w:eastAsia="Times New Roman" w:cs="Times New Roman"/>
        <w:spacing w:val="1"/>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1"/>
        <w:sz w:val="25"/>
        <w:szCs w:val="25"/>
      </w:rPr>
      <w:t>3</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1"/>
        <w:sz w:val="28"/>
        <w:szCs w:val="28"/>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C502B">
    <w:pPr>
      <w:spacing w:line="170" w:lineRule="auto"/>
      <w:ind w:left="7695"/>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5"/>
        <w:w w:val="101"/>
        <w:sz w:val="28"/>
        <w:szCs w:val="28"/>
      </w:rPr>
      <w:t xml:space="preserve">  </w:t>
    </w:r>
    <w:r>
      <w:rPr>
        <w:rFonts w:ascii="Times New Roman" w:hAnsi="Times New Roman" w:eastAsia="Times New Roman" w:cs="Times New Roman"/>
        <w:spacing w:val="2"/>
        <w:sz w:val="25"/>
        <w:szCs w:val="25"/>
      </w:rPr>
      <w:t xml:space="preserve">39   </w:t>
    </w:r>
    <w:r>
      <w:rPr>
        <w:rFonts w:ascii="Times New Roman" w:hAnsi="Times New Roman" w:eastAsia="Times New Roman" w:cs="Times New Roman"/>
        <w:spacing w:val="2"/>
        <w:sz w:val="28"/>
        <w:szCs w:val="28"/>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44E05">
    <w:pPr>
      <w:spacing w:line="170" w:lineRule="auto"/>
      <w:ind w:left="77"/>
      <w:rPr>
        <w:rFonts w:ascii="Times New Roman" w:hAnsi="Times New Roman" w:eastAsia="Times New Roman" w:cs="Times New Roman"/>
        <w:sz w:val="28"/>
        <w:szCs w:val="28"/>
      </w:rPr>
    </w:pPr>
    <w:r>
      <w:rPr>
        <w:rFonts w:ascii="Times New Roman" w:hAnsi="Times New Roman" w:eastAsia="Times New Roman" w:cs="Times New Roman"/>
        <w:spacing w:val="4"/>
        <w:sz w:val="28"/>
        <w:szCs w:val="28"/>
      </w:rPr>
      <w:t>—</w:t>
    </w:r>
    <w:r>
      <w:rPr>
        <w:rFonts w:ascii="Times New Roman" w:hAnsi="Times New Roman" w:eastAsia="Times New Roman" w:cs="Times New Roman"/>
        <w:spacing w:val="30"/>
        <w:sz w:val="28"/>
        <w:szCs w:val="28"/>
      </w:rPr>
      <w:t xml:space="preserve">  </w:t>
    </w:r>
    <w:r>
      <w:rPr>
        <w:rFonts w:ascii="Times New Roman" w:hAnsi="Times New Roman" w:eastAsia="Times New Roman" w:cs="Times New Roman"/>
        <w:spacing w:val="4"/>
        <w:sz w:val="25"/>
        <w:szCs w:val="25"/>
      </w:rPr>
      <w:t xml:space="preserve">40   </w:t>
    </w:r>
    <w:r>
      <w:rPr>
        <w:rFonts w:ascii="Times New Roman" w:hAnsi="Times New Roman" w:eastAsia="Times New Roman" w:cs="Times New Roman"/>
        <w:spacing w:val="4"/>
        <w:sz w:val="28"/>
        <w:szCs w:val="28"/>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DE997">
    <w:pPr>
      <w:spacing w:line="185" w:lineRule="auto"/>
      <w:ind w:left="7695"/>
      <w:rPr>
        <w:rFonts w:ascii="Times New Roman" w:hAnsi="Times New Roman" w:eastAsia="Times New Roman" w:cs="Times New Roman"/>
        <w:sz w:val="25"/>
        <w:szCs w:val="25"/>
      </w:rPr>
    </w:pPr>
    <w:r>
      <w:rPr>
        <w:rFonts w:ascii="Times New Roman" w:hAnsi="Times New Roman" w:eastAsia="Times New Roman" w:cs="Times New Roman"/>
        <w:spacing w:val="19"/>
        <w:sz w:val="25"/>
        <w:szCs w:val="25"/>
      </w:rPr>
      <w:t>—</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19"/>
        <w:sz w:val="25"/>
        <w:szCs w:val="25"/>
      </w:rPr>
      <w:t>41</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19"/>
        <w:sz w:val="25"/>
        <w:szCs w:val="25"/>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86B8E">
    <w:pPr>
      <w:spacing w:line="185" w:lineRule="auto"/>
      <w:ind w:left="77"/>
      <w:rPr>
        <w:rFonts w:ascii="Times New Roman" w:hAnsi="Times New Roman" w:eastAsia="Times New Roman" w:cs="Times New Roman"/>
        <w:sz w:val="25"/>
        <w:szCs w:val="25"/>
      </w:rPr>
    </w:pPr>
    <w:r>
      <w:rPr>
        <w:rFonts w:ascii="Times New Roman" w:hAnsi="Times New Roman" w:eastAsia="Times New Roman" w:cs="Times New Roman"/>
        <w:spacing w:val="19"/>
        <w:sz w:val="25"/>
        <w:szCs w:val="25"/>
      </w:rPr>
      <w:t>—</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19"/>
        <w:sz w:val="25"/>
        <w:szCs w:val="25"/>
      </w:rPr>
      <w:t>42</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19"/>
        <w:sz w:val="25"/>
        <w:szCs w:val="25"/>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754DD">
    <w:pPr>
      <w:spacing w:line="170" w:lineRule="auto"/>
      <w:ind w:left="7695"/>
      <w:rPr>
        <w:rFonts w:ascii="Times New Roman" w:hAnsi="Times New Roman" w:eastAsia="Times New Roman" w:cs="Times New Roman"/>
        <w:sz w:val="28"/>
        <w:szCs w:val="28"/>
      </w:rPr>
    </w:pPr>
    <w:r>
      <w:rPr>
        <w:rFonts w:ascii="Times New Roman" w:hAnsi="Times New Roman" w:eastAsia="Times New Roman" w:cs="Times New Roman"/>
        <w:spacing w:val="3"/>
        <w:sz w:val="28"/>
        <w:szCs w:val="28"/>
      </w:rPr>
      <w:t>—</w:t>
    </w:r>
    <w:r>
      <w:rPr>
        <w:rFonts w:ascii="Times New Roman" w:hAnsi="Times New Roman" w:eastAsia="Times New Roman" w:cs="Times New Roman"/>
        <w:spacing w:val="32"/>
        <w:sz w:val="28"/>
        <w:szCs w:val="28"/>
      </w:rPr>
      <w:t xml:space="preserve">  </w:t>
    </w:r>
    <w:r>
      <w:rPr>
        <w:rFonts w:ascii="Times New Roman" w:hAnsi="Times New Roman" w:eastAsia="Times New Roman" w:cs="Times New Roman"/>
        <w:spacing w:val="3"/>
        <w:sz w:val="25"/>
        <w:szCs w:val="25"/>
      </w:rPr>
      <w:t xml:space="preserve">43   </w:t>
    </w:r>
    <w:r>
      <w:rPr>
        <w:rFonts w:ascii="Times New Roman" w:hAnsi="Times New Roman" w:eastAsia="Times New Roman" w:cs="Times New Roman"/>
        <w:spacing w:val="3"/>
        <w:sz w:val="28"/>
        <w:szCs w:val="28"/>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57C41">
    <w:pPr>
      <w:spacing w:line="185" w:lineRule="auto"/>
      <w:ind w:left="77"/>
      <w:rPr>
        <w:rFonts w:ascii="Times New Roman" w:hAnsi="Times New Roman" w:eastAsia="Times New Roman" w:cs="Times New Roman"/>
        <w:sz w:val="25"/>
        <w:szCs w:val="25"/>
      </w:rPr>
    </w:pPr>
    <w:r>
      <w:rPr>
        <w:rFonts w:ascii="Times New Roman" w:hAnsi="Times New Roman" w:eastAsia="Times New Roman" w:cs="Times New Roman"/>
        <w:spacing w:val="19"/>
        <w:sz w:val="25"/>
        <w:szCs w:val="25"/>
      </w:rPr>
      <w:t>—</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19"/>
        <w:sz w:val="25"/>
        <w:szCs w:val="25"/>
      </w:rPr>
      <w:t>44</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19"/>
        <w:sz w:val="25"/>
        <w:szCs w:val="25"/>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C20E3">
    <w:pPr>
      <w:spacing w:line="170" w:lineRule="auto"/>
      <w:ind w:left="7695"/>
      <w:rPr>
        <w:rFonts w:ascii="Times New Roman" w:hAnsi="Times New Roman" w:eastAsia="Times New Roman" w:cs="Times New Roman"/>
        <w:sz w:val="28"/>
        <w:szCs w:val="28"/>
      </w:rPr>
    </w:pPr>
    <w:r>
      <w:rPr>
        <w:rFonts w:ascii="Times New Roman" w:hAnsi="Times New Roman" w:eastAsia="Times New Roman" w:cs="Times New Roman"/>
        <w:spacing w:val="3"/>
        <w:sz w:val="28"/>
        <w:szCs w:val="28"/>
      </w:rPr>
      <w:t>—</w:t>
    </w:r>
    <w:r>
      <w:rPr>
        <w:rFonts w:ascii="Times New Roman" w:hAnsi="Times New Roman" w:eastAsia="Times New Roman" w:cs="Times New Roman"/>
        <w:spacing w:val="32"/>
        <w:sz w:val="28"/>
        <w:szCs w:val="28"/>
      </w:rPr>
      <w:t xml:space="preserve">  </w:t>
    </w:r>
    <w:r>
      <w:rPr>
        <w:rFonts w:ascii="Times New Roman" w:hAnsi="Times New Roman" w:eastAsia="Times New Roman" w:cs="Times New Roman"/>
        <w:spacing w:val="3"/>
        <w:sz w:val="25"/>
        <w:szCs w:val="25"/>
      </w:rPr>
      <w:t xml:space="preserve">45   </w:t>
    </w:r>
    <w:r>
      <w:rPr>
        <w:rFonts w:ascii="Times New Roman" w:hAnsi="Times New Roman" w:eastAsia="Times New Roman" w:cs="Times New Roman"/>
        <w:spacing w:val="3"/>
        <w:sz w:val="28"/>
        <w:szCs w:val="28"/>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9B994">
    <w:pPr>
      <w:spacing w:line="170" w:lineRule="auto"/>
      <w:ind w:left="77"/>
      <w:rPr>
        <w:rFonts w:ascii="Times New Roman" w:hAnsi="Times New Roman" w:eastAsia="Times New Roman" w:cs="Times New Roman"/>
        <w:sz w:val="28"/>
        <w:szCs w:val="28"/>
      </w:rPr>
    </w:pPr>
    <w:r>
      <w:rPr>
        <w:rFonts w:ascii="Times New Roman" w:hAnsi="Times New Roman" w:eastAsia="Times New Roman" w:cs="Times New Roman"/>
        <w:spacing w:val="4"/>
        <w:sz w:val="28"/>
        <w:szCs w:val="28"/>
      </w:rPr>
      <w:t>—</w:t>
    </w:r>
    <w:r>
      <w:rPr>
        <w:rFonts w:ascii="Times New Roman" w:hAnsi="Times New Roman" w:eastAsia="Times New Roman" w:cs="Times New Roman"/>
        <w:spacing w:val="30"/>
        <w:sz w:val="28"/>
        <w:szCs w:val="28"/>
      </w:rPr>
      <w:t xml:space="preserve">  </w:t>
    </w:r>
    <w:r>
      <w:rPr>
        <w:rFonts w:ascii="Times New Roman" w:hAnsi="Times New Roman" w:eastAsia="Times New Roman" w:cs="Times New Roman"/>
        <w:spacing w:val="4"/>
        <w:sz w:val="25"/>
        <w:szCs w:val="25"/>
      </w:rPr>
      <w:t xml:space="preserve">46   </w:t>
    </w:r>
    <w:r>
      <w:rPr>
        <w:rFonts w:ascii="Times New Roman" w:hAnsi="Times New Roman" w:eastAsia="Times New Roman" w:cs="Times New Roman"/>
        <w:spacing w:val="4"/>
        <w:sz w:val="28"/>
        <w:szCs w:val="28"/>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A4C45">
    <w:pPr>
      <w:spacing w:line="170" w:lineRule="auto"/>
      <w:ind w:left="7695"/>
      <w:rPr>
        <w:rFonts w:ascii="Times New Roman" w:hAnsi="Times New Roman" w:eastAsia="Times New Roman" w:cs="Times New Roman"/>
        <w:sz w:val="28"/>
        <w:szCs w:val="28"/>
      </w:rPr>
    </w:pPr>
    <w:r>
      <w:rPr>
        <w:rFonts w:ascii="Times New Roman" w:hAnsi="Times New Roman" w:eastAsia="Times New Roman" w:cs="Times New Roman"/>
        <w:spacing w:val="3"/>
        <w:sz w:val="28"/>
        <w:szCs w:val="28"/>
      </w:rPr>
      <w:t>—</w:t>
    </w:r>
    <w:r>
      <w:rPr>
        <w:rFonts w:ascii="Times New Roman" w:hAnsi="Times New Roman" w:eastAsia="Times New Roman" w:cs="Times New Roman"/>
        <w:spacing w:val="32"/>
        <w:sz w:val="28"/>
        <w:szCs w:val="28"/>
      </w:rPr>
      <w:t xml:space="preserve">  </w:t>
    </w:r>
    <w:r>
      <w:rPr>
        <w:rFonts w:ascii="Times New Roman" w:hAnsi="Times New Roman" w:eastAsia="Times New Roman" w:cs="Times New Roman"/>
        <w:spacing w:val="3"/>
        <w:sz w:val="25"/>
        <w:szCs w:val="25"/>
      </w:rPr>
      <w:t xml:space="preserve">47   </w:t>
    </w:r>
    <w:r>
      <w:rPr>
        <w:rFonts w:ascii="Times New Roman" w:hAnsi="Times New Roman" w:eastAsia="Times New Roman" w:cs="Times New Roman"/>
        <w:spacing w:val="3"/>
        <w:sz w:val="28"/>
        <w:szCs w:val="28"/>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EED6D">
    <w:pPr>
      <w:spacing w:line="170" w:lineRule="auto"/>
      <w:ind w:left="77"/>
      <w:rPr>
        <w:rFonts w:ascii="Times New Roman" w:hAnsi="Times New Roman" w:eastAsia="Times New Roman" w:cs="Times New Roman"/>
        <w:sz w:val="28"/>
        <w:szCs w:val="28"/>
      </w:rPr>
    </w:pPr>
    <w:r>
      <w:rPr>
        <w:rFonts w:ascii="Times New Roman" w:hAnsi="Times New Roman" w:eastAsia="Times New Roman" w:cs="Times New Roman"/>
        <w:spacing w:val="4"/>
        <w:sz w:val="28"/>
        <w:szCs w:val="28"/>
      </w:rPr>
      <w:t>—</w:t>
    </w:r>
    <w:r>
      <w:rPr>
        <w:rFonts w:ascii="Times New Roman" w:hAnsi="Times New Roman" w:eastAsia="Times New Roman" w:cs="Times New Roman"/>
        <w:spacing w:val="30"/>
        <w:sz w:val="28"/>
        <w:szCs w:val="28"/>
      </w:rPr>
      <w:t xml:space="preserve">  </w:t>
    </w:r>
    <w:r>
      <w:rPr>
        <w:rFonts w:ascii="Times New Roman" w:hAnsi="Times New Roman" w:eastAsia="Times New Roman" w:cs="Times New Roman"/>
        <w:spacing w:val="4"/>
        <w:sz w:val="25"/>
        <w:szCs w:val="25"/>
      </w:rPr>
      <w:t xml:space="preserve">48   </w:t>
    </w:r>
    <w:r>
      <w:rPr>
        <w:rFonts w:ascii="Times New Roman" w:hAnsi="Times New Roman" w:eastAsia="Times New Roman" w:cs="Times New Roman"/>
        <w:spacing w:val="4"/>
        <w:sz w:val="28"/>
        <w:szCs w:val="2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A650D">
    <w:pPr>
      <w:spacing w:line="185" w:lineRule="auto"/>
      <w:ind w:left="20"/>
      <w:rPr>
        <w:rFonts w:ascii="Times New Roman" w:hAnsi="Times New Roman" w:eastAsia="Times New Roman" w:cs="Times New Roman"/>
        <w:sz w:val="25"/>
        <w:szCs w:val="25"/>
      </w:rPr>
    </w:pPr>
    <w:r>
      <w:rPr>
        <w:rFonts w:ascii="Times New Roman" w:hAnsi="Times New Roman" w:eastAsia="Times New Roman" w:cs="Times New Roman"/>
        <w:spacing w:val="23"/>
        <w:sz w:val="25"/>
        <w:szCs w:val="25"/>
      </w:rPr>
      <w:t>—</w:t>
    </w:r>
    <w:r>
      <w:rPr>
        <w:rFonts w:ascii="Times New Roman" w:hAnsi="Times New Roman" w:eastAsia="Times New Roman" w:cs="Times New Roman"/>
        <w:spacing w:val="5"/>
        <w:sz w:val="25"/>
        <w:szCs w:val="25"/>
      </w:rPr>
      <w:t xml:space="preserve">   </w:t>
    </w:r>
    <w:r>
      <w:rPr>
        <w:rFonts w:ascii="Times New Roman" w:hAnsi="Times New Roman" w:eastAsia="Times New Roman" w:cs="Times New Roman"/>
        <w:spacing w:val="23"/>
        <w:sz w:val="25"/>
        <w:szCs w:val="25"/>
      </w:rPr>
      <w:t>4</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23"/>
        <w:sz w:val="25"/>
        <w:szCs w:val="25"/>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0D46A">
    <w:pPr>
      <w:spacing w:line="170" w:lineRule="auto"/>
      <w:ind w:left="7698"/>
      <w:rPr>
        <w:rFonts w:ascii="Times New Roman" w:hAnsi="Times New Roman" w:eastAsia="Times New Roman" w:cs="Times New Roman"/>
        <w:sz w:val="28"/>
        <w:szCs w:val="28"/>
      </w:rPr>
    </w:pPr>
    <w:r>
      <w:rPr>
        <w:rFonts w:ascii="Times New Roman" w:hAnsi="Times New Roman" w:eastAsia="Times New Roman" w:cs="Times New Roman"/>
        <w:spacing w:val="4"/>
        <w:sz w:val="28"/>
        <w:szCs w:val="28"/>
      </w:rPr>
      <w:t>—</w:t>
    </w:r>
    <w:r>
      <w:rPr>
        <w:rFonts w:ascii="Times New Roman" w:hAnsi="Times New Roman" w:eastAsia="Times New Roman" w:cs="Times New Roman"/>
        <w:spacing w:val="30"/>
        <w:sz w:val="28"/>
        <w:szCs w:val="28"/>
      </w:rPr>
      <w:t xml:space="preserve">  </w:t>
    </w:r>
    <w:r>
      <w:rPr>
        <w:rFonts w:ascii="Times New Roman" w:hAnsi="Times New Roman" w:eastAsia="Times New Roman" w:cs="Times New Roman"/>
        <w:spacing w:val="4"/>
        <w:sz w:val="25"/>
        <w:szCs w:val="25"/>
      </w:rPr>
      <w:t xml:space="preserve">49   </w:t>
    </w:r>
    <w:r>
      <w:rPr>
        <w:rFonts w:ascii="Times New Roman" w:hAnsi="Times New Roman" w:eastAsia="Times New Roman" w:cs="Times New Roman"/>
        <w:spacing w:val="4"/>
        <w:sz w:val="28"/>
        <w:szCs w:val="28"/>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2DEDE">
    <w:pPr>
      <w:spacing w:line="170" w:lineRule="auto"/>
      <w:ind w:left="80"/>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50</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FD934">
    <w:pPr>
      <w:spacing w:line="170" w:lineRule="auto"/>
      <w:ind w:left="7698"/>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51</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20EC1">
    <w:pPr>
      <w:spacing w:line="170" w:lineRule="auto"/>
      <w:ind w:left="80"/>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52</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0E78F">
    <w:pPr>
      <w:spacing w:line="170" w:lineRule="auto"/>
      <w:ind w:left="7698"/>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53</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4AA4A">
    <w:pPr>
      <w:spacing w:line="170" w:lineRule="auto"/>
      <w:ind w:left="80"/>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54</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B49AB">
    <w:pPr>
      <w:spacing w:line="182" w:lineRule="auto"/>
      <w:ind w:left="11896"/>
      <w:rPr>
        <w:rFonts w:ascii="Times New Roman" w:hAnsi="Times New Roman" w:eastAsia="Times New Roman" w:cs="Times New Roman"/>
        <w:sz w:val="25"/>
        <w:szCs w:val="25"/>
      </w:rPr>
    </w:pPr>
    <w:r>
      <w:rPr>
        <w:rFonts w:ascii="Times New Roman" w:hAnsi="Times New Roman" w:eastAsia="Times New Roman" w:cs="Times New Roman"/>
        <w:spacing w:val="12"/>
        <w:sz w:val="25"/>
        <w:szCs w:val="25"/>
      </w:rPr>
      <w:t>—   55</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12"/>
        <w:sz w:val="25"/>
        <w:szCs w:val="25"/>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66C6C">
    <w:pPr>
      <w:spacing w:line="170" w:lineRule="auto"/>
      <w:ind w:left="110"/>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56</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B29FA">
    <w:pPr>
      <w:spacing w:line="182" w:lineRule="auto"/>
      <w:ind w:left="7728"/>
      <w:rPr>
        <w:rFonts w:ascii="Times New Roman" w:hAnsi="Times New Roman" w:eastAsia="Times New Roman" w:cs="Times New Roman"/>
        <w:sz w:val="25"/>
        <w:szCs w:val="25"/>
      </w:rPr>
    </w:pPr>
    <w:r>
      <w:rPr>
        <w:rFonts w:ascii="Times New Roman" w:hAnsi="Times New Roman" w:eastAsia="Times New Roman" w:cs="Times New Roman"/>
        <w:spacing w:val="12"/>
        <w:sz w:val="25"/>
        <w:szCs w:val="25"/>
      </w:rPr>
      <w:t>—   57</w:t>
    </w:r>
    <w:r>
      <w:rPr>
        <w:rFonts w:ascii="Times New Roman" w:hAnsi="Times New Roman" w:eastAsia="Times New Roman" w:cs="Times New Roman"/>
        <w:spacing w:val="5"/>
        <w:sz w:val="25"/>
        <w:szCs w:val="25"/>
      </w:rPr>
      <w:t xml:space="preserve">   </w:t>
    </w:r>
    <w:r>
      <w:rPr>
        <w:rFonts w:ascii="Times New Roman" w:hAnsi="Times New Roman" w:eastAsia="Times New Roman" w:cs="Times New Roman"/>
        <w:spacing w:val="12"/>
        <w:sz w:val="25"/>
        <w:szCs w:val="25"/>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7F89B">
    <w:pPr>
      <w:spacing w:line="170" w:lineRule="auto"/>
      <w:ind w:left="109"/>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58</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3BAC">
    <w:pPr>
      <w:spacing w:line="182" w:lineRule="auto"/>
      <w:ind w:right="26"/>
      <w:jc w:val="right"/>
      <w:rPr>
        <w:rFonts w:ascii="Times New Roman" w:hAnsi="Times New Roman" w:eastAsia="Times New Roman" w:cs="Times New Roman"/>
        <w:sz w:val="25"/>
        <w:szCs w:val="25"/>
      </w:rPr>
    </w:pPr>
    <w:r>
      <w:rPr>
        <w:rFonts w:ascii="Times New Roman" w:hAnsi="Times New Roman" w:eastAsia="Times New Roman" w:cs="Times New Roman"/>
        <w:spacing w:val="14"/>
        <w:sz w:val="25"/>
        <w:szCs w:val="25"/>
      </w:rPr>
      <w:t>—   5</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14"/>
        <w:sz w:val="25"/>
        <w:szCs w:val="25"/>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A0FA2">
    <w:pPr>
      <w:spacing w:line="170" w:lineRule="auto"/>
      <w:ind w:left="7728"/>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59</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0C961">
    <w:pPr>
      <w:spacing w:line="170" w:lineRule="auto"/>
      <w:ind w:left="110"/>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60</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5CCA8">
    <w:pPr>
      <w:spacing w:line="170" w:lineRule="auto"/>
      <w:ind w:left="7728"/>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61</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948D8">
    <w:pPr>
      <w:spacing w:line="170" w:lineRule="auto"/>
      <w:ind w:left="110"/>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62</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41EBE">
    <w:pPr>
      <w:spacing w:line="170" w:lineRule="auto"/>
      <w:ind w:left="7728"/>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63</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10E24">
    <w:pPr>
      <w:spacing w:line="170" w:lineRule="auto"/>
      <w:ind w:left="110"/>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64</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5C2EA">
    <w:pPr>
      <w:spacing w:line="170" w:lineRule="auto"/>
      <w:ind w:left="7657"/>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65</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89CC6">
    <w:pPr>
      <w:spacing w:line="170" w:lineRule="auto"/>
      <w:ind w:left="39"/>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66</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615DC">
    <w:pPr>
      <w:spacing w:line="170" w:lineRule="auto"/>
      <w:ind w:left="7657"/>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67</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9BEF1">
    <w:pPr>
      <w:spacing w:line="170" w:lineRule="auto"/>
      <w:ind w:left="39"/>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68</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868F9">
    <w:pPr>
      <w:spacing w:line="170" w:lineRule="auto"/>
      <w:ind w:left="20"/>
      <w:rPr>
        <w:rFonts w:ascii="Times New Roman" w:hAnsi="Times New Roman" w:eastAsia="Times New Roman" w:cs="Times New Roman"/>
        <w:sz w:val="28"/>
        <w:szCs w:val="28"/>
      </w:rPr>
    </w:pPr>
    <w:r>
      <w:rPr>
        <w:rFonts w:ascii="Times New Roman" w:hAnsi="Times New Roman" w:eastAsia="Times New Roman" w:cs="Times New Roman"/>
        <w:spacing w:val="1"/>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1"/>
        <w:sz w:val="25"/>
        <w:szCs w:val="25"/>
      </w:rPr>
      <w:t>6</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1"/>
        <w:sz w:val="28"/>
        <w:szCs w:val="28"/>
      </w:rPr>
      <w:t>—</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3D6E4">
    <w:pPr>
      <w:spacing w:line="170" w:lineRule="auto"/>
      <w:ind w:left="7657"/>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69</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0A930">
    <w:pPr>
      <w:spacing w:line="170" w:lineRule="auto"/>
      <w:ind w:left="39"/>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70</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31465">
    <w:pPr>
      <w:spacing w:line="170" w:lineRule="auto"/>
      <w:ind w:left="7657"/>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71</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C4BD7">
    <w:pPr>
      <w:spacing w:line="170" w:lineRule="auto"/>
      <w:ind w:left="111"/>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72</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33EF2">
    <w:pPr>
      <w:spacing w:line="170" w:lineRule="auto"/>
      <w:ind w:left="7693"/>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73</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388C0">
    <w:pPr>
      <w:spacing w:line="170" w:lineRule="auto"/>
      <w:ind w:left="75"/>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74</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59F4C">
    <w:pPr>
      <w:spacing w:line="182" w:lineRule="auto"/>
      <w:ind w:left="7693"/>
      <w:rPr>
        <w:rFonts w:ascii="Times New Roman" w:hAnsi="Times New Roman" w:eastAsia="Times New Roman" w:cs="Times New Roman"/>
        <w:sz w:val="25"/>
        <w:szCs w:val="25"/>
      </w:rPr>
    </w:pPr>
    <w:r>
      <w:rPr>
        <w:rFonts w:ascii="Times New Roman" w:hAnsi="Times New Roman" w:eastAsia="Times New Roman" w:cs="Times New Roman"/>
        <w:spacing w:val="12"/>
        <w:sz w:val="25"/>
        <w:szCs w:val="25"/>
      </w:rPr>
      <w:t>—   75</w:t>
    </w:r>
    <w:r>
      <w:rPr>
        <w:rFonts w:ascii="Times New Roman" w:hAnsi="Times New Roman" w:eastAsia="Times New Roman" w:cs="Times New Roman"/>
        <w:spacing w:val="5"/>
        <w:sz w:val="25"/>
        <w:szCs w:val="25"/>
      </w:rPr>
      <w:t xml:space="preserve">   </w:t>
    </w:r>
    <w:r>
      <w:rPr>
        <w:rFonts w:ascii="Times New Roman" w:hAnsi="Times New Roman" w:eastAsia="Times New Roman" w:cs="Times New Roman"/>
        <w:spacing w:val="12"/>
        <w:sz w:val="25"/>
        <w:szCs w:val="25"/>
      </w:rPr>
      <w:t>—</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4107A">
    <w:pPr>
      <w:spacing w:line="170" w:lineRule="auto"/>
      <w:ind w:left="75"/>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76</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A9243">
    <w:pPr>
      <w:spacing w:line="182" w:lineRule="auto"/>
      <w:ind w:left="7693"/>
      <w:rPr>
        <w:rFonts w:ascii="Times New Roman" w:hAnsi="Times New Roman" w:eastAsia="Times New Roman" w:cs="Times New Roman"/>
        <w:sz w:val="25"/>
        <w:szCs w:val="25"/>
      </w:rPr>
    </w:pPr>
    <w:r>
      <w:rPr>
        <w:rFonts w:ascii="Times New Roman" w:hAnsi="Times New Roman" w:eastAsia="Times New Roman" w:cs="Times New Roman"/>
        <w:spacing w:val="12"/>
        <w:sz w:val="25"/>
        <w:szCs w:val="25"/>
      </w:rPr>
      <w:t>—   77</w:t>
    </w:r>
    <w:r>
      <w:rPr>
        <w:rFonts w:ascii="Times New Roman" w:hAnsi="Times New Roman" w:eastAsia="Times New Roman" w:cs="Times New Roman"/>
        <w:spacing w:val="5"/>
        <w:sz w:val="25"/>
        <w:szCs w:val="25"/>
      </w:rPr>
      <w:t xml:space="preserve">   </w:t>
    </w:r>
    <w:r>
      <w:rPr>
        <w:rFonts w:ascii="Times New Roman" w:hAnsi="Times New Roman" w:eastAsia="Times New Roman" w:cs="Times New Roman"/>
        <w:spacing w:val="12"/>
        <w:sz w:val="25"/>
        <w:szCs w:val="25"/>
      </w:rPr>
      <w:t>—</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2AD32">
    <w:pPr>
      <w:spacing w:line="170" w:lineRule="auto"/>
      <w:ind w:left="75"/>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78</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330A2">
    <w:pPr>
      <w:spacing w:line="182" w:lineRule="auto"/>
      <w:ind w:right="26"/>
      <w:jc w:val="right"/>
      <w:rPr>
        <w:rFonts w:ascii="Times New Roman" w:hAnsi="Times New Roman" w:eastAsia="Times New Roman" w:cs="Times New Roman"/>
        <w:sz w:val="25"/>
        <w:szCs w:val="25"/>
      </w:rPr>
    </w:pPr>
    <w:r>
      <w:rPr>
        <w:rFonts w:ascii="Times New Roman" w:hAnsi="Times New Roman" w:eastAsia="Times New Roman" w:cs="Times New Roman"/>
        <w:spacing w:val="22"/>
        <w:sz w:val="25"/>
        <w:szCs w:val="25"/>
      </w:rPr>
      <w:t>—</w:t>
    </w:r>
    <w:r>
      <w:rPr>
        <w:rFonts w:ascii="Times New Roman" w:hAnsi="Times New Roman" w:eastAsia="Times New Roman" w:cs="Times New Roman"/>
        <w:spacing w:val="6"/>
        <w:sz w:val="25"/>
        <w:szCs w:val="25"/>
      </w:rPr>
      <w:t xml:space="preserve">   </w:t>
    </w:r>
    <w:r>
      <w:rPr>
        <w:rFonts w:ascii="Times New Roman" w:hAnsi="Times New Roman" w:eastAsia="Times New Roman" w:cs="Times New Roman"/>
        <w:spacing w:val="22"/>
        <w:sz w:val="25"/>
        <w:szCs w:val="25"/>
      </w:rPr>
      <w:t>7</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22"/>
        <w:sz w:val="25"/>
        <w:szCs w:val="25"/>
      </w:rPr>
      <w:t>—</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4CE4E">
    <w:pPr>
      <w:spacing w:line="170" w:lineRule="auto"/>
      <w:ind w:left="7693"/>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79</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1AF54">
    <w:pPr>
      <w:spacing w:line="170" w:lineRule="auto"/>
      <w:ind w:left="75"/>
      <w:rPr>
        <w:rFonts w:ascii="Times New Roman" w:hAnsi="Times New Roman" w:eastAsia="Times New Roman" w:cs="Times New Roman"/>
        <w:sz w:val="28"/>
        <w:szCs w:val="28"/>
      </w:rPr>
    </w:pP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pacing w:val="1"/>
        <w:sz w:val="25"/>
        <w:szCs w:val="25"/>
      </w:rPr>
      <w:t>80</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1"/>
        <w:sz w:val="28"/>
        <w:szCs w:val="28"/>
      </w:rPr>
      <w:t>—</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37EDA">
    <w:pPr>
      <w:spacing w:line="170" w:lineRule="auto"/>
      <w:ind w:left="7657"/>
      <w:rPr>
        <w:rFonts w:ascii="Times New Roman" w:hAnsi="Times New Roman" w:eastAsia="Times New Roman" w:cs="Times New Roman"/>
        <w:sz w:val="28"/>
        <w:szCs w:val="28"/>
      </w:rPr>
    </w:pP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pacing w:val="1"/>
        <w:sz w:val="25"/>
        <w:szCs w:val="25"/>
      </w:rPr>
      <w:t>81</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1"/>
        <w:sz w:val="28"/>
        <w:szCs w:val="28"/>
      </w:rPr>
      <w:t>—</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C138D">
    <w:pPr>
      <w:spacing w:line="170" w:lineRule="auto"/>
      <w:ind w:left="39"/>
      <w:rPr>
        <w:rFonts w:ascii="Times New Roman" w:hAnsi="Times New Roman" w:eastAsia="Times New Roman" w:cs="Times New Roman"/>
        <w:sz w:val="28"/>
        <w:szCs w:val="28"/>
      </w:rPr>
    </w:pP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pacing w:val="1"/>
        <w:sz w:val="25"/>
        <w:szCs w:val="25"/>
      </w:rPr>
      <w:t>82</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1"/>
        <w:sz w:val="28"/>
        <w:szCs w:val="28"/>
      </w:rPr>
      <w:t>—</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2A4A0">
    <w:pPr>
      <w:spacing w:line="170" w:lineRule="auto"/>
      <w:ind w:left="7657"/>
      <w:rPr>
        <w:rFonts w:ascii="Times New Roman" w:hAnsi="Times New Roman" w:eastAsia="Times New Roman" w:cs="Times New Roman"/>
        <w:sz w:val="28"/>
        <w:szCs w:val="28"/>
      </w:rPr>
    </w:pP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pacing w:val="1"/>
        <w:sz w:val="25"/>
        <w:szCs w:val="25"/>
      </w:rPr>
      <w:t>83</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1"/>
        <w:sz w:val="28"/>
        <w:szCs w:val="28"/>
      </w:rPr>
      <w:t>—</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39135">
    <w:pPr>
      <w:spacing w:line="170" w:lineRule="auto"/>
      <w:ind w:left="39"/>
      <w:rPr>
        <w:rFonts w:ascii="Times New Roman" w:hAnsi="Times New Roman" w:eastAsia="Times New Roman" w:cs="Times New Roman"/>
        <w:sz w:val="28"/>
        <w:szCs w:val="28"/>
      </w:rPr>
    </w:pP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pacing w:val="1"/>
        <w:sz w:val="25"/>
        <w:szCs w:val="25"/>
      </w:rPr>
      <w:t>84</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1"/>
        <w:sz w:val="28"/>
        <w:szCs w:val="28"/>
      </w:rPr>
      <w:t>—</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3BD8C">
    <w:pPr>
      <w:spacing w:line="170" w:lineRule="auto"/>
      <w:ind w:left="7657"/>
      <w:rPr>
        <w:rFonts w:ascii="Times New Roman" w:hAnsi="Times New Roman" w:eastAsia="Times New Roman" w:cs="Times New Roman"/>
        <w:sz w:val="28"/>
        <w:szCs w:val="28"/>
      </w:rPr>
    </w:pP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pacing w:val="1"/>
        <w:sz w:val="25"/>
        <w:szCs w:val="25"/>
      </w:rPr>
      <w:t>85</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1"/>
        <w:sz w:val="28"/>
        <w:szCs w:val="28"/>
      </w:rPr>
      <w:t>—</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923F0">
    <w:pPr>
      <w:spacing w:line="170" w:lineRule="auto"/>
      <w:ind w:left="39"/>
      <w:rPr>
        <w:rFonts w:ascii="Times New Roman" w:hAnsi="Times New Roman" w:eastAsia="Times New Roman" w:cs="Times New Roman"/>
        <w:sz w:val="28"/>
        <w:szCs w:val="28"/>
      </w:rPr>
    </w:pP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pacing w:val="1"/>
        <w:sz w:val="25"/>
        <w:szCs w:val="25"/>
      </w:rPr>
      <w:t>86</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1"/>
        <w:sz w:val="28"/>
        <w:szCs w:val="28"/>
      </w:rPr>
      <w:t>—</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21547">
    <w:pPr>
      <w:spacing w:line="170" w:lineRule="auto"/>
      <w:ind w:left="7657"/>
      <w:rPr>
        <w:rFonts w:ascii="Times New Roman" w:hAnsi="Times New Roman" w:eastAsia="Times New Roman" w:cs="Times New Roman"/>
        <w:sz w:val="28"/>
        <w:szCs w:val="28"/>
      </w:rPr>
    </w:pP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pacing w:val="1"/>
        <w:sz w:val="25"/>
        <w:szCs w:val="25"/>
      </w:rPr>
      <w:t>87</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1"/>
        <w:sz w:val="28"/>
        <w:szCs w:val="28"/>
      </w:rPr>
      <w:t>—</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4808D">
    <w:pPr>
      <w:spacing w:line="170" w:lineRule="auto"/>
      <w:ind w:left="39"/>
      <w:rPr>
        <w:rFonts w:ascii="Times New Roman" w:hAnsi="Times New Roman" w:eastAsia="Times New Roman" w:cs="Times New Roman"/>
        <w:sz w:val="28"/>
        <w:szCs w:val="28"/>
      </w:rPr>
    </w:pP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pacing w:val="1"/>
        <w:sz w:val="25"/>
        <w:szCs w:val="25"/>
      </w:rPr>
      <w:t>88</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1"/>
        <w:sz w:val="28"/>
        <w:szCs w:val="28"/>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876CF">
    <w:pPr>
      <w:spacing w:line="170" w:lineRule="auto"/>
      <w:ind w:left="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eastAsia="Times New Roman" w:cs="Times New Roman"/>
        <w:sz w:val="25"/>
        <w:szCs w:val="25"/>
      </w:rPr>
      <w:t>8</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z w:val="28"/>
        <w:szCs w:val="28"/>
      </w:rPr>
      <w:t>—</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612A5">
    <w:pPr>
      <w:spacing w:line="170" w:lineRule="auto"/>
      <w:ind w:left="7657"/>
      <w:rPr>
        <w:rFonts w:ascii="Times New Roman" w:hAnsi="Times New Roman" w:eastAsia="Times New Roman" w:cs="Times New Roman"/>
        <w:sz w:val="28"/>
        <w:szCs w:val="28"/>
      </w:rPr>
    </w:pP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pacing w:val="1"/>
        <w:sz w:val="25"/>
        <w:szCs w:val="25"/>
      </w:rPr>
      <w:t>89</w:t>
    </w:r>
    <w:r>
      <w:rPr>
        <w:rFonts w:ascii="Times New Roman" w:hAnsi="Times New Roman" w:eastAsia="Times New Roman" w:cs="Times New Roman"/>
        <w:spacing w:val="3"/>
        <w:sz w:val="25"/>
        <w:szCs w:val="25"/>
      </w:rPr>
      <w:t xml:space="preserve">   </w:t>
    </w:r>
    <w:r>
      <w:rPr>
        <w:rFonts w:ascii="Times New Roman" w:hAnsi="Times New Roman" w:eastAsia="Times New Roman" w:cs="Times New Roman"/>
        <w:spacing w:val="1"/>
        <w:sz w:val="28"/>
        <w:szCs w:val="28"/>
      </w:rPr>
      <w:t>—</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C93CC">
    <w:pPr>
      <w:spacing w:line="170" w:lineRule="auto"/>
      <w:ind w:left="39"/>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90</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31303">
    <w:pPr>
      <w:spacing w:line="170" w:lineRule="auto"/>
      <w:ind w:left="7657"/>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91</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38F01">
    <w:pPr>
      <w:spacing w:line="170" w:lineRule="auto"/>
      <w:ind w:left="39"/>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92</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3620D">
    <w:pPr>
      <w:spacing w:line="170" w:lineRule="auto"/>
      <w:ind w:left="7657"/>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93</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3A5BD">
    <w:pPr>
      <w:spacing w:line="170" w:lineRule="auto"/>
      <w:ind w:left="39"/>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94</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EA21D">
    <w:pPr>
      <w:spacing w:line="170" w:lineRule="auto"/>
      <w:ind w:left="7657"/>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95</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FBC9C">
    <w:pPr>
      <w:spacing w:line="170" w:lineRule="auto"/>
      <w:ind w:left="39"/>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96</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B716A">
    <w:pPr>
      <w:spacing w:line="170" w:lineRule="auto"/>
      <w:jc w:val="right"/>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5"/>
        <w:w w:val="101"/>
        <w:sz w:val="28"/>
        <w:szCs w:val="28"/>
      </w:rPr>
      <w:t xml:space="preserve">  </w:t>
    </w:r>
    <w:r>
      <w:rPr>
        <w:rFonts w:ascii="Times New Roman" w:hAnsi="Times New Roman" w:eastAsia="Times New Roman" w:cs="Times New Roman"/>
        <w:spacing w:val="2"/>
        <w:sz w:val="25"/>
        <w:szCs w:val="25"/>
      </w:rPr>
      <w:t xml:space="preserve">97   </w:t>
    </w:r>
    <w:r>
      <w:rPr>
        <w:rFonts w:ascii="Times New Roman" w:hAnsi="Times New Roman" w:eastAsia="Times New Roman" w:cs="Times New Roman"/>
        <w:spacing w:val="2"/>
        <w:sz w:val="28"/>
        <w:szCs w:val="28"/>
      </w:rPr>
      <w:t>—</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3B99E">
    <w:pPr>
      <w:spacing w:line="170" w:lineRule="auto"/>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pacing w:val="2"/>
        <w:sz w:val="25"/>
        <w:szCs w:val="25"/>
      </w:rPr>
      <w:t>98</w:t>
    </w:r>
    <w:r>
      <w:rPr>
        <w:rFonts w:ascii="Times New Roman" w:hAnsi="Times New Roman" w:eastAsia="Times New Roman" w:cs="Times New Roman"/>
        <w:spacing w:val="4"/>
        <w:sz w:val="25"/>
        <w:szCs w:val="25"/>
      </w:rPr>
      <w:t xml:space="preserve">   </w:t>
    </w:r>
    <w:r>
      <w:rPr>
        <w:rFonts w:ascii="Times New Roman" w:hAnsi="Times New Roman" w:eastAsia="Times New Roman" w:cs="Times New Roman"/>
        <w:spacing w:val="2"/>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C022D">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E815E6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
      <w:szCs w:val="2"/>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5"/>
      <w:szCs w:val="25"/>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4.xml"/><Relationship Id="rId98" Type="http://schemas.openxmlformats.org/officeDocument/2006/relationships/footer" Target="footer93.xml"/><Relationship Id="rId97" Type="http://schemas.openxmlformats.org/officeDocument/2006/relationships/footer" Target="footer92.xml"/><Relationship Id="rId96" Type="http://schemas.openxmlformats.org/officeDocument/2006/relationships/footer" Target="footer91.xml"/><Relationship Id="rId95" Type="http://schemas.openxmlformats.org/officeDocument/2006/relationships/footer" Target="footer90.xml"/><Relationship Id="rId94" Type="http://schemas.openxmlformats.org/officeDocument/2006/relationships/footer" Target="footer89.xml"/><Relationship Id="rId93" Type="http://schemas.openxmlformats.org/officeDocument/2006/relationships/footer" Target="footer88.xml"/><Relationship Id="rId92" Type="http://schemas.openxmlformats.org/officeDocument/2006/relationships/footer" Target="footer87.xml"/><Relationship Id="rId91" Type="http://schemas.openxmlformats.org/officeDocument/2006/relationships/footer" Target="footer86.xml"/><Relationship Id="rId90" Type="http://schemas.openxmlformats.org/officeDocument/2006/relationships/footer" Target="footer85.xml"/><Relationship Id="rId9" Type="http://schemas.openxmlformats.org/officeDocument/2006/relationships/footer" Target="footer4.xml"/><Relationship Id="rId89" Type="http://schemas.openxmlformats.org/officeDocument/2006/relationships/footer" Target="footer84.xml"/><Relationship Id="rId88" Type="http://schemas.openxmlformats.org/officeDocument/2006/relationships/footer" Target="footer83.xml"/><Relationship Id="rId87" Type="http://schemas.openxmlformats.org/officeDocument/2006/relationships/footer" Target="footer82.xml"/><Relationship Id="rId86" Type="http://schemas.openxmlformats.org/officeDocument/2006/relationships/footer" Target="footer81.xml"/><Relationship Id="rId85" Type="http://schemas.openxmlformats.org/officeDocument/2006/relationships/footer" Target="footer80.xml"/><Relationship Id="rId84" Type="http://schemas.openxmlformats.org/officeDocument/2006/relationships/footer" Target="footer79.xml"/><Relationship Id="rId83" Type="http://schemas.openxmlformats.org/officeDocument/2006/relationships/footer" Target="footer78.xml"/><Relationship Id="rId82" Type="http://schemas.openxmlformats.org/officeDocument/2006/relationships/footer" Target="footer77.xml"/><Relationship Id="rId81" Type="http://schemas.openxmlformats.org/officeDocument/2006/relationships/footer" Target="footer76.xml"/><Relationship Id="rId80" Type="http://schemas.openxmlformats.org/officeDocument/2006/relationships/footer" Target="footer75.xml"/><Relationship Id="rId8" Type="http://schemas.openxmlformats.org/officeDocument/2006/relationships/footer" Target="footer3.xml"/><Relationship Id="rId79" Type="http://schemas.openxmlformats.org/officeDocument/2006/relationships/footer" Target="footer74.xml"/><Relationship Id="rId78" Type="http://schemas.openxmlformats.org/officeDocument/2006/relationships/footer" Target="footer73.xml"/><Relationship Id="rId77" Type="http://schemas.openxmlformats.org/officeDocument/2006/relationships/footer" Target="footer72.xml"/><Relationship Id="rId76" Type="http://schemas.openxmlformats.org/officeDocument/2006/relationships/footer" Target="footer71.xml"/><Relationship Id="rId75" Type="http://schemas.openxmlformats.org/officeDocument/2006/relationships/footer" Target="footer70.xml"/><Relationship Id="rId74" Type="http://schemas.openxmlformats.org/officeDocument/2006/relationships/footer" Target="footer69.xml"/><Relationship Id="rId73" Type="http://schemas.openxmlformats.org/officeDocument/2006/relationships/footer" Target="footer68.xml"/><Relationship Id="rId72" Type="http://schemas.openxmlformats.org/officeDocument/2006/relationships/footer" Target="footer67.xml"/><Relationship Id="rId71" Type="http://schemas.openxmlformats.org/officeDocument/2006/relationships/footer" Target="footer66.xml"/><Relationship Id="rId70" Type="http://schemas.openxmlformats.org/officeDocument/2006/relationships/footer" Target="footer65.xml"/><Relationship Id="rId7" Type="http://schemas.openxmlformats.org/officeDocument/2006/relationships/footer" Target="footer2.xml"/><Relationship Id="rId69" Type="http://schemas.openxmlformats.org/officeDocument/2006/relationships/footer" Target="footer64.xml"/><Relationship Id="rId68" Type="http://schemas.openxmlformats.org/officeDocument/2006/relationships/footer" Target="footer63.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1.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header" Target="head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1" Type="http://schemas.openxmlformats.org/officeDocument/2006/relationships/fontTable" Target="fontTable.xml"/><Relationship Id="rId150" Type="http://schemas.openxmlformats.org/officeDocument/2006/relationships/customXml" Target="../customXml/item1.xml"/><Relationship Id="rId15" Type="http://schemas.openxmlformats.org/officeDocument/2006/relationships/footer" Target="footer10.xml"/><Relationship Id="rId149" Type="http://schemas.openxmlformats.org/officeDocument/2006/relationships/image" Target="media/image38.png"/><Relationship Id="rId148" Type="http://schemas.openxmlformats.org/officeDocument/2006/relationships/image" Target="media/image37.png"/><Relationship Id="rId147" Type="http://schemas.openxmlformats.org/officeDocument/2006/relationships/image" Target="media/image36.jpeg"/><Relationship Id="rId146" Type="http://schemas.openxmlformats.org/officeDocument/2006/relationships/image" Target="media/image35.png"/><Relationship Id="rId145" Type="http://schemas.openxmlformats.org/officeDocument/2006/relationships/image" Target="media/image34.png"/><Relationship Id="rId144" Type="http://schemas.openxmlformats.org/officeDocument/2006/relationships/image" Target="media/image33.png"/><Relationship Id="rId143" Type="http://schemas.openxmlformats.org/officeDocument/2006/relationships/image" Target="media/image32.png"/><Relationship Id="rId142" Type="http://schemas.openxmlformats.org/officeDocument/2006/relationships/image" Target="media/image31.jpeg"/><Relationship Id="rId141" Type="http://schemas.openxmlformats.org/officeDocument/2006/relationships/image" Target="media/image30.jpeg"/><Relationship Id="rId140" Type="http://schemas.openxmlformats.org/officeDocument/2006/relationships/image" Target="media/image29.jpeg"/><Relationship Id="rId14" Type="http://schemas.openxmlformats.org/officeDocument/2006/relationships/footer" Target="footer9.xml"/><Relationship Id="rId139" Type="http://schemas.openxmlformats.org/officeDocument/2006/relationships/image" Target="media/image28.jpeg"/><Relationship Id="rId138" Type="http://schemas.openxmlformats.org/officeDocument/2006/relationships/image" Target="media/image27.jpeg"/><Relationship Id="rId137" Type="http://schemas.openxmlformats.org/officeDocument/2006/relationships/image" Target="media/image26.jpeg"/><Relationship Id="rId136" Type="http://schemas.openxmlformats.org/officeDocument/2006/relationships/image" Target="media/image25.jpeg"/><Relationship Id="rId135" Type="http://schemas.openxmlformats.org/officeDocument/2006/relationships/image" Target="media/image24.jpeg"/><Relationship Id="rId134" Type="http://schemas.openxmlformats.org/officeDocument/2006/relationships/image" Target="media/image23.jpeg"/><Relationship Id="rId133" Type="http://schemas.openxmlformats.org/officeDocument/2006/relationships/image" Target="media/image22.jpeg"/><Relationship Id="rId132" Type="http://schemas.openxmlformats.org/officeDocument/2006/relationships/image" Target="media/image21.jpeg"/><Relationship Id="rId131" Type="http://schemas.openxmlformats.org/officeDocument/2006/relationships/image" Target="media/image20.jpeg"/><Relationship Id="rId130" Type="http://schemas.openxmlformats.org/officeDocument/2006/relationships/image" Target="media/image19.jpeg"/><Relationship Id="rId13" Type="http://schemas.openxmlformats.org/officeDocument/2006/relationships/footer" Target="footer8.xml"/><Relationship Id="rId129" Type="http://schemas.openxmlformats.org/officeDocument/2006/relationships/image" Target="media/image18.jpeg"/><Relationship Id="rId128" Type="http://schemas.openxmlformats.org/officeDocument/2006/relationships/image" Target="media/image17.jpeg"/><Relationship Id="rId127" Type="http://schemas.openxmlformats.org/officeDocument/2006/relationships/image" Target="media/image16.jpeg"/><Relationship Id="rId126" Type="http://schemas.openxmlformats.org/officeDocument/2006/relationships/image" Target="media/image15.jpeg"/><Relationship Id="rId125" Type="http://schemas.openxmlformats.org/officeDocument/2006/relationships/image" Target="media/image14.jpeg"/><Relationship Id="rId124" Type="http://schemas.openxmlformats.org/officeDocument/2006/relationships/image" Target="media/image13.png"/><Relationship Id="rId123" Type="http://schemas.openxmlformats.org/officeDocument/2006/relationships/image" Target="media/image12.jpeg"/><Relationship Id="rId122" Type="http://schemas.openxmlformats.org/officeDocument/2006/relationships/image" Target="media/image11.png"/><Relationship Id="rId121" Type="http://schemas.openxmlformats.org/officeDocument/2006/relationships/image" Target="media/image10.jpeg"/><Relationship Id="rId120" Type="http://schemas.openxmlformats.org/officeDocument/2006/relationships/image" Target="media/image9.png"/><Relationship Id="rId12" Type="http://schemas.openxmlformats.org/officeDocument/2006/relationships/footer" Target="footer7.xml"/><Relationship Id="rId119" Type="http://schemas.openxmlformats.org/officeDocument/2006/relationships/image" Target="media/image8.png"/><Relationship Id="rId118" Type="http://schemas.openxmlformats.org/officeDocument/2006/relationships/image" Target="media/image7.png"/><Relationship Id="rId117" Type="http://schemas.openxmlformats.org/officeDocument/2006/relationships/image" Target="media/image6.png"/><Relationship Id="rId116" Type="http://schemas.openxmlformats.org/officeDocument/2006/relationships/image" Target="media/image5.png"/><Relationship Id="rId115" Type="http://schemas.openxmlformats.org/officeDocument/2006/relationships/image" Target="media/image4.jpeg"/><Relationship Id="rId114" Type="http://schemas.openxmlformats.org/officeDocument/2006/relationships/image" Target="media/image3.jpeg"/><Relationship Id="rId113" Type="http://schemas.openxmlformats.org/officeDocument/2006/relationships/image" Target="media/image2.jpeg"/><Relationship Id="rId112" Type="http://schemas.openxmlformats.org/officeDocument/2006/relationships/image" Target="media/image1.jpeg"/><Relationship Id="rId111" Type="http://schemas.openxmlformats.org/officeDocument/2006/relationships/theme" Target="theme/theme1.xml"/><Relationship Id="rId110" Type="http://schemas.openxmlformats.org/officeDocument/2006/relationships/footer" Target="footer105.xml"/><Relationship Id="rId11" Type="http://schemas.openxmlformats.org/officeDocument/2006/relationships/footer" Target="footer6.xml"/><Relationship Id="rId109" Type="http://schemas.openxmlformats.org/officeDocument/2006/relationships/footer" Target="footer104.xml"/><Relationship Id="rId108" Type="http://schemas.openxmlformats.org/officeDocument/2006/relationships/footer" Target="footer103.xml"/><Relationship Id="rId107" Type="http://schemas.openxmlformats.org/officeDocument/2006/relationships/footer" Target="footer102.xml"/><Relationship Id="rId106" Type="http://schemas.openxmlformats.org/officeDocument/2006/relationships/footer" Target="footer101.xml"/><Relationship Id="rId105" Type="http://schemas.openxmlformats.org/officeDocument/2006/relationships/footer" Target="footer100.xml"/><Relationship Id="rId104" Type="http://schemas.openxmlformats.org/officeDocument/2006/relationships/footer" Target="footer99.xml"/><Relationship Id="rId103" Type="http://schemas.openxmlformats.org/officeDocument/2006/relationships/footer" Target="footer98.xml"/><Relationship Id="rId102" Type="http://schemas.openxmlformats.org/officeDocument/2006/relationships/footer" Target="footer97.xml"/><Relationship Id="rId101" Type="http://schemas.openxmlformats.org/officeDocument/2006/relationships/footer" Target="footer96.xml"/><Relationship Id="rId100" Type="http://schemas.openxmlformats.org/officeDocument/2006/relationships/footer" Target="footer95.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9"/>
    <customShpInfo spid="_x0000_s1040"/>
    <customShpInfo spid="_x0000_s10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108</Pages>
  <Words>10076</Words>
  <Characters>10704</Characters>
  <TotalTime>0</TotalTime>
  <ScaleCrop>false</ScaleCrop>
  <LinksUpToDate>false</LinksUpToDate>
  <CharactersWithSpaces>10998</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2026-03-19T20:42:00Z</dcterms:created>
  <dc:creator>lhj</dc:creator>
  <cp:lastModifiedBy>silence</cp:lastModifiedBy>
  <dcterms:modified xsi:type="dcterms:W3CDTF">2026-03-25T03:16:32Z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2026-03-23T10:18:14Z</vt:filetime>
  </property>
  <property fmtid="{D5CDD505-2E9C-101B-9397-08002B2CF9AE}" pid="4" name="KSOTemplateDocerSaveRecord">
    <vt:lpwstr>eyJoZGlkIjoiZjRmYWUxOWJhMWE5OGFmZGQyNzA0NjBkZTNhOGRjMDEiLCJ1c2VySWQiOiIyNDg4ODMzNzUifQ==</vt:lpwstr>
  </property>
  <property fmtid="{D5CDD505-2E9C-101B-9397-08002B2CF9AE}" pid="5" name="KSOProductBuildVer">
    <vt:lpwstr>2052-12.1.0.25225</vt:lpwstr>
  </property>
  <property fmtid="{D5CDD505-2E9C-101B-9397-08002B2CF9AE}" pid="6" name="ICV">
    <vt:lpwstr>FC3DE9DA61DF45F097839CC1C380A03F_12</vt:lpwstr>
  </property>
</Properties>
</file>